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
        <w:rPr>
          <w:rFonts w:ascii="Times New Roman" w:hAnsi="Times New Roman" w:cs="Times New Roman" w:eastAsia="Times New Roman" w:hint="default"/>
          <w:sz w:val="26"/>
          <w:szCs w:val="26"/>
        </w:rPr>
      </w:pPr>
    </w:p>
    <w:p>
      <w:pPr>
        <w:pStyle w:val="Heading4"/>
        <w:tabs>
          <w:tab w:pos="6917" w:val="left" w:leader="none"/>
        </w:tabs>
        <w:spacing w:line="240" w:lineRule="auto"/>
        <w:ind w:left="3290" w:right="0"/>
        <w:jc w:val="left"/>
        <w:rPr>
          <w:b w:val="0"/>
          <w:bCs w:val="0"/>
        </w:rPr>
      </w:pPr>
      <w:r>
        <w:rPr/>
        <w:pict>
          <v:shape style="position:absolute;margin-left:70.860001pt;margin-top:-11.486001pt;width:95.052pt;height:25.5pt;mso-position-horizontal-relative:page;mso-position-vertical-relative:paragraph;z-index:1048"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003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3"/>
          <w:szCs w:val="23"/>
        </w:rPr>
      </w:pPr>
    </w:p>
    <w:p>
      <w:pPr>
        <w:spacing w:line="820" w:lineRule="exact" w:before="0"/>
        <w:ind w:left="102" w:right="0" w:firstLine="0"/>
        <w:jc w:val="center"/>
        <w:rPr>
          <w:rFonts w:ascii="宋体" w:hAnsi="宋体" w:cs="宋体" w:eastAsia="宋体" w:hint="default"/>
          <w:sz w:val="72"/>
          <w:szCs w:val="72"/>
        </w:rPr>
      </w:pPr>
      <w:r>
        <w:rPr>
          <w:rFonts w:ascii="宋体" w:hAnsi="宋体" w:cs="宋体" w:eastAsia="宋体" w:hint="default"/>
          <w:b/>
          <w:bCs/>
          <w:sz w:val="72"/>
          <w:szCs w:val="72"/>
        </w:rPr>
        <w:t>重庆华立药业股份有限公司</w:t>
      </w:r>
      <w:r>
        <w:rPr>
          <w:rFonts w:ascii="宋体" w:hAnsi="宋体" w:cs="宋体" w:eastAsia="宋体" w:hint="default"/>
          <w:sz w:val="72"/>
          <w:szCs w:val="72"/>
        </w:rPr>
      </w:r>
    </w:p>
    <w:p>
      <w:pPr>
        <w:spacing w:before="219"/>
        <w:ind w:left="101" w:right="0" w:firstLine="0"/>
        <w:jc w:val="center"/>
        <w:rPr>
          <w:rFonts w:ascii="宋体" w:hAnsi="宋体" w:cs="宋体" w:eastAsia="宋体" w:hint="default"/>
          <w:sz w:val="44"/>
          <w:szCs w:val="44"/>
        </w:rPr>
      </w:pPr>
      <w:r>
        <w:rPr>
          <w:rFonts w:ascii="宋体"/>
          <w:b/>
          <w:sz w:val="44"/>
        </w:rPr>
        <w:t>HOLLEY PHARMACEUTICALS(CHONGQING) CO.</w:t>
      </w:r>
      <w:r>
        <w:rPr>
          <w:rFonts w:ascii="宋体"/>
          <w:b/>
          <w:spacing w:val="-64"/>
          <w:sz w:val="44"/>
        </w:rPr>
        <w:t> </w:t>
      </w:r>
      <w:r>
        <w:rPr>
          <w:rFonts w:ascii="宋体"/>
          <w:b/>
          <w:sz w:val="44"/>
        </w:rPr>
        <w:t>LTD</w:t>
      </w:r>
      <w:r>
        <w:rPr>
          <w:rFonts w:ascii="宋体"/>
          <w:sz w:val="44"/>
        </w:rPr>
      </w:r>
    </w:p>
    <w:p>
      <w:pPr>
        <w:spacing w:line="240" w:lineRule="auto" w:before="0"/>
        <w:rPr>
          <w:rFonts w:ascii="宋体" w:hAnsi="宋体" w:cs="宋体" w:eastAsia="宋体" w:hint="default"/>
          <w:b/>
          <w:bCs/>
          <w:sz w:val="58"/>
          <w:szCs w:val="58"/>
        </w:rPr>
      </w:pPr>
    </w:p>
    <w:p>
      <w:pPr>
        <w:spacing w:before="0"/>
        <w:ind w:left="102" w:right="0" w:firstLine="0"/>
        <w:jc w:val="center"/>
        <w:rPr>
          <w:rFonts w:ascii="宋体" w:hAnsi="宋体" w:cs="宋体" w:eastAsia="宋体" w:hint="default"/>
          <w:sz w:val="72"/>
          <w:szCs w:val="72"/>
        </w:rPr>
      </w:pPr>
      <w:r>
        <w:rPr>
          <w:rFonts w:ascii="宋体" w:hAnsi="宋体" w:cs="宋体" w:eastAsia="宋体" w:hint="default"/>
          <w:b/>
          <w:bCs/>
          <w:sz w:val="72"/>
          <w:szCs w:val="72"/>
        </w:rPr>
        <w:t>年度报告</w:t>
      </w:r>
      <w:r>
        <w:rPr>
          <w:rFonts w:ascii="宋体" w:hAnsi="宋体" w:cs="宋体" w:eastAsia="宋体" w:hint="default"/>
          <w:sz w:val="72"/>
          <w:szCs w:val="72"/>
        </w:rPr>
      </w:r>
    </w:p>
    <w:p>
      <w:pPr>
        <w:spacing w:line="240" w:lineRule="auto" w:before="3"/>
        <w:rPr>
          <w:rFonts w:ascii="宋体" w:hAnsi="宋体" w:cs="宋体" w:eastAsia="宋体" w:hint="default"/>
          <w:b/>
          <w:bCs/>
          <w:sz w:val="95"/>
          <w:szCs w:val="95"/>
        </w:rPr>
      </w:pPr>
    </w:p>
    <w:p>
      <w:pPr>
        <w:spacing w:before="0"/>
        <w:ind w:left="100" w:right="0" w:firstLine="0"/>
        <w:jc w:val="center"/>
        <w:rPr>
          <w:rFonts w:ascii="宋体" w:hAnsi="宋体" w:cs="宋体" w:eastAsia="宋体" w:hint="default"/>
          <w:sz w:val="52"/>
          <w:szCs w:val="52"/>
        </w:rPr>
      </w:pPr>
      <w:r>
        <w:rPr>
          <w:rFonts w:ascii="宋体" w:hAnsi="宋体" w:cs="宋体" w:eastAsia="宋体" w:hint="default"/>
          <w:b/>
          <w:bCs/>
          <w:sz w:val="52"/>
          <w:szCs w:val="52"/>
        </w:rPr>
        <w:t>报告期：2009</w:t>
      </w:r>
      <w:r>
        <w:rPr>
          <w:rFonts w:ascii="宋体" w:hAnsi="宋体" w:cs="宋体" w:eastAsia="宋体" w:hint="default"/>
          <w:b/>
          <w:bCs/>
          <w:spacing w:val="-156"/>
          <w:sz w:val="52"/>
          <w:szCs w:val="52"/>
        </w:rPr>
        <w:t> </w:t>
      </w:r>
      <w:r>
        <w:rPr>
          <w:rFonts w:ascii="宋体" w:hAnsi="宋体" w:cs="宋体" w:eastAsia="宋体" w:hint="default"/>
          <w:b/>
          <w:bCs/>
          <w:sz w:val="52"/>
          <w:szCs w:val="52"/>
        </w:rPr>
        <w:t>年度</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tabs>
          <w:tab w:pos="3625" w:val="left" w:leader="none"/>
        </w:tabs>
        <w:spacing w:before="393"/>
        <w:ind w:left="101" w:right="0" w:firstLine="0"/>
        <w:jc w:val="center"/>
        <w:rPr>
          <w:rFonts w:ascii="宋体" w:hAnsi="宋体" w:cs="宋体" w:eastAsia="宋体" w:hint="default"/>
          <w:sz w:val="44"/>
          <w:szCs w:val="44"/>
        </w:rPr>
      </w:pPr>
      <w:r>
        <w:rPr>
          <w:rFonts w:ascii="宋体" w:hAnsi="宋体" w:cs="宋体" w:eastAsia="宋体" w:hint="default"/>
          <w:b/>
          <w:bCs/>
          <w:w w:val="95"/>
          <w:sz w:val="44"/>
          <w:szCs w:val="44"/>
        </w:rPr>
        <w:t>签发人：董事长</w:t>
        <w:tab/>
      </w:r>
      <w:r>
        <w:rPr>
          <w:rFonts w:ascii="宋体" w:hAnsi="宋体" w:cs="宋体" w:eastAsia="宋体" w:hint="default"/>
          <w:b/>
          <w:bCs/>
          <w:sz w:val="44"/>
          <w:szCs w:val="44"/>
        </w:rPr>
        <w:t>刘小斌</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spacing w:line="935" w:lineRule="exact"/>
        <w:ind w:left="3498" w:right="0" w:firstLine="0"/>
        <w:rPr>
          <w:rFonts w:ascii="宋体" w:hAnsi="宋体" w:cs="宋体" w:eastAsia="宋体" w:hint="default"/>
          <w:sz w:val="20"/>
          <w:szCs w:val="20"/>
        </w:rPr>
      </w:pPr>
      <w:r>
        <w:rPr>
          <w:rFonts w:ascii="宋体" w:hAnsi="宋体" w:cs="宋体" w:eastAsia="宋体" w:hint="default"/>
          <w:position w:val="-18"/>
          <w:sz w:val="20"/>
          <w:szCs w:val="20"/>
        </w:rPr>
        <w:drawing>
          <wp:inline distT="0" distB="0" distL="0" distR="0">
            <wp:extent cx="2232566" cy="594074"/>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232566" cy="594074"/>
                    </a:xfrm>
                    <a:prstGeom prst="rect">
                      <a:avLst/>
                    </a:prstGeom>
                  </pic:spPr>
                </pic:pic>
              </a:graphicData>
            </a:graphic>
          </wp:inline>
        </w:drawing>
      </w:r>
      <w:r>
        <w:rPr>
          <w:rFonts w:ascii="宋体" w:hAnsi="宋体" w:cs="宋体" w:eastAsia="宋体" w:hint="default"/>
          <w:position w:val="-18"/>
          <w:sz w:val="20"/>
          <w:szCs w:val="20"/>
        </w:rPr>
      </w:r>
    </w:p>
    <w:p>
      <w:pPr>
        <w:spacing w:after="0" w:line="935" w:lineRule="exact"/>
        <w:rPr>
          <w:rFonts w:ascii="宋体" w:hAnsi="宋体" w:cs="宋体" w:eastAsia="宋体" w:hint="default"/>
          <w:sz w:val="20"/>
          <w:szCs w:val="20"/>
        </w:rPr>
        <w:sectPr>
          <w:type w:val="continuous"/>
          <w:pgSz w:w="11910" w:h="16840"/>
          <w:pgMar w:top="780" w:bottom="280" w:left="1280" w:right="1260"/>
        </w:sectPr>
      </w:pPr>
    </w:p>
    <w:p>
      <w:pPr>
        <w:spacing w:line="240" w:lineRule="auto" w:before="12"/>
        <w:rPr>
          <w:rFonts w:ascii="宋体" w:hAnsi="宋体" w:cs="宋体" w:eastAsia="宋体" w:hint="default"/>
          <w:b/>
          <w:bCs/>
          <w:sz w:val="22"/>
          <w:szCs w:val="22"/>
        </w:rPr>
      </w:pPr>
    </w:p>
    <w:p>
      <w:pPr>
        <w:pStyle w:val="Heading4"/>
        <w:tabs>
          <w:tab w:pos="6963" w:val="left" w:leader="none"/>
        </w:tabs>
        <w:spacing w:line="240" w:lineRule="auto"/>
        <w:ind w:left="3650" w:right="0"/>
        <w:jc w:val="left"/>
        <w:rPr>
          <w:b w:val="0"/>
          <w:bCs w:val="0"/>
        </w:rPr>
      </w:pPr>
      <w:r>
        <w:rPr/>
        <w:pict>
          <v:shape style="position:absolute;margin-left:64.860001pt;margin-top:-11.486001pt;width:95.052pt;height:25.5pt;mso-position-horizontal-relative:page;mso-position-vertical-relative:paragraph;z-index:1096"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003pt" strokecolor="#000000">
                <v:path arrowok="t"/>
              </v:shape>
            </v:group>
          </v:group>
        </w:pict>
      </w:r>
      <w:r>
        <w:rPr>
          <w:rFonts w:ascii="黑体" w:hAnsi="黑体" w:cs="黑体" w:eastAsia="黑体" w:hint="default"/>
          <w:sz w:val="2"/>
          <w:szCs w:val="2"/>
        </w:rPr>
      </w:r>
    </w:p>
    <w:p>
      <w:pPr>
        <w:spacing w:line="240" w:lineRule="auto" w:before="5"/>
        <w:rPr>
          <w:rFonts w:ascii="黑体" w:hAnsi="黑体" w:cs="黑体" w:eastAsia="黑体" w:hint="default"/>
          <w:b/>
          <w:bCs/>
          <w:sz w:val="15"/>
          <w:szCs w:val="15"/>
        </w:rPr>
      </w:pPr>
    </w:p>
    <w:p>
      <w:pPr>
        <w:spacing w:before="1"/>
        <w:ind w:left="3752" w:right="3789" w:firstLine="0"/>
        <w:jc w:val="center"/>
        <w:rPr>
          <w:rFonts w:ascii="宋体" w:hAnsi="宋体" w:cs="宋体" w:eastAsia="宋体" w:hint="default"/>
          <w:sz w:val="32"/>
          <w:szCs w:val="32"/>
        </w:rPr>
      </w:pPr>
      <w:r>
        <w:rPr>
          <w:rFonts w:ascii="宋体" w:hAnsi="宋体" w:cs="宋体" w:eastAsia="宋体" w:hint="default"/>
          <w:b/>
          <w:bCs/>
          <w:sz w:val="32"/>
          <w:szCs w:val="32"/>
        </w:rPr>
        <w:t>重 要 提</w:t>
      </w:r>
      <w:r>
        <w:rPr>
          <w:rFonts w:ascii="宋体" w:hAnsi="宋体" w:cs="宋体" w:eastAsia="宋体" w:hint="default"/>
          <w:b/>
          <w:bCs/>
          <w:spacing w:val="-7"/>
          <w:sz w:val="32"/>
          <w:szCs w:val="32"/>
        </w:rPr>
        <w:t> </w:t>
      </w:r>
      <w:r>
        <w:rPr>
          <w:rFonts w:ascii="宋体" w:hAnsi="宋体" w:cs="宋体" w:eastAsia="宋体" w:hint="default"/>
          <w:b/>
          <w:bCs/>
          <w:sz w:val="32"/>
          <w:szCs w:val="32"/>
        </w:rPr>
        <w:t>示</w:t>
      </w:r>
      <w:r>
        <w:rPr>
          <w:rFonts w:ascii="宋体" w:hAnsi="宋体" w:cs="宋体" w:eastAsia="宋体" w:hint="default"/>
          <w:sz w:val="32"/>
          <w:szCs w:val="32"/>
        </w:rPr>
      </w:r>
    </w:p>
    <w:p>
      <w:pPr>
        <w:spacing w:line="240" w:lineRule="auto" w:before="1"/>
        <w:rPr>
          <w:rFonts w:ascii="宋体" w:hAnsi="宋体" w:cs="宋体" w:eastAsia="宋体" w:hint="default"/>
          <w:b/>
          <w:bCs/>
          <w:sz w:val="30"/>
          <w:szCs w:val="30"/>
        </w:rPr>
      </w:pPr>
    </w:p>
    <w:p>
      <w:pPr>
        <w:spacing w:line="408" w:lineRule="auto" w:before="0"/>
        <w:ind w:left="138" w:right="117"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w:t>
      </w:r>
      <w:r>
        <w:rPr>
          <w:rFonts w:ascii="宋体" w:hAnsi="宋体" w:cs="宋体" w:eastAsia="宋体" w:hint="default"/>
          <w:b/>
          <w:bCs/>
          <w:w w:val="99"/>
          <w:sz w:val="28"/>
          <w:szCs w:val="28"/>
        </w:rPr>
        <w:t> </w:t>
      </w:r>
      <w:r>
        <w:rPr>
          <w:rFonts w:ascii="宋体" w:hAnsi="宋体" w:cs="宋体" w:eastAsia="宋体" w:hint="default"/>
          <w:b/>
          <w:bCs/>
          <w:w w:val="95"/>
          <w:sz w:val="28"/>
          <w:szCs w:val="28"/>
        </w:rPr>
        <w:t>料不存在任何虚假记载、误导性陈述或者重大遗漏，并对其内容的真实性、</w:t>
      </w:r>
      <w:r>
        <w:rPr>
          <w:rFonts w:ascii="宋体" w:hAnsi="宋体" w:cs="宋体" w:eastAsia="宋体" w:hint="default"/>
          <w:b/>
          <w:bCs/>
          <w:spacing w:val="12"/>
          <w:w w:val="95"/>
          <w:sz w:val="28"/>
          <w:szCs w:val="28"/>
        </w:rPr>
        <w:t> </w:t>
      </w:r>
      <w:r>
        <w:rPr>
          <w:rFonts w:ascii="宋体" w:hAnsi="宋体" w:cs="宋体" w:eastAsia="宋体" w:hint="default"/>
          <w:b/>
          <w:bCs/>
          <w:sz w:val="28"/>
          <w:szCs w:val="28"/>
        </w:rPr>
        <w:t>准确性和完整性承担个别及连带责任。</w:t>
      </w:r>
      <w:r>
        <w:rPr>
          <w:rFonts w:ascii="宋体" w:hAnsi="宋体" w:cs="宋体" w:eastAsia="宋体" w:hint="default"/>
          <w:sz w:val="28"/>
          <w:szCs w:val="28"/>
        </w:rPr>
      </w:r>
    </w:p>
    <w:p>
      <w:pPr>
        <w:spacing w:line="408" w:lineRule="auto" w:before="61"/>
        <w:ind w:left="138" w:right="0" w:firstLine="561"/>
        <w:jc w:val="left"/>
        <w:rPr>
          <w:rFonts w:ascii="宋体" w:hAnsi="宋体" w:cs="宋体" w:eastAsia="宋体" w:hint="default"/>
          <w:sz w:val="28"/>
          <w:szCs w:val="28"/>
        </w:rPr>
      </w:pPr>
      <w:r>
        <w:rPr>
          <w:rFonts w:ascii="宋体" w:hAnsi="宋体" w:cs="宋体" w:eastAsia="宋体" w:hint="default"/>
          <w:b/>
          <w:bCs/>
          <w:w w:val="95"/>
          <w:sz w:val="28"/>
          <w:szCs w:val="28"/>
        </w:rPr>
        <w:t>天健正信会计师事务所有限公司为本公司出具了标准无保留意见的审</w:t>
      </w:r>
      <w:r>
        <w:rPr>
          <w:rFonts w:ascii="宋体" w:hAnsi="宋体" w:cs="宋体" w:eastAsia="宋体" w:hint="default"/>
          <w:b/>
          <w:bCs/>
          <w:w w:val="99"/>
          <w:sz w:val="28"/>
          <w:szCs w:val="28"/>
        </w:rPr>
        <w:t> </w:t>
      </w:r>
      <w:r>
        <w:rPr>
          <w:rFonts w:ascii="宋体" w:hAnsi="宋体" w:cs="宋体" w:eastAsia="宋体" w:hint="default"/>
          <w:b/>
          <w:bCs/>
          <w:sz w:val="28"/>
          <w:szCs w:val="28"/>
        </w:rPr>
        <w:t>计报告。</w:t>
      </w:r>
      <w:r>
        <w:rPr>
          <w:rFonts w:ascii="宋体" w:hAnsi="宋体" w:cs="宋体" w:eastAsia="宋体" w:hint="default"/>
          <w:sz w:val="28"/>
          <w:szCs w:val="28"/>
        </w:rPr>
      </w:r>
    </w:p>
    <w:p>
      <w:pPr>
        <w:spacing w:line="408" w:lineRule="auto" w:before="61"/>
        <w:ind w:left="138" w:right="0" w:firstLine="561"/>
        <w:jc w:val="left"/>
        <w:rPr>
          <w:rFonts w:ascii="宋体" w:hAnsi="宋体" w:cs="宋体" w:eastAsia="宋体" w:hint="default"/>
          <w:sz w:val="28"/>
          <w:szCs w:val="28"/>
        </w:rPr>
      </w:pPr>
      <w:r>
        <w:rPr>
          <w:rFonts w:ascii="宋体" w:hAnsi="宋体" w:cs="宋体" w:eastAsia="宋体" w:hint="default"/>
          <w:b/>
          <w:bCs/>
          <w:w w:val="95"/>
          <w:sz w:val="28"/>
          <w:szCs w:val="28"/>
        </w:rPr>
        <w:t>公司董事长刘小斌先生、总裁逯春明先生及财务总监张中平先生声明：</w:t>
      </w:r>
      <w:r>
        <w:rPr>
          <w:rFonts w:ascii="宋体" w:hAnsi="宋体" w:cs="宋体" w:eastAsia="宋体" w:hint="default"/>
          <w:b/>
          <w:bCs/>
          <w:w w:val="99"/>
          <w:sz w:val="28"/>
          <w:szCs w:val="28"/>
        </w:rPr>
        <w:t> </w:t>
      </w:r>
      <w:r>
        <w:rPr>
          <w:rFonts w:ascii="宋体" w:hAnsi="宋体" w:cs="宋体" w:eastAsia="宋体" w:hint="default"/>
          <w:b/>
          <w:bCs/>
          <w:sz w:val="28"/>
          <w:szCs w:val="28"/>
        </w:rPr>
        <w:t>保证年度报告中财务报告的真实、完整。</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1"/>
        <w:rPr>
          <w:rFonts w:ascii="宋体" w:hAnsi="宋体" w:cs="宋体" w:eastAsia="宋体" w:hint="default"/>
          <w:b/>
          <w:bCs/>
          <w:sz w:val="31"/>
          <w:szCs w:val="31"/>
        </w:rPr>
      </w:pPr>
    </w:p>
    <w:p>
      <w:pPr>
        <w:spacing w:before="0"/>
        <w:ind w:left="3832" w:right="3231" w:firstLine="0"/>
        <w:jc w:val="center"/>
        <w:rPr>
          <w:rFonts w:ascii="宋体" w:hAnsi="宋体" w:cs="宋体" w:eastAsia="宋体" w:hint="default"/>
          <w:sz w:val="32"/>
          <w:szCs w:val="32"/>
        </w:rPr>
      </w:pPr>
      <w:r>
        <w:rPr>
          <w:rFonts w:ascii="宋体" w:hAnsi="宋体" w:cs="宋体" w:eastAsia="宋体" w:hint="default"/>
          <w:b/>
          <w:bCs/>
          <w:sz w:val="32"/>
          <w:szCs w:val="32"/>
        </w:rPr>
        <w:t>报告目录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8308" w:val="left" w:leader="dot"/>
            </w:tabs>
            <w:spacing w:line="240" w:lineRule="auto" w:before="433"/>
            <w:ind w:right="0"/>
            <w:jc w:val="left"/>
            <w:rPr>
              <w:b w:val="0"/>
              <w:bCs w:val="0"/>
            </w:rPr>
          </w:pPr>
          <w:hyperlink w:history="true" w:anchor="_TOC_250010">
            <w:r>
              <w:rPr>
                <w:w w:val="95"/>
              </w:rPr>
              <w:t>一、公司基本情况简介…</w:t>
            </w:r>
            <w:r>
              <w:rPr>
                <w:rFonts w:ascii="Times New Roman" w:hAnsi="Times New Roman" w:cs="Times New Roman" w:eastAsia="Times New Roman" w:hint="default"/>
                <w:b w:val="0"/>
                <w:bCs w:val="0"/>
                <w:w w:val="95"/>
              </w:rPr>
              <w:tab/>
            </w:r>
            <w:r>
              <w:rPr/>
              <w:t>3</w:t>
            </w:r>
            <w:r>
              <w:rPr>
                <w:b w:val="0"/>
                <w:bCs w:val="0"/>
              </w:rPr>
            </w:r>
          </w:hyperlink>
        </w:p>
        <w:p>
          <w:pPr>
            <w:pStyle w:val="TOC1"/>
            <w:tabs>
              <w:tab w:pos="8308" w:val="left" w:leader="dot"/>
            </w:tabs>
            <w:spacing w:line="240" w:lineRule="auto"/>
            <w:ind w:right="0"/>
            <w:jc w:val="left"/>
            <w:rPr>
              <w:b w:val="0"/>
              <w:bCs w:val="0"/>
            </w:rPr>
          </w:pPr>
          <w:hyperlink w:history="true" w:anchor="_TOC_250009">
            <w:r>
              <w:rPr>
                <w:w w:val="95"/>
              </w:rPr>
              <w:t>二、会计数据和业务数据摘要…</w:t>
            </w:r>
            <w:r>
              <w:rPr>
                <w:rFonts w:ascii="Times New Roman" w:hAnsi="Times New Roman" w:cs="Times New Roman" w:eastAsia="Times New Roman" w:hint="default"/>
                <w:b w:val="0"/>
                <w:bCs w:val="0"/>
                <w:w w:val="95"/>
              </w:rPr>
              <w:tab/>
            </w:r>
            <w:r>
              <w:rPr/>
              <w:t>4</w:t>
            </w:r>
            <w:r>
              <w:rPr>
                <w:b w:val="0"/>
                <w:bCs w:val="0"/>
              </w:rPr>
            </w:r>
          </w:hyperlink>
        </w:p>
        <w:p>
          <w:pPr>
            <w:pStyle w:val="TOC1"/>
            <w:tabs>
              <w:tab w:pos="8308" w:val="left" w:leader="dot"/>
            </w:tabs>
            <w:spacing w:line="240" w:lineRule="auto"/>
            <w:ind w:right="0"/>
            <w:jc w:val="left"/>
            <w:rPr>
              <w:b w:val="0"/>
              <w:bCs w:val="0"/>
            </w:rPr>
          </w:pPr>
          <w:hyperlink w:history="true" w:anchor="_TOC_250008">
            <w:r>
              <w:rPr>
                <w:w w:val="95"/>
              </w:rPr>
              <w:t>三、股本变动及股东情况…</w:t>
            </w:r>
            <w:r>
              <w:rPr>
                <w:rFonts w:ascii="Times New Roman" w:hAnsi="Times New Roman" w:cs="Times New Roman" w:eastAsia="Times New Roman" w:hint="default"/>
                <w:b w:val="0"/>
                <w:bCs w:val="0"/>
                <w:w w:val="95"/>
              </w:rPr>
              <w:tab/>
            </w:r>
            <w:r>
              <w:rPr/>
              <w:t>7</w:t>
            </w:r>
            <w:r>
              <w:rPr>
                <w:b w:val="0"/>
                <w:bCs w:val="0"/>
              </w:rPr>
            </w:r>
          </w:hyperlink>
        </w:p>
        <w:p>
          <w:pPr>
            <w:pStyle w:val="TOC1"/>
            <w:tabs>
              <w:tab w:pos="8307" w:val="left" w:leader="dot"/>
            </w:tabs>
            <w:spacing w:line="240" w:lineRule="auto"/>
            <w:ind w:right="0"/>
            <w:jc w:val="left"/>
            <w:rPr>
              <w:b w:val="0"/>
              <w:bCs w:val="0"/>
            </w:rPr>
          </w:pPr>
          <w:hyperlink w:history="true" w:anchor="_TOC_250007">
            <w:r>
              <w:rPr>
                <w:w w:val="95"/>
              </w:rPr>
              <w:t>四、董事、监事、高级管理人员和员工情况…</w:t>
            </w:r>
            <w:r>
              <w:rPr>
                <w:rFonts w:ascii="Times New Roman" w:hAnsi="Times New Roman" w:cs="Times New Roman" w:eastAsia="Times New Roman" w:hint="default"/>
                <w:b w:val="0"/>
                <w:bCs w:val="0"/>
                <w:w w:val="95"/>
              </w:rPr>
              <w:tab/>
            </w:r>
            <w:r>
              <w:rPr/>
              <w:t>10</w:t>
            </w:r>
            <w:r>
              <w:rPr>
                <w:b w:val="0"/>
                <w:bCs w:val="0"/>
              </w:rPr>
            </w:r>
          </w:hyperlink>
        </w:p>
        <w:p>
          <w:pPr>
            <w:pStyle w:val="TOC1"/>
            <w:tabs>
              <w:tab w:pos="8307" w:val="left" w:leader="dot"/>
            </w:tabs>
            <w:spacing w:line="240" w:lineRule="auto"/>
            <w:ind w:right="0"/>
            <w:jc w:val="left"/>
            <w:rPr>
              <w:b w:val="0"/>
              <w:bCs w:val="0"/>
            </w:rPr>
          </w:pPr>
          <w:hyperlink w:history="true" w:anchor="_TOC_250006">
            <w:r>
              <w:rPr>
                <w:w w:val="95"/>
              </w:rPr>
              <w:t>五、公司治理结构…</w:t>
            </w:r>
            <w:r>
              <w:rPr>
                <w:rFonts w:ascii="Times New Roman" w:hAnsi="Times New Roman" w:cs="Times New Roman" w:eastAsia="Times New Roman" w:hint="default"/>
                <w:b w:val="0"/>
                <w:bCs w:val="0"/>
                <w:w w:val="95"/>
              </w:rPr>
              <w:tab/>
            </w:r>
            <w:r>
              <w:rPr/>
              <w:t>14</w:t>
            </w:r>
            <w:r>
              <w:rPr>
                <w:b w:val="0"/>
                <w:bCs w:val="0"/>
              </w:rPr>
            </w:r>
          </w:hyperlink>
        </w:p>
        <w:p>
          <w:pPr>
            <w:pStyle w:val="TOC1"/>
            <w:tabs>
              <w:tab w:pos="8307" w:val="left" w:leader="dot"/>
            </w:tabs>
            <w:spacing w:line="240" w:lineRule="auto"/>
            <w:ind w:right="0"/>
            <w:jc w:val="left"/>
            <w:rPr>
              <w:b w:val="0"/>
              <w:bCs w:val="0"/>
            </w:rPr>
          </w:pPr>
          <w:hyperlink w:history="true" w:anchor="_TOC_250005">
            <w:r>
              <w:rPr>
                <w:w w:val="95"/>
              </w:rPr>
              <w:t>六、股东大会情况简介…</w:t>
            </w:r>
            <w:r>
              <w:rPr>
                <w:rFonts w:ascii="Times New Roman" w:hAnsi="Times New Roman" w:cs="Times New Roman" w:eastAsia="Times New Roman" w:hint="default"/>
                <w:b w:val="0"/>
                <w:bCs w:val="0"/>
                <w:w w:val="95"/>
              </w:rPr>
              <w:tab/>
            </w:r>
            <w:r>
              <w:rPr/>
              <w:t>18</w:t>
            </w:r>
            <w:r>
              <w:rPr>
                <w:b w:val="0"/>
                <w:bCs w:val="0"/>
              </w:rPr>
            </w:r>
          </w:hyperlink>
        </w:p>
        <w:p>
          <w:pPr>
            <w:pStyle w:val="TOC1"/>
            <w:tabs>
              <w:tab w:pos="8307" w:val="left" w:leader="dot"/>
            </w:tabs>
            <w:spacing w:line="240" w:lineRule="auto"/>
            <w:ind w:right="0"/>
            <w:jc w:val="left"/>
            <w:rPr>
              <w:b w:val="0"/>
              <w:bCs w:val="0"/>
            </w:rPr>
          </w:pPr>
          <w:hyperlink w:history="true" w:anchor="_TOC_250004">
            <w:r>
              <w:rPr>
                <w:w w:val="95"/>
              </w:rPr>
              <w:t>七、董事会报告…</w:t>
            </w:r>
            <w:r>
              <w:rPr>
                <w:rFonts w:ascii="Times New Roman" w:hAnsi="Times New Roman" w:cs="Times New Roman" w:eastAsia="Times New Roman" w:hint="default"/>
                <w:b w:val="0"/>
                <w:bCs w:val="0"/>
                <w:w w:val="95"/>
              </w:rPr>
              <w:tab/>
            </w:r>
            <w:r>
              <w:rPr/>
              <w:t>20</w:t>
            </w:r>
            <w:r>
              <w:rPr>
                <w:b w:val="0"/>
                <w:bCs w:val="0"/>
              </w:rPr>
            </w:r>
          </w:hyperlink>
        </w:p>
        <w:p>
          <w:pPr>
            <w:pStyle w:val="TOC1"/>
            <w:tabs>
              <w:tab w:pos="8307" w:val="left" w:leader="dot"/>
            </w:tabs>
            <w:spacing w:line="240" w:lineRule="auto"/>
            <w:ind w:right="0"/>
            <w:jc w:val="left"/>
            <w:rPr>
              <w:b w:val="0"/>
              <w:bCs w:val="0"/>
            </w:rPr>
          </w:pPr>
          <w:hyperlink w:history="true" w:anchor="_TOC_250003">
            <w:r>
              <w:rPr>
                <w:w w:val="95"/>
              </w:rPr>
              <w:t>八、监事会报告…</w:t>
            </w:r>
            <w:r>
              <w:rPr>
                <w:rFonts w:ascii="Times New Roman" w:hAnsi="Times New Roman" w:cs="Times New Roman" w:eastAsia="Times New Roman" w:hint="default"/>
                <w:b w:val="0"/>
                <w:bCs w:val="0"/>
                <w:w w:val="95"/>
              </w:rPr>
              <w:tab/>
            </w:r>
            <w:r>
              <w:rPr/>
              <w:t>29</w:t>
            </w:r>
            <w:r>
              <w:rPr>
                <w:b w:val="0"/>
                <w:bCs w:val="0"/>
              </w:rPr>
            </w:r>
          </w:hyperlink>
        </w:p>
        <w:p>
          <w:pPr>
            <w:pStyle w:val="TOC1"/>
            <w:tabs>
              <w:tab w:pos="8307" w:val="left" w:leader="dot"/>
            </w:tabs>
            <w:spacing w:line="240" w:lineRule="auto"/>
            <w:ind w:right="0"/>
            <w:jc w:val="left"/>
            <w:rPr>
              <w:b w:val="0"/>
              <w:bCs w:val="0"/>
            </w:rPr>
          </w:pPr>
          <w:hyperlink w:history="true" w:anchor="_TOC_250002">
            <w:r>
              <w:rPr>
                <w:w w:val="95"/>
              </w:rPr>
              <w:t>九、重要事项…</w:t>
            </w:r>
            <w:r>
              <w:rPr>
                <w:rFonts w:ascii="Times New Roman" w:hAnsi="Times New Roman" w:cs="Times New Roman" w:eastAsia="Times New Roman" w:hint="default"/>
                <w:b w:val="0"/>
                <w:bCs w:val="0"/>
                <w:w w:val="95"/>
              </w:rPr>
              <w:tab/>
            </w:r>
            <w:r>
              <w:rPr/>
              <w:t>31</w:t>
            </w:r>
            <w:r>
              <w:rPr>
                <w:b w:val="0"/>
                <w:bCs w:val="0"/>
              </w:rPr>
            </w:r>
          </w:hyperlink>
        </w:p>
        <w:p>
          <w:pPr>
            <w:pStyle w:val="TOC1"/>
            <w:tabs>
              <w:tab w:pos="8307" w:val="left" w:leader="dot"/>
            </w:tabs>
            <w:spacing w:line="240" w:lineRule="auto"/>
            <w:ind w:right="0"/>
            <w:jc w:val="left"/>
            <w:rPr>
              <w:b w:val="0"/>
              <w:bCs w:val="0"/>
            </w:rPr>
          </w:pPr>
          <w:hyperlink w:history="true" w:anchor="_TOC_250001">
            <w:r>
              <w:rPr>
                <w:w w:val="95"/>
              </w:rPr>
              <w:t>十、财务报告…</w:t>
            </w:r>
            <w:r>
              <w:rPr>
                <w:rFonts w:ascii="Times New Roman" w:hAnsi="Times New Roman" w:cs="Times New Roman" w:eastAsia="Times New Roman" w:hint="default"/>
                <w:b w:val="0"/>
                <w:bCs w:val="0"/>
                <w:w w:val="95"/>
              </w:rPr>
              <w:tab/>
            </w:r>
            <w:r>
              <w:rPr/>
              <w:t>36</w:t>
            </w:r>
            <w:r>
              <w:rPr>
                <w:b w:val="0"/>
                <w:bCs w:val="0"/>
              </w:rPr>
            </w:r>
          </w:hyperlink>
        </w:p>
        <w:p>
          <w:pPr>
            <w:pStyle w:val="TOC1"/>
            <w:tabs>
              <w:tab w:pos="8307" w:val="left" w:leader="dot"/>
            </w:tabs>
            <w:spacing w:line="240" w:lineRule="auto"/>
            <w:ind w:right="0"/>
            <w:jc w:val="left"/>
            <w:rPr>
              <w:b w:val="0"/>
              <w:bCs w:val="0"/>
            </w:rPr>
          </w:pPr>
          <w:hyperlink w:history="true" w:anchor="_TOC_250000">
            <w:r>
              <w:rPr>
                <w:w w:val="95"/>
              </w:rPr>
              <w:t>十一、备查文件目录…</w:t>
            </w:r>
            <w:r>
              <w:rPr>
                <w:rFonts w:ascii="Times New Roman" w:hAnsi="Times New Roman" w:cs="Times New Roman" w:eastAsia="Times New Roman" w:hint="default"/>
                <w:b w:val="0"/>
                <w:bCs w:val="0"/>
                <w:w w:val="95"/>
              </w:rPr>
              <w:tab/>
            </w:r>
            <w:r>
              <w:rPr/>
              <w:t>110</w:t>
            </w:r>
            <w:r>
              <w:rPr>
                <w:b w:val="0"/>
                <w:bCs w:val="0"/>
              </w:rPr>
            </w:r>
          </w:hyperlink>
        </w:p>
      </w:sdtContent>
    </w:sd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6"/>
          <w:szCs w:val="26"/>
        </w:rPr>
      </w:pPr>
    </w:p>
    <w:p>
      <w:pPr>
        <w:spacing w:before="0"/>
        <w:ind w:left="3752" w:right="3789" w:firstLine="0"/>
        <w:jc w:val="center"/>
        <w:rPr>
          <w:rFonts w:ascii="Times New Roman" w:hAnsi="Times New Roman" w:cs="Times New Roman" w:eastAsia="Times New Roman" w:hint="default"/>
          <w:sz w:val="18"/>
          <w:szCs w:val="18"/>
        </w:rPr>
      </w:pPr>
      <w:r>
        <w:rPr>
          <w:rFonts w:ascii="Times New Roman"/>
          <w:sz w:val="18"/>
        </w:rPr>
        <w:t>2</w:t>
      </w:r>
    </w:p>
    <w:p>
      <w:pPr>
        <w:spacing w:after="0"/>
        <w:jc w:val="center"/>
        <w:rPr>
          <w:rFonts w:ascii="Times New Roman" w:hAnsi="Times New Roman" w:cs="Times New Roman" w:eastAsia="Times New Roman" w:hint="default"/>
          <w:sz w:val="18"/>
          <w:szCs w:val="18"/>
        </w:rPr>
        <w:sectPr>
          <w:pgSz w:w="11910" w:h="16840"/>
          <w:pgMar w:top="780" w:bottom="280" w:left="1160" w:right="1240"/>
        </w:sectPr>
      </w:pPr>
    </w:p>
    <w:p>
      <w:pPr>
        <w:spacing w:line="240" w:lineRule="auto" w:before="1"/>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top="780" w:bottom="280" w:left="1280" w:right="1440"/>
        </w:sectPr>
      </w:pPr>
    </w:p>
    <w:p>
      <w:pPr>
        <w:spacing w:line="240" w:lineRule="auto" w:before="1"/>
        <w:rPr>
          <w:rFonts w:ascii="Times New Roman" w:hAnsi="Times New Roman" w:cs="Times New Roman" w:eastAsia="Times New Roman" w:hint="default"/>
          <w:sz w:val="40"/>
          <w:szCs w:val="40"/>
        </w:rPr>
      </w:pPr>
    </w:p>
    <w:p>
      <w:pPr>
        <w:pStyle w:val="Heading1"/>
        <w:spacing w:line="240" w:lineRule="auto"/>
        <w:ind w:left="618" w:right="0"/>
        <w:jc w:val="left"/>
        <w:rPr>
          <w:b w:val="0"/>
          <w:bCs w:val="0"/>
        </w:rPr>
      </w:pPr>
      <w:r>
        <w:rPr/>
        <w:pict>
          <v:shape style="position:absolute;margin-left:70.860001pt;margin-top:-34.528114pt;width:95.052pt;height:25.5pt;mso-position-horizontal-relative:page;mso-position-vertical-relative:paragraph;z-index:1120" type="#_x0000_t75" stroked="false">
            <v:imagedata r:id="rId5" o:title=""/>
          </v:shape>
        </w:pict>
      </w:r>
      <w:r>
        <w:rPr/>
        <w:pict>
          <v:group style="position:absolute;margin-left:69.419998pt;margin-top:-4.588130pt;width:444.5pt;height:.1pt;mso-position-horizontal-relative:page;mso-position-vertical-relative:paragraph;z-index:1144" coordorigin="1388,-92" coordsize="8890,2">
            <v:shape style="position:absolute;left:1388;top:-92;width:8890;height:2" coordorigin="1388,-92" coordsize="8890,0" path="m1388,-92l10278,-92e" filled="false" stroked="true" strokeweight=".72003pt" strokecolor="#000000">
              <v:path arrowok="t"/>
            </v:shape>
            <w10:wrap type="none"/>
          </v:group>
        </w:pict>
      </w:r>
      <w:bookmarkStart w:name="_TOC_250010" w:id="1"/>
      <w:r>
        <w:rPr>
          <w:w w:val="95"/>
        </w:rPr>
        <w:t>一、公司基本情况简介</w:t>
      </w:r>
      <w:bookmarkEnd w:id="1"/>
      <w:r>
        <w:rPr>
          <w:b w:val="0"/>
          <w:bCs w:val="0"/>
        </w:rPr>
      </w:r>
    </w:p>
    <w:p>
      <w:pPr>
        <w:pStyle w:val="Heading4"/>
        <w:tabs>
          <w:tab w:pos="3450" w:val="left" w:leader="none"/>
        </w:tabs>
        <w:spacing w:line="240" w:lineRule="auto"/>
        <w:ind w:left="137" w:right="0"/>
        <w:jc w:val="left"/>
        <w:rPr>
          <w:b w:val="0"/>
          <w:bCs w:val="0"/>
        </w:rPr>
      </w:pPr>
      <w:r>
        <w:rPr>
          <w:b w:val="0"/>
          <w:bCs w:val="0"/>
        </w:rPr>
        <w:br w:type="column"/>
      </w:r>
      <w:r>
        <w:rPr/>
        <w:t>2009</w:t>
      </w:r>
      <w:r>
        <w:rPr>
          <w:spacing w:val="-63"/>
        </w:rPr>
        <w:t> </w:t>
      </w:r>
      <w:r>
        <w:rPr/>
        <w:t>年年度报告正文</w:t>
        <w:tab/>
        <w:t>证券代码</w:t>
      </w:r>
      <w:r>
        <w:rPr>
          <w:spacing w:val="-63"/>
        </w:rPr>
        <w:t> </w:t>
      </w:r>
      <w:r>
        <w:rPr/>
        <w:t>000607</w:t>
      </w:r>
      <w:r>
        <w:rPr>
          <w:b w:val="0"/>
          <w:bCs w:val="0"/>
        </w:rPr>
      </w:r>
    </w:p>
    <w:p>
      <w:pPr>
        <w:spacing w:after="0" w:line="240" w:lineRule="auto"/>
        <w:jc w:val="left"/>
        <w:sectPr>
          <w:type w:val="continuous"/>
          <w:pgSz w:w="11910" w:h="16840"/>
          <w:pgMar w:top="780" w:bottom="280" w:left="1280" w:right="1440"/>
          <w:cols w:num="2" w:equalWidth="0">
            <w:col w:w="3422" w:space="91"/>
            <w:col w:w="5677"/>
          </w:cols>
        </w:sectPr>
      </w:pPr>
    </w:p>
    <w:p>
      <w:pPr>
        <w:spacing w:line="240" w:lineRule="auto" w:before="9"/>
        <w:rPr>
          <w:rFonts w:ascii="黑体" w:hAnsi="黑体" w:cs="黑体" w:eastAsia="黑体" w:hint="default"/>
          <w:b/>
          <w:bCs/>
          <w:sz w:val="16"/>
          <w:szCs w:val="16"/>
        </w:rPr>
      </w:pPr>
    </w:p>
    <w:p>
      <w:pPr>
        <w:pStyle w:val="Heading3"/>
        <w:spacing w:line="336" w:lineRule="auto" w:before="26"/>
        <w:ind w:left="1338" w:right="506" w:hanging="720"/>
        <w:jc w:val="left"/>
      </w:pPr>
      <w:r>
        <w:rPr/>
        <w:t>（一）公司的法定中文名称：重庆华立药业股份有限公司 公司的法定英文名称：HOLLEY PHARMACEUTICALS(CHONGQING) CO.,LTD</w:t>
      </w:r>
    </w:p>
    <w:p>
      <w:pPr>
        <w:pStyle w:val="Heading3"/>
        <w:spacing w:line="240" w:lineRule="auto" w:before="30"/>
        <w:ind w:left="2099" w:right="2724"/>
        <w:jc w:val="center"/>
      </w:pPr>
      <w:r>
        <w:rPr/>
        <w:t>英文名称缩写：HOLLEY PHARMACEUTICALS</w:t>
      </w:r>
    </w:p>
    <w:p>
      <w:pPr>
        <w:pStyle w:val="Heading3"/>
        <w:spacing w:line="240" w:lineRule="auto" w:before="126"/>
        <w:ind w:left="618" w:right="506"/>
        <w:jc w:val="left"/>
      </w:pPr>
      <w:r>
        <w:rPr/>
        <w:t>（二）公司法定代表人：刘小斌</w:t>
      </w:r>
    </w:p>
    <w:p>
      <w:pPr>
        <w:pStyle w:val="Heading3"/>
        <w:spacing w:line="240" w:lineRule="auto" w:before="125"/>
        <w:ind w:left="618" w:right="506"/>
        <w:jc w:val="left"/>
      </w:pPr>
      <w:r>
        <w:rPr/>
        <w:t>（三）公司董事会秘书：宋大捷</w:t>
      </w:r>
    </w:p>
    <w:p>
      <w:pPr>
        <w:pStyle w:val="Heading3"/>
        <w:tabs>
          <w:tab w:pos="2718" w:val="left" w:leader="none"/>
        </w:tabs>
        <w:spacing w:line="336" w:lineRule="auto" w:before="126"/>
        <w:ind w:left="1998" w:right="4425"/>
        <w:jc w:val="left"/>
      </w:pPr>
      <w:r>
        <w:rPr/>
        <w:t>联系电话：023－68269922 传</w:t>
        <w:tab/>
        <w:t>真：023－68269900</w:t>
      </w:r>
    </w:p>
    <w:p>
      <w:pPr>
        <w:pStyle w:val="Heading3"/>
        <w:spacing w:line="336" w:lineRule="auto" w:before="29"/>
        <w:ind w:left="1998" w:right="1766"/>
        <w:jc w:val="left"/>
      </w:pPr>
      <w:r>
        <w:rPr/>
        <w:t>联系地址：重庆市北碚区童家溪镇同兴园区一路8号 邮政编码：400709</w:t>
      </w:r>
      <w:hyperlink r:id="rId7">
        <w:r>
          <w:rPr/>
          <w:t> 电子信箱：dajie.song@holley.cn</w:t>
        </w:r>
      </w:hyperlink>
    </w:p>
    <w:p>
      <w:pPr>
        <w:pStyle w:val="Heading3"/>
        <w:spacing w:line="336" w:lineRule="auto" w:before="29"/>
        <w:ind w:left="1878" w:right="746" w:hanging="1260"/>
        <w:jc w:val="left"/>
      </w:pPr>
      <w:r>
        <w:rPr/>
        <w:t>（四）公司注册地址、办公地址：重庆市北碚区童家溪镇同兴园区一路8号 邮政编码：400709</w:t>
      </w:r>
    </w:p>
    <w:p>
      <w:pPr>
        <w:pStyle w:val="Heading3"/>
        <w:spacing w:line="336" w:lineRule="auto" w:before="30"/>
        <w:ind w:left="1398" w:right="2246"/>
        <w:jc w:val="left"/>
      </w:pPr>
      <w:hyperlink r:id="rId8">
        <w:r>
          <w:rPr/>
          <w:t>公司国际互联网网址：HTTP://www.holleypharm.com</w:t>
        </w:r>
      </w:hyperlink>
      <w:r>
        <w:rPr/>
        <w:t> </w:t>
      </w:r>
      <w:hyperlink r:id="rId9">
        <w:r>
          <w:rPr/>
          <w:t>公司电子信箱：cq.holleypharm@holley.cn</w:t>
        </w:r>
      </w:hyperlink>
    </w:p>
    <w:p>
      <w:pPr>
        <w:pStyle w:val="Heading3"/>
        <w:spacing w:line="240" w:lineRule="auto" w:before="30"/>
        <w:ind w:left="618" w:right="506"/>
        <w:jc w:val="left"/>
      </w:pPr>
      <w:r>
        <w:rPr/>
        <w:t>（五）公司选定的信息披露报纸名称</w:t>
      </w:r>
      <w:r>
        <w:rPr>
          <w:spacing w:val="-120"/>
        </w:rPr>
        <w:t>：</w:t>
      </w:r>
      <w:r>
        <w:rPr/>
        <w:t>《中国证券报</w:t>
      </w:r>
      <w:r>
        <w:rPr>
          <w:spacing w:val="-120"/>
        </w:rPr>
        <w:t>》、</w:t>
      </w:r>
      <w:r>
        <w:rPr/>
        <w:t>《证券时报</w:t>
      </w:r>
      <w:r>
        <w:rPr>
          <w:spacing w:val="-120"/>
        </w:rPr>
        <w:t>》</w:t>
      </w:r>
      <w:r>
        <w:rPr/>
        <w:t>、</w:t>
      </w:r>
    </w:p>
    <w:p>
      <w:pPr>
        <w:pStyle w:val="Heading3"/>
        <w:spacing w:line="336" w:lineRule="auto" w:before="126"/>
        <w:ind w:left="1278" w:right="206" w:firstLine="3300"/>
        <w:jc w:val="left"/>
      </w:pPr>
      <w:r>
        <w:rPr>
          <w:spacing w:val="-18"/>
        </w:rPr>
        <w:t>《上海证券报》、《证券日报》</w:t>
      </w:r>
      <w:hyperlink r:id="rId10">
        <w:r>
          <w:rPr/>
          <w:t> 登载年度报告的中国证监会指定网站的网址：HTTP://www.cninfo.com.cn</w:t>
        </w:r>
      </w:hyperlink>
      <w:r>
        <w:rPr/>
        <w:t> 公司年度报告备置地点：公司投资管理部</w:t>
      </w:r>
    </w:p>
    <w:p>
      <w:pPr>
        <w:pStyle w:val="Heading3"/>
        <w:spacing w:line="240" w:lineRule="auto" w:before="30"/>
        <w:ind w:left="618" w:right="506"/>
        <w:jc w:val="left"/>
      </w:pPr>
      <w:r>
        <w:rPr/>
        <w:t>（六）公司股票上市交易所：深圳证券交易所</w:t>
      </w:r>
    </w:p>
    <w:p>
      <w:pPr>
        <w:pStyle w:val="Heading3"/>
        <w:tabs>
          <w:tab w:pos="5118" w:val="left" w:leader="none"/>
        </w:tabs>
        <w:spacing w:line="240" w:lineRule="auto" w:before="125"/>
        <w:ind w:left="2478" w:right="506"/>
        <w:jc w:val="left"/>
      </w:pPr>
      <w:r>
        <w:rPr/>
        <w:t>证券简称：华立药业</w:t>
        <w:tab/>
        <w:t>证券代码：000607</w:t>
      </w:r>
    </w:p>
    <w:p>
      <w:pPr>
        <w:pStyle w:val="Heading3"/>
        <w:spacing w:line="240" w:lineRule="auto" w:before="126"/>
        <w:ind w:left="618" w:right="506"/>
        <w:jc w:val="left"/>
      </w:pPr>
      <w:r>
        <w:rPr/>
        <w:t>（七）其他有关资料</w:t>
      </w:r>
    </w:p>
    <w:p>
      <w:pPr>
        <w:pStyle w:val="Heading3"/>
        <w:spacing w:line="336" w:lineRule="auto" w:before="126"/>
        <w:ind w:left="1278" w:right="86"/>
        <w:jc w:val="left"/>
      </w:pPr>
      <w:r>
        <w:rPr/>
        <w:t>1、公司首次注册登记日期、地点： 公司于1996年12月18日在重庆市工商行政管理局办理了首次注册登记。 2、公司最近一次变更注册登记日期、地点： 公司于2008年8月27日在重庆市工商行政管理局办理了公司变更注册登记。 3、公司企业法人营业执照注册号：5000001804751</w:t>
      </w:r>
    </w:p>
    <w:p>
      <w:pPr>
        <w:pStyle w:val="Heading3"/>
        <w:spacing w:line="240" w:lineRule="auto" w:before="30"/>
        <w:ind w:left="1292" w:right="506"/>
        <w:jc w:val="left"/>
      </w:pPr>
      <w:r>
        <w:rPr/>
        <w:t>4、公司税务登记号码：500109202823494</w:t>
      </w:r>
    </w:p>
    <w:p>
      <w:pPr>
        <w:pStyle w:val="Heading3"/>
        <w:spacing w:line="240" w:lineRule="auto" w:before="126"/>
        <w:ind w:left="1292" w:right="506"/>
        <w:jc w:val="left"/>
      </w:pPr>
      <w:r>
        <w:rPr/>
        <w:t>5、组织机构代码：20282349-4</w:t>
      </w:r>
    </w:p>
    <w:p>
      <w:pPr>
        <w:pStyle w:val="Heading3"/>
        <w:spacing w:line="336" w:lineRule="auto" w:before="125"/>
        <w:ind w:left="1638" w:right="806" w:hanging="360"/>
        <w:jc w:val="left"/>
      </w:pPr>
      <w:r>
        <w:rPr/>
        <w:t>6、公司聘请的会计师事务所名称：天健正信会计师事务所有限公司 办公地址：北京市西城区月坛北街26号恒华国际商务中心4层401</w:t>
      </w:r>
    </w:p>
    <w:p>
      <w:pPr>
        <w:spacing w:line="240" w:lineRule="auto" w:before="1"/>
        <w:rPr>
          <w:rFonts w:ascii="宋体" w:hAnsi="宋体" w:cs="宋体" w:eastAsia="宋体" w:hint="default"/>
          <w:sz w:val="18"/>
          <w:szCs w:val="18"/>
        </w:rPr>
      </w:pPr>
    </w:p>
    <w:p>
      <w:pPr>
        <w:spacing w:before="76"/>
        <w:ind w:left="2099" w:right="1819" w:firstLine="0"/>
        <w:jc w:val="center"/>
        <w:rPr>
          <w:rFonts w:ascii="Times New Roman" w:hAnsi="Times New Roman" w:cs="Times New Roman" w:eastAsia="Times New Roman" w:hint="default"/>
          <w:sz w:val="18"/>
          <w:szCs w:val="18"/>
        </w:rPr>
      </w:pPr>
      <w:r>
        <w:rPr>
          <w:rFonts w:ascii="Times New Roman"/>
          <w:sz w:val="18"/>
        </w:rPr>
        <w:t>3</w:t>
      </w:r>
    </w:p>
    <w:p>
      <w:pPr>
        <w:spacing w:after="0"/>
        <w:jc w:val="center"/>
        <w:rPr>
          <w:rFonts w:ascii="Times New Roman" w:hAnsi="Times New Roman" w:cs="Times New Roman" w:eastAsia="Times New Roman" w:hint="default"/>
          <w:sz w:val="18"/>
          <w:szCs w:val="18"/>
        </w:rPr>
        <w:sectPr>
          <w:type w:val="continuous"/>
          <w:pgSz w:w="11910" w:h="16840"/>
          <w:pgMar w:top="780" w:bottom="280" w:left="1280" w:right="1440"/>
        </w:sectPr>
      </w:pPr>
    </w:p>
    <w:p>
      <w:pPr>
        <w:spacing w:line="240" w:lineRule="auto" w:before="1"/>
        <w:rPr>
          <w:rFonts w:ascii="Times New Roman" w:hAnsi="Times New Roman" w:cs="Times New Roman" w:eastAsia="Times New Roman" w:hint="default"/>
          <w:sz w:val="26"/>
          <w:szCs w:val="26"/>
        </w:rPr>
      </w:pPr>
    </w:p>
    <w:p>
      <w:pPr>
        <w:pStyle w:val="Heading4"/>
        <w:tabs>
          <w:tab w:pos="6963" w:val="left" w:leader="none"/>
        </w:tabs>
        <w:spacing w:line="240" w:lineRule="auto"/>
        <w:ind w:left="3650" w:right="226"/>
        <w:jc w:val="left"/>
        <w:rPr>
          <w:b w:val="0"/>
          <w:bCs w:val="0"/>
        </w:rPr>
      </w:pPr>
      <w:r>
        <w:rPr/>
        <w:pict>
          <v:shape style="position:absolute;margin-left:64.860001pt;margin-top:-11.486001pt;width:95.052pt;height:25.5pt;mso-position-horizontal-relative:page;mso-position-vertical-relative:paragraph;z-index:1192"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2003pt" strokecolor="#000000">
                <v:path arrowok="t"/>
              </v:shape>
            </v:group>
          </v:group>
        </w:pict>
      </w:r>
      <w:r>
        <w:rPr>
          <w:rFonts w:ascii="黑体" w:hAnsi="黑体" w:cs="黑体" w:eastAsia="黑体" w:hint="default"/>
          <w:sz w:val="2"/>
          <w:szCs w:val="2"/>
        </w:rPr>
      </w:r>
    </w:p>
    <w:p>
      <w:pPr>
        <w:pStyle w:val="Heading1"/>
        <w:spacing w:line="240" w:lineRule="auto" w:before="19"/>
        <w:ind w:left="618" w:right="226"/>
        <w:jc w:val="left"/>
        <w:rPr>
          <w:b w:val="0"/>
          <w:bCs w:val="0"/>
        </w:rPr>
      </w:pPr>
      <w:bookmarkStart w:name="_TOC_250009" w:id="2"/>
      <w:r>
        <w:rPr/>
        <w:t>二、会计数据和业务数据摘要</w:t>
      </w:r>
      <w:bookmarkEnd w:id="2"/>
      <w:r>
        <w:rPr>
          <w:b w:val="0"/>
          <w:bCs w:val="0"/>
        </w:rPr>
      </w:r>
    </w:p>
    <w:p>
      <w:pPr>
        <w:spacing w:before="166"/>
        <w:ind w:left="618" w:right="226" w:firstLine="0"/>
        <w:jc w:val="left"/>
        <w:rPr>
          <w:rFonts w:ascii="宋体" w:hAnsi="宋体" w:cs="宋体" w:eastAsia="宋体" w:hint="default"/>
          <w:sz w:val="24"/>
          <w:szCs w:val="24"/>
        </w:rPr>
      </w:pPr>
      <w:r>
        <w:rPr>
          <w:rFonts w:ascii="宋体" w:hAnsi="宋体" w:cs="宋体" w:eastAsia="宋体" w:hint="default"/>
          <w:b/>
          <w:bCs/>
          <w:sz w:val="24"/>
          <w:szCs w:val="24"/>
        </w:rPr>
        <w:t>（一）2009年度会计数据</w:t>
      </w:r>
      <w:r>
        <w:rPr>
          <w:rFonts w:ascii="宋体" w:hAnsi="宋体" w:cs="宋体" w:eastAsia="宋体" w:hint="default"/>
          <w:sz w:val="24"/>
          <w:szCs w:val="24"/>
        </w:rPr>
      </w:r>
    </w:p>
    <w:p>
      <w:pPr>
        <w:spacing w:line="240" w:lineRule="auto" w:before="9"/>
        <w:rPr>
          <w:rFonts w:ascii="宋体" w:hAnsi="宋体" w:cs="宋体" w:eastAsia="宋体" w:hint="default"/>
          <w:b/>
          <w:bCs/>
          <w:sz w:val="17"/>
          <w:szCs w:val="17"/>
        </w:rPr>
      </w:pPr>
    </w:p>
    <w:p>
      <w:pPr>
        <w:pStyle w:val="Heading3"/>
        <w:spacing w:line="240" w:lineRule="auto" w:before="0"/>
        <w:ind w:left="0" w:right="301"/>
        <w:jc w:val="right"/>
      </w:pPr>
      <w:r>
        <w:rPr/>
        <w:t>单位</w:t>
      </w:r>
      <w:r>
        <w:rPr>
          <w:spacing w:val="-122"/>
        </w:rPr>
        <w:t>：</w:t>
      </w:r>
      <w:r>
        <w:rPr/>
        <w:t>（人民币）元</w:t>
      </w:r>
    </w:p>
    <w:p>
      <w:pPr>
        <w:spacing w:line="240" w:lineRule="auto" w:before="8"/>
        <w:rPr>
          <w:rFonts w:ascii="宋体" w:hAnsi="宋体" w:cs="宋体" w:eastAsia="宋体" w:hint="default"/>
          <w:sz w:val="20"/>
          <w:szCs w:val="20"/>
        </w:rPr>
      </w:pPr>
    </w:p>
    <w:tbl>
      <w:tblPr>
        <w:tblW w:w="0" w:type="auto"/>
        <w:jc w:val="left"/>
        <w:tblInd w:w="553" w:type="dxa"/>
        <w:tblLayout w:type="fixed"/>
        <w:tblCellMar>
          <w:top w:w="0" w:type="dxa"/>
          <w:left w:w="0" w:type="dxa"/>
          <w:bottom w:w="0" w:type="dxa"/>
          <w:right w:w="0" w:type="dxa"/>
        </w:tblCellMar>
        <w:tblLook w:val="01E0"/>
      </w:tblPr>
      <w:tblGrid>
        <w:gridCol w:w="6090"/>
        <w:gridCol w:w="2416"/>
      </w:tblGrid>
      <w:tr>
        <w:trPr>
          <w:trHeight w:val="510"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tabs>
                <w:tab w:pos="602" w:val="left" w:leader="none"/>
              </w:tabs>
              <w:spacing w:line="240" w:lineRule="auto" w:before="54"/>
              <w:ind w:right="1"/>
              <w:jc w:val="center"/>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tabs>
                <w:tab w:pos="1383" w:val="left" w:leader="none"/>
              </w:tabs>
              <w:spacing w:line="240" w:lineRule="auto" w:before="54"/>
              <w:ind w:left="781" w:right="0"/>
              <w:jc w:val="left"/>
              <w:rPr>
                <w:rFonts w:ascii="宋体" w:hAnsi="宋体" w:cs="宋体" w:eastAsia="宋体" w:hint="default"/>
                <w:sz w:val="24"/>
                <w:szCs w:val="24"/>
              </w:rPr>
            </w:pPr>
            <w:r>
              <w:rPr>
                <w:rFonts w:ascii="宋体" w:hAnsi="宋体" w:cs="宋体" w:eastAsia="宋体" w:hint="default"/>
                <w:b/>
                <w:bCs/>
                <w:w w:val="95"/>
                <w:sz w:val="24"/>
                <w:szCs w:val="24"/>
              </w:rPr>
              <w:t>金</w:t>
              <w:tab/>
            </w:r>
            <w:r>
              <w:rPr>
                <w:rFonts w:ascii="宋体" w:hAnsi="宋体" w:cs="宋体" w:eastAsia="宋体" w:hint="default"/>
                <w:b/>
                <w:bCs/>
                <w:sz w:val="24"/>
                <w:szCs w:val="24"/>
              </w:rPr>
              <w:t>额</w:t>
            </w:r>
            <w:r>
              <w:rPr>
                <w:rFonts w:ascii="宋体" w:hAnsi="宋体" w:cs="宋体" w:eastAsia="宋体" w:hint="default"/>
                <w:sz w:val="24"/>
                <w:szCs w:val="24"/>
              </w:rPr>
            </w:r>
          </w:p>
        </w:tc>
      </w:tr>
      <w:tr>
        <w:trPr>
          <w:trHeight w:val="510"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4"/>
                <w:szCs w:val="24"/>
              </w:rPr>
            </w:pPr>
            <w:r>
              <w:rPr>
                <w:rFonts w:ascii="宋体"/>
                <w:sz w:val="24"/>
              </w:rPr>
              <w:t>-55,576,327.96</w:t>
            </w:r>
          </w:p>
        </w:tc>
      </w:tr>
      <w:tr>
        <w:trPr>
          <w:trHeight w:val="510"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4"/>
                <w:szCs w:val="24"/>
              </w:rPr>
            </w:pPr>
            <w:r>
              <w:rPr>
                <w:rFonts w:ascii="宋体"/>
                <w:sz w:val="24"/>
              </w:rPr>
              <w:t>-50,741,507.06</w:t>
            </w:r>
          </w:p>
        </w:tc>
      </w:tr>
      <w:tr>
        <w:trPr>
          <w:trHeight w:val="510"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4"/>
                <w:szCs w:val="24"/>
              </w:rPr>
            </w:pPr>
            <w:r>
              <w:rPr>
                <w:rFonts w:ascii="宋体"/>
                <w:sz w:val="24"/>
              </w:rPr>
              <w:t>-82,890,070.59</w:t>
            </w:r>
          </w:p>
        </w:tc>
      </w:tr>
      <w:tr>
        <w:trPr>
          <w:trHeight w:val="510"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归属于上市公司股东的扣除非经营性损益后的净利润</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4"/>
                <w:szCs w:val="24"/>
              </w:rPr>
            </w:pPr>
            <w:r>
              <w:rPr>
                <w:rFonts w:ascii="宋体"/>
                <w:sz w:val="24"/>
              </w:rPr>
              <w:t>-79,335,752.78</w:t>
            </w:r>
          </w:p>
        </w:tc>
      </w:tr>
      <w:tr>
        <w:trPr>
          <w:trHeight w:val="510"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宋体" w:hAnsi="宋体" w:cs="宋体" w:eastAsia="宋体" w:hint="default"/>
                <w:sz w:val="24"/>
                <w:szCs w:val="24"/>
              </w:rPr>
              <w:t>投资收益</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4"/>
                <w:szCs w:val="24"/>
              </w:rPr>
            </w:pPr>
            <w:r>
              <w:rPr>
                <w:rFonts w:ascii="宋体"/>
                <w:sz w:val="24"/>
              </w:rPr>
              <w:t>-765,837.95</w:t>
            </w:r>
          </w:p>
        </w:tc>
      </w:tr>
      <w:tr>
        <w:trPr>
          <w:trHeight w:val="510"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4"/>
                <w:szCs w:val="24"/>
              </w:rPr>
            </w:pPr>
            <w:r>
              <w:rPr>
                <w:rFonts w:ascii="宋体"/>
                <w:sz w:val="24"/>
              </w:rPr>
              <w:t>79,483,655.65</w:t>
            </w:r>
          </w:p>
        </w:tc>
      </w:tr>
      <w:tr>
        <w:trPr>
          <w:trHeight w:val="511" w:hRule="exact"/>
        </w:trPr>
        <w:tc>
          <w:tcPr>
            <w:tcW w:w="6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4"/>
                <w:szCs w:val="24"/>
              </w:rPr>
            </w:pPr>
            <w:r>
              <w:rPr>
                <w:rFonts w:ascii="宋体" w:hAnsi="宋体" w:cs="宋体" w:eastAsia="宋体" w:hint="default"/>
                <w:sz w:val="24"/>
                <w:szCs w:val="24"/>
              </w:rPr>
              <w:t>现金及现金等价物净增加额</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4"/>
                <w:szCs w:val="24"/>
              </w:rPr>
            </w:pPr>
            <w:r>
              <w:rPr>
                <w:rFonts w:ascii="宋体"/>
                <w:sz w:val="24"/>
              </w:rPr>
              <w:t>18,401,240.36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3"/>
        <w:spacing w:line="240" w:lineRule="auto" w:before="26"/>
        <w:ind w:left="620" w:right="226"/>
        <w:jc w:val="left"/>
      </w:pPr>
      <w:r>
        <w:rPr/>
        <w:t>注：扣除非经常性损益的项目及所涉及的金额：</w:t>
      </w:r>
    </w:p>
    <w:p>
      <w:pPr>
        <w:spacing w:line="240" w:lineRule="auto" w:before="8"/>
        <w:rPr>
          <w:rFonts w:ascii="宋体" w:hAnsi="宋体" w:cs="宋体" w:eastAsia="宋体" w:hint="default"/>
          <w:sz w:val="20"/>
          <w:szCs w:val="20"/>
        </w:rPr>
      </w:pPr>
    </w:p>
    <w:tbl>
      <w:tblPr>
        <w:tblW w:w="0" w:type="auto"/>
        <w:jc w:val="left"/>
        <w:tblInd w:w="553" w:type="dxa"/>
        <w:tblLayout w:type="fixed"/>
        <w:tblCellMar>
          <w:top w:w="0" w:type="dxa"/>
          <w:left w:w="0" w:type="dxa"/>
          <w:bottom w:w="0" w:type="dxa"/>
          <w:right w:w="0" w:type="dxa"/>
        </w:tblCellMar>
        <w:tblLook w:val="01E0"/>
      </w:tblPr>
      <w:tblGrid>
        <w:gridCol w:w="4830"/>
        <w:gridCol w:w="1890"/>
        <w:gridCol w:w="1890"/>
      </w:tblGrid>
      <w:tr>
        <w:trPr>
          <w:trHeight w:val="577"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447" w:right="0"/>
              <w:jc w:val="left"/>
              <w:rPr>
                <w:rFonts w:ascii="宋体" w:hAnsi="宋体" w:cs="宋体" w:eastAsia="宋体" w:hint="default"/>
                <w:sz w:val="24"/>
                <w:szCs w:val="24"/>
              </w:rPr>
            </w:pPr>
            <w:r>
              <w:rPr>
                <w:rFonts w:ascii="宋体" w:hAnsi="宋体" w:cs="宋体" w:eastAsia="宋体" w:hint="default"/>
                <w:b/>
                <w:bCs/>
                <w:sz w:val="24"/>
                <w:szCs w:val="24"/>
              </w:rPr>
              <w:t>非经常性损益项目</w:t>
            </w:r>
            <w:r>
              <w:rPr>
                <w:rFonts w:ascii="宋体" w:hAnsi="宋体" w:cs="宋体" w:eastAsia="宋体" w:hint="default"/>
                <w:sz w:val="24"/>
                <w:szCs w:val="24"/>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hAnsi="宋体" w:cs="宋体" w:eastAsia="宋体" w:hint="default"/>
                <w:b/>
                <w:bCs/>
                <w:sz w:val="24"/>
                <w:szCs w:val="24"/>
              </w:rPr>
              <w:t>金额</w:t>
            </w:r>
            <w:r>
              <w:rPr>
                <w:rFonts w:ascii="宋体" w:hAnsi="宋体" w:cs="宋体" w:eastAsia="宋体" w:hint="default"/>
                <w:sz w:val="24"/>
                <w:szCs w:val="24"/>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98" w:right="0"/>
              <w:jc w:val="left"/>
              <w:rPr>
                <w:rFonts w:ascii="宋体" w:hAnsi="宋体" w:cs="宋体" w:eastAsia="宋体" w:hint="default"/>
                <w:sz w:val="24"/>
                <w:szCs w:val="24"/>
              </w:rPr>
            </w:pPr>
            <w:r>
              <w:rPr>
                <w:rFonts w:ascii="宋体" w:hAnsi="宋体" w:cs="宋体" w:eastAsia="宋体" w:hint="default"/>
                <w:b/>
                <w:bCs/>
                <w:sz w:val="24"/>
                <w:szCs w:val="24"/>
              </w:rPr>
              <w:t>附注（如适用）</w:t>
            </w:r>
            <w:r>
              <w:rPr>
                <w:rFonts w:ascii="宋体" w:hAnsi="宋体" w:cs="宋体" w:eastAsia="宋体" w:hint="default"/>
                <w:sz w:val="24"/>
                <w:szCs w:val="24"/>
              </w:rPr>
            </w:r>
          </w:p>
        </w:tc>
      </w:tr>
      <w:tr>
        <w:trPr>
          <w:trHeight w:val="576"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24"/>
                <w:szCs w:val="24"/>
              </w:rPr>
            </w:pPr>
            <w:r>
              <w:rPr>
                <w:rFonts w:ascii="宋体"/>
                <w:sz w:val="24"/>
              </w:rPr>
              <w:t>-6,382,866.73</w:t>
            </w: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1014"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25"/>
              <w:ind w:left="22" w:right="23"/>
              <w:jc w:val="both"/>
              <w:rPr>
                <w:rFonts w:ascii="宋体" w:hAnsi="宋体" w:cs="宋体" w:eastAsia="宋体" w:hint="default"/>
                <w:sz w:val="24"/>
                <w:szCs w:val="24"/>
              </w:rPr>
            </w:pPr>
            <w:r>
              <w:rPr>
                <w:rFonts w:ascii="宋体" w:hAnsi="宋体" w:cs="宋体" w:eastAsia="宋体" w:hint="default"/>
                <w:spacing w:val="-2"/>
                <w:sz w:val="24"/>
                <w:szCs w:val="24"/>
              </w:rPr>
              <w:t>计入当期损益的政府补助，但与公司正常经营</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2"/>
                <w:sz w:val="24"/>
                <w:szCs w:val="24"/>
              </w:rPr>
              <w:t>业务密切相关，符合国家政策规定、按照一定</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标准定额或定量持续享受的政府补助除外</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3"/>
              <w:jc w:val="right"/>
              <w:rPr>
                <w:rFonts w:ascii="宋体" w:hAnsi="宋体" w:cs="宋体" w:eastAsia="宋体" w:hint="default"/>
                <w:sz w:val="24"/>
                <w:szCs w:val="24"/>
              </w:rPr>
            </w:pPr>
            <w:r>
              <w:rPr>
                <w:rFonts w:ascii="宋体"/>
                <w:sz w:val="24"/>
              </w:rPr>
              <w:t>10,712,681.32</w:t>
            </w: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24"/>
                <w:szCs w:val="24"/>
              </w:rPr>
            </w:pPr>
            <w:r>
              <w:rPr>
                <w:rFonts w:ascii="宋体"/>
                <w:sz w:val="24"/>
              </w:rPr>
              <w:t>505,006.31</w:t>
            </w: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577"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24"/>
                <w:szCs w:val="24"/>
              </w:rPr>
            </w:pPr>
            <w:r>
              <w:rPr>
                <w:rFonts w:ascii="宋体" w:hAnsi="宋体" w:cs="宋体" w:eastAsia="宋体" w:hint="default"/>
                <w:sz w:val="24"/>
                <w:szCs w:val="24"/>
              </w:rPr>
              <w:t>其他符合非经常性损益定义的损益项目</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24"/>
                <w:szCs w:val="24"/>
              </w:rPr>
            </w:pPr>
            <w:r>
              <w:rPr>
                <w:rFonts w:ascii="宋体"/>
                <w:sz w:val="24"/>
              </w:rPr>
              <w:t>-5,449,870.66</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24"/>
                <w:szCs w:val="24"/>
              </w:rPr>
            </w:pPr>
            <w:r>
              <w:rPr>
                <w:rFonts w:ascii="宋体" w:hAnsi="宋体" w:cs="宋体" w:eastAsia="宋体" w:hint="default"/>
                <w:sz w:val="24"/>
                <w:szCs w:val="24"/>
              </w:rPr>
              <w:t>系股权转让收益</w:t>
            </w:r>
          </w:p>
        </w:tc>
      </w:tr>
      <w:tr>
        <w:trPr>
          <w:trHeight w:val="577"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24"/>
                <w:szCs w:val="24"/>
              </w:rPr>
            </w:pPr>
            <w:r>
              <w:rPr>
                <w:rFonts w:ascii="宋体" w:hAnsi="宋体" w:cs="宋体" w:eastAsia="宋体" w:hint="default"/>
                <w:sz w:val="24"/>
                <w:szCs w:val="24"/>
              </w:rPr>
              <w:t>所得税影响额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24"/>
                <w:szCs w:val="24"/>
              </w:rPr>
            </w:pPr>
            <w:r>
              <w:rPr>
                <w:rFonts w:ascii="宋体"/>
                <w:sz w:val="24"/>
              </w:rPr>
              <w:t>-1,005,579.88</w:t>
            </w: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577"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2"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24"/>
                <w:szCs w:val="24"/>
              </w:rPr>
            </w:pPr>
            <w:r>
              <w:rPr>
                <w:rFonts w:ascii="宋体"/>
                <w:sz w:val="24"/>
              </w:rPr>
              <w:t>-1,933,688.17</w:t>
            </w:r>
          </w:p>
        </w:tc>
        <w:tc>
          <w:tcPr>
            <w:tcW w:w="1890" w:type="dxa"/>
            <w:tcBorders>
              <w:top w:val="single" w:sz="4" w:space="0" w:color="000000"/>
              <w:left w:val="single" w:sz="4" w:space="0" w:color="000000"/>
              <w:bottom w:val="single" w:sz="4" w:space="0" w:color="000000"/>
              <w:right w:val="single" w:sz="4" w:space="0" w:color="000000"/>
            </w:tcBorders>
          </w:tcPr>
          <w:p>
            <w:pPr/>
          </w:p>
        </w:tc>
      </w:tr>
      <w:tr>
        <w:trPr>
          <w:trHeight w:val="577"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tabs>
                <w:tab w:pos="839" w:val="left" w:leader="none"/>
              </w:tabs>
              <w:spacing w:line="240" w:lineRule="auto" w:before="88"/>
              <w:ind w:right="1"/>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3"/>
              <w:jc w:val="right"/>
              <w:rPr>
                <w:rFonts w:ascii="宋体" w:hAnsi="宋体" w:cs="宋体" w:eastAsia="宋体" w:hint="default"/>
                <w:sz w:val="24"/>
                <w:szCs w:val="24"/>
              </w:rPr>
            </w:pPr>
            <w:r>
              <w:rPr>
                <w:rFonts w:ascii="宋体"/>
                <w:sz w:val="24"/>
              </w:rPr>
              <w:t>-3,554,317.81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4"/>
                <w:szCs w:val="24"/>
              </w:rPr>
            </w:pPr>
            <w:r>
              <w:rPr>
                <w:rFonts w:ascii="宋体"/>
                <w:sz w:val="24"/>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76"/>
        <w:ind w:left="4531" w:right="4351" w:firstLine="0"/>
        <w:jc w:val="center"/>
        <w:rPr>
          <w:rFonts w:ascii="Times New Roman" w:hAnsi="Times New Roman" w:cs="Times New Roman" w:eastAsia="Times New Roman" w:hint="default"/>
          <w:sz w:val="18"/>
          <w:szCs w:val="18"/>
        </w:rPr>
      </w:pPr>
      <w:r>
        <w:rPr>
          <w:rFonts w:ascii="Times New Roman"/>
          <w:sz w:val="18"/>
        </w:rPr>
        <w:t>4</w:t>
      </w:r>
    </w:p>
    <w:p>
      <w:pPr>
        <w:spacing w:after="0"/>
        <w:jc w:val="center"/>
        <w:rPr>
          <w:rFonts w:ascii="Times New Roman" w:hAnsi="Times New Roman" w:cs="Times New Roman" w:eastAsia="Times New Roman" w:hint="default"/>
          <w:sz w:val="18"/>
          <w:szCs w:val="18"/>
        </w:rPr>
        <w:sectPr>
          <w:pgSz w:w="11910" w:h="16840"/>
          <w:pgMar w:top="780" w:bottom="280" w:left="1160" w:right="1460"/>
        </w:sectPr>
      </w:pPr>
    </w:p>
    <w:p>
      <w:pPr>
        <w:spacing w:line="240" w:lineRule="auto" w:before="11"/>
        <w:rPr>
          <w:rFonts w:ascii="Times New Roman" w:hAnsi="Times New Roman" w:cs="Times New Roman" w:eastAsia="Times New Roman" w:hint="default"/>
          <w:sz w:val="26"/>
          <w:szCs w:val="26"/>
        </w:rPr>
      </w:pPr>
    </w:p>
    <w:p>
      <w:pPr>
        <w:pStyle w:val="Heading4"/>
        <w:tabs>
          <w:tab w:pos="7416" w:val="left" w:leader="none"/>
        </w:tabs>
        <w:spacing w:line="240" w:lineRule="auto"/>
        <w:ind w:left="3790" w:right="0"/>
        <w:jc w:val="left"/>
        <w:rPr>
          <w:b w:val="0"/>
          <w:bCs w:val="0"/>
        </w:rPr>
      </w:pPr>
      <w:r>
        <w:rPr/>
        <w:pict>
          <v:shape style="position:absolute;margin-left:87.900002pt;margin-top:-11.486023pt;width:95.033pt;height:25.5pt;mso-position-horizontal-relative:page;mso-position-vertical-relative:paragraph;z-index:1240"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60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
        <w:rPr>
          <w:rFonts w:ascii="黑体" w:hAnsi="黑体" w:cs="黑体" w:eastAsia="黑体" w:hint="default"/>
          <w:b/>
          <w:bCs/>
          <w:sz w:val="15"/>
          <w:szCs w:val="15"/>
        </w:rPr>
      </w:pPr>
    </w:p>
    <w:p>
      <w:pPr>
        <w:spacing w:line="448" w:lineRule="auto" w:before="26"/>
        <w:ind w:left="1117" w:right="0" w:firstLine="0"/>
        <w:jc w:val="left"/>
        <w:rPr>
          <w:rFonts w:ascii="宋体" w:hAnsi="宋体" w:cs="宋体" w:eastAsia="宋体" w:hint="default"/>
          <w:sz w:val="24"/>
          <w:szCs w:val="24"/>
        </w:rPr>
      </w:pPr>
      <w:r>
        <w:rPr>
          <w:rFonts w:ascii="宋体" w:hAnsi="宋体" w:cs="宋体" w:eastAsia="宋体" w:hint="default"/>
          <w:b/>
          <w:bCs/>
          <w:w w:val="95"/>
          <w:sz w:val="24"/>
          <w:szCs w:val="24"/>
        </w:rPr>
        <w:t>（二）截止报告期末，公司前三年的主要会计数据和财务指标（单位：元）</w:t>
      </w:r>
      <w:r>
        <w:rPr>
          <w:rFonts w:ascii="宋体" w:hAnsi="宋体" w:cs="宋体" w:eastAsia="宋体" w:hint="default"/>
          <w:b/>
          <w:bCs/>
          <w:spacing w:val="22"/>
          <w:w w:val="95"/>
          <w:sz w:val="24"/>
          <w:szCs w:val="24"/>
        </w:rPr>
        <w:t> </w:t>
      </w:r>
      <w:r>
        <w:rPr>
          <w:rFonts w:ascii="宋体" w:hAnsi="宋体" w:cs="宋体" w:eastAsia="宋体" w:hint="default"/>
          <w:b/>
          <w:bCs/>
          <w:spacing w:val="22"/>
          <w:w w:val="95"/>
          <w:sz w:val="24"/>
          <w:szCs w:val="24"/>
        </w:rPr>
      </w:r>
      <w:r>
        <w:rPr>
          <w:rFonts w:ascii="宋体" w:hAnsi="宋体" w:cs="宋体" w:eastAsia="宋体" w:hint="default"/>
          <w:sz w:val="24"/>
          <w:szCs w:val="24"/>
        </w:rPr>
        <w:t>1、主要会计数据</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891"/>
        <w:gridCol w:w="1784"/>
        <w:gridCol w:w="1786"/>
        <w:gridCol w:w="2414"/>
        <w:gridCol w:w="1786"/>
      </w:tblGrid>
      <w:tr>
        <w:trPr>
          <w:trHeight w:val="577"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tabs>
                <w:tab w:pos="970" w:val="left" w:leader="none"/>
              </w:tabs>
              <w:spacing w:line="240" w:lineRule="auto" w:before="113"/>
              <w:ind w:left="550"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44"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44"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151" w:right="0"/>
              <w:jc w:val="left"/>
              <w:rPr>
                <w:rFonts w:ascii="宋体" w:hAnsi="宋体" w:cs="宋体" w:eastAsia="宋体" w:hint="default"/>
                <w:sz w:val="21"/>
                <w:szCs w:val="21"/>
              </w:rPr>
            </w:pPr>
            <w:r>
              <w:rPr>
                <w:rFonts w:ascii="宋体" w:hAnsi="宋体" w:cs="宋体" w:eastAsia="宋体" w:hint="default"/>
                <w:b/>
                <w:bCs/>
                <w:sz w:val="21"/>
                <w:szCs w:val="21"/>
              </w:rPr>
              <w:t>本年比上年增减（％）</w:t>
            </w:r>
            <w:r>
              <w:rPr>
                <w:rFonts w:ascii="宋体" w:hAnsi="宋体" w:cs="宋体" w:eastAsia="宋体"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44"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07"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1,955,611,259.51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2,862,342,584.17</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-31.68%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2,709,042,381.82</w:t>
            </w:r>
          </w:p>
        </w:tc>
      </w:tr>
      <w:tr>
        <w:trPr>
          <w:trHeight w:val="408"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-50,741,507.06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42,622,406.83</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-219.05%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-213,899,305.59</w:t>
            </w:r>
          </w:p>
        </w:tc>
      </w:tr>
      <w:tr>
        <w:trPr>
          <w:trHeight w:val="556"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东的净利润</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-82,890,070.59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4,717,562.55</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-1,857.05%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-199,111,181.86</w:t>
            </w:r>
          </w:p>
        </w:tc>
      </w:tr>
      <w:tr>
        <w:trPr>
          <w:trHeight w:val="829"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40" w:lineRule="auto"/>
              <w:ind w:left="310" w:right="98" w:hanging="210"/>
              <w:jc w:val="left"/>
              <w:rPr>
                <w:rFonts w:ascii="宋体" w:hAnsi="宋体" w:cs="宋体" w:eastAsia="宋体" w:hint="default"/>
                <w:sz w:val="21"/>
                <w:szCs w:val="21"/>
              </w:rPr>
            </w:pPr>
            <w:r>
              <w:rPr>
                <w:rFonts w:ascii="宋体" w:hAnsi="宋体" w:cs="宋体" w:eastAsia="宋体" w:hint="default"/>
                <w:sz w:val="21"/>
                <w:szCs w:val="21"/>
              </w:rPr>
              <w:t>东的扣除非经常性 损益的净利润</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-79,335,752.78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-13,798,454.34</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474.96%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-192,826,629.86</w:t>
            </w:r>
          </w:p>
        </w:tc>
      </w:tr>
      <w:tr>
        <w:trPr>
          <w:trHeight w:val="556"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金流量净额</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79,483,655.65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138,819,042.56</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-42.74%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112,877,433.79</w:t>
            </w:r>
          </w:p>
        </w:tc>
      </w:tr>
      <w:tr>
        <w:trPr>
          <w:trHeight w:val="577"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tabs>
                <w:tab w:pos="1046" w:val="left" w:leader="none"/>
              </w:tabs>
              <w:spacing w:line="240" w:lineRule="auto" w:before="113"/>
              <w:ind w:left="625" w:right="0"/>
              <w:jc w:val="left"/>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39"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39"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b/>
                <w:bCs/>
                <w:spacing w:val="-6"/>
                <w:sz w:val="21"/>
                <w:szCs w:val="21"/>
              </w:rPr>
              <w:t>本年末比上年末增减（％</w:t>
            </w:r>
            <w:r>
              <w:rPr>
                <w:rFonts w:ascii="宋体" w:hAnsi="宋体" w:cs="宋体" w:eastAsia="宋体" w:hint="default"/>
                <w:spacing w:val="-6"/>
                <w:sz w:val="21"/>
                <w:szCs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tabs>
                <w:tab w:pos="439" w:val="left" w:leader="none"/>
              </w:tabs>
              <w:spacing w:line="240" w:lineRule="auto" w:before="113"/>
              <w:ind w:left="-139" w:right="0"/>
              <w:jc w:val="left"/>
              <w:rPr>
                <w:rFonts w:ascii="宋体" w:hAnsi="宋体" w:cs="宋体" w:eastAsia="宋体" w:hint="default"/>
                <w:sz w:val="21"/>
                <w:szCs w:val="21"/>
              </w:rPr>
            </w:pPr>
            <w:r>
              <w:rPr>
                <w:rFonts w:ascii="宋体" w:hAnsi="宋体" w:cs="宋体" w:eastAsia="宋体" w:hint="default"/>
                <w:b/>
                <w:bCs/>
                <w:w w:val="95"/>
                <w:sz w:val="21"/>
                <w:szCs w:val="21"/>
              </w:rPr>
              <w:t>）</w:t>
              <w:tab/>
            </w:r>
            <w:r>
              <w:rPr>
                <w:rFonts w:ascii="宋体" w:hAnsi="宋体" w:cs="宋体" w:eastAsia="宋体" w:hint="default"/>
                <w:b/>
                <w:bCs/>
                <w:sz w:val="21"/>
                <w:szCs w:val="21"/>
              </w:rPr>
              <w:t>2007</w:t>
            </w:r>
            <w:r>
              <w:rPr>
                <w:rFonts w:ascii="宋体" w:hAnsi="宋体" w:cs="宋体" w:eastAsia="宋体" w:hint="default"/>
                <w:b/>
                <w:bCs/>
                <w:spacing w:val="-5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407"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25"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2,105,755,477.68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2,772,874,472.31</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-24.06%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3,058,735,220.69</w:t>
            </w:r>
          </w:p>
        </w:tc>
      </w:tr>
      <w:tr>
        <w:trPr>
          <w:trHeight w:val="556"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所有者权益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（或股东权益）</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490,643,242.89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573,700,424.14</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-14.48%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568,915,782.39</w:t>
            </w:r>
          </w:p>
        </w:tc>
      </w:tr>
      <w:tr>
        <w:trPr>
          <w:trHeight w:val="408" w:hRule="exact"/>
        </w:trPr>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487,731,995.00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487,731,995.00</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0.00%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pacing w:val="-1"/>
                <w:sz w:val="21"/>
              </w:rPr>
              <w:t>487,731,995.00</w:t>
            </w:r>
          </w:p>
        </w:tc>
      </w:tr>
    </w:tbl>
    <w:p>
      <w:pPr>
        <w:pStyle w:val="Heading3"/>
        <w:spacing w:line="240" w:lineRule="auto" w:before="81"/>
        <w:ind w:left="1118" w:right="0"/>
        <w:jc w:val="left"/>
      </w:pPr>
      <w:r>
        <w:rPr/>
        <w:pict>
          <v:group style="position:absolute;margin-left:455.640015pt;margin-top:-90.524086pt;width:87.6pt;height:14.75pt;mso-position-horizontal-relative:page;mso-position-vertical-relative:paragraph;z-index:-708328" coordorigin="9113,-1810" coordsize="1752,295">
            <v:group style="position:absolute;left:9124;top:-1799;width:2;height:272" coordorigin="9124,-1799" coordsize="2,272">
              <v:shape style="position:absolute;left:9124;top:-1799;width:2;height:272" coordorigin="9124,-1799" coordsize="0,272" path="m9124,-1799l9124,-1527e" filled="false" stroked="true" strokeweight="1.140pt" strokecolor="#ffffff">
                <v:path arrowok="t"/>
              </v:shape>
            </v:group>
            <v:group style="position:absolute;left:9136;top:-1800;width:1730;height:273" coordorigin="9136,-1800" coordsize="1730,273">
              <v:shape style="position:absolute;left:9136;top:-1800;width:1730;height:273" coordorigin="9136,-1800" coordsize="1730,273" path="m9136,-1527l10865,-1527,10865,-1800,9136,-1800,9136,-1527xe" filled="true" fillcolor="#ffffff" stroked="false">
                <v:path arrowok="t"/>
                <v:fill type="solid"/>
              </v:shape>
            </v:group>
            <w10:wrap type="none"/>
          </v:group>
        </w:pict>
      </w:r>
      <w:r>
        <w:rPr/>
        <w:t>2、财务指标</w:t>
      </w:r>
    </w:p>
    <w:p>
      <w:pPr>
        <w:spacing w:line="240" w:lineRule="auto" w:before="12"/>
        <w:rPr>
          <w:rFonts w:ascii="宋体" w:hAnsi="宋体" w:cs="宋体" w:eastAsia="宋体" w:hint="default"/>
          <w:sz w:val="23"/>
          <w:szCs w:val="23"/>
        </w:rPr>
      </w:pPr>
    </w:p>
    <w:tbl>
      <w:tblPr>
        <w:tblW w:w="0" w:type="auto"/>
        <w:jc w:val="left"/>
        <w:tblInd w:w="107" w:type="dxa"/>
        <w:tblLayout w:type="fixed"/>
        <w:tblCellMar>
          <w:top w:w="0" w:type="dxa"/>
          <w:left w:w="0" w:type="dxa"/>
          <w:bottom w:w="0" w:type="dxa"/>
          <w:right w:w="0" w:type="dxa"/>
        </w:tblCellMar>
        <w:tblLook w:val="01E0"/>
      </w:tblPr>
      <w:tblGrid>
        <w:gridCol w:w="2731"/>
        <w:gridCol w:w="1364"/>
        <w:gridCol w:w="1470"/>
        <w:gridCol w:w="2626"/>
        <w:gridCol w:w="1364"/>
      </w:tblGrid>
      <w:tr>
        <w:trPr>
          <w:trHeight w:val="577"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13"/>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34"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86"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55" w:right="0"/>
              <w:jc w:val="left"/>
              <w:rPr>
                <w:rFonts w:ascii="宋体" w:hAnsi="宋体" w:cs="宋体" w:eastAsia="宋体" w:hint="default"/>
                <w:sz w:val="21"/>
                <w:szCs w:val="21"/>
              </w:rPr>
            </w:pPr>
            <w:r>
              <w:rPr>
                <w:rFonts w:ascii="宋体" w:hAnsi="宋体" w:cs="宋体" w:eastAsia="宋体" w:hint="default"/>
                <w:b/>
                <w:bCs/>
                <w:sz w:val="21"/>
                <w:szCs w:val="21"/>
              </w:rPr>
              <w:t>本年比上年增减（％）</w:t>
            </w:r>
            <w:r>
              <w:rPr>
                <w:rFonts w:ascii="宋体" w:hAnsi="宋体" w:cs="宋体" w:eastAsia="宋体" w:hint="default"/>
                <w:sz w:val="21"/>
                <w:szCs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34"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9"/>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520"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宋体" w:hAnsi="宋体" w:cs="宋体" w:eastAsia="宋体" w:hint="default"/>
                <w:sz w:val="21"/>
                <w:szCs w:val="21"/>
              </w:rPr>
            </w:pPr>
            <w:r>
              <w:rPr>
                <w:rFonts w:ascii="宋体"/>
                <w:spacing w:val="-1"/>
                <w:sz w:val="21"/>
              </w:rPr>
              <w:t>-0.17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3"/>
              <w:jc w:val="right"/>
              <w:rPr>
                <w:rFonts w:ascii="宋体" w:hAnsi="宋体" w:cs="宋体" w:eastAsia="宋体" w:hint="default"/>
                <w:sz w:val="21"/>
                <w:szCs w:val="21"/>
              </w:rPr>
            </w:pPr>
            <w:r>
              <w:rPr>
                <w:rFonts w:ascii="宋体"/>
                <w:spacing w:val="-1"/>
                <w:sz w:val="21"/>
              </w:rPr>
              <w:t>0.01</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宋体" w:hAnsi="宋体" w:cs="宋体" w:eastAsia="宋体" w:hint="default"/>
                <w:sz w:val="21"/>
                <w:szCs w:val="21"/>
              </w:rPr>
            </w:pPr>
            <w:r>
              <w:rPr>
                <w:rFonts w:ascii="宋体"/>
                <w:spacing w:val="-1"/>
                <w:sz w:val="21"/>
              </w:rPr>
              <w:t>-1,800.00%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宋体" w:hAnsi="宋体" w:cs="宋体" w:eastAsia="宋体" w:hint="default"/>
                <w:sz w:val="21"/>
                <w:szCs w:val="21"/>
              </w:rPr>
            </w:pPr>
            <w:r>
              <w:rPr>
                <w:rFonts w:ascii="宋体"/>
                <w:spacing w:val="-1"/>
                <w:sz w:val="21"/>
              </w:rPr>
              <w:t>-0.41</w:t>
            </w:r>
          </w:p>
        </w:tc>
      </w:tr>
      <w:tr>
        <w:trPr>
          <w:trHeight w:val="520"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宋体" w:hAnsi="宋体" w:cs="宋体" w:eastAsia="宋体" w:hint="default"/>
                <w:sz w:val="21"/>
                <w:szCs w:val="21"/>
              </w:rPr>
            </w:pPr>
            <w:r>
              <w:rPr>
                <w:rFonts w:ascii="宋体"/>
                <w:spacing w:val="-1"/>
                <w:sz w:val="21"/>
              </w:rPr>
              <w:t>-0.17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3"/>
              <w:jc w:val="right"/>
              <w:rPr>
                <w:rFonts w:ascii="宋体" w:hAnsi="宋体" w:cs="宋体" w:eastAsia="宋体" w:hint="default"/>
                <w:sz w:val="21"/>
                <w:szCs w:val="21"/>
              </w:rPr>
            </w:pPr>
            <w:r>
              <w:rPr>
                <w:rFonts w:ascii="宋体"/>
                <w:spacing w:val="-1"/>
                <w:sz w:val="21"/>
              </w:rPr>
              <w:t>0.01</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0"/>
              <w:jc w:val="right"/>
              <w:rPr>
                <w:rFonts w:ascii="宋体" w:hAnsi="宋体" w:cs="宋体" w:eastAsia="宋体" w:hint="default"/>
                <w:sz w:val="21"/>
                <w:szCs w:val="21"/>
              </w:rPr>
            </w:pPr>
            <w:r>
              <w:rPr>
                <w:rFonts w:ascii="宋体"/>
                <w:spacing w:val="-1"/>
                <w:sz w:val="21"/>
              </w:rPr>
              <w:t>-1,800.00%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宋体" w:hAnsi="宋体" w:cs="宋体" w:eastAsia="宋体" w:hint="default"/>
                <w:sz w:val="21"/>
                <w:szCs w:val="21"/>
              </w:rPr>
            </w:pPr>
            <w:r>
              <w:rPr>
                <w:rFonts w:ascii="宋体"/>
                <w:spacing w:val="-1"/>
                <w:sz w:val="21"/>
              </w:rPr>
              <w:t>-0.41</w:t>
            </w:r>
          </w:p>
        </w:tc>
      </w:tr>
      <w:tr>
        <w:trPr>
          <w:trHeight w:val="748"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3" w:right="175"/>
              <w:jc w:val="left"/>
              <w:rPr>
                <w:rFonts w:ascii="宋体" w:hAnsi="宋体" w:cs="宋体" w:eastAsia="宋体" w:hint="default"/>
                <w:sz w:val="21"/>
                <w:szCs w:val="21"/>
              </w:rPr>
            </w:pPr>
            <w:r>
              <w:rPr>
                <w:rFonts w:ascii="宋体" w:hAnsi="宋体" w:cs="宋体" w:eastAsia="宋体" w:hint="default"/>
                <w:sz w:val="21"/>
                <w:szCs w:val="21"/>
              </w:rPr>
              <w:t>扣除非经常性损益后的基本 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-0.16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-0.03</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433.33%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-0.40</w:t>
            </w:r>
          </w:p>
        </w:tc>
      </w:tr>
      <w:tr>
        <w:trPr>
          <w:trHeight w:val="520"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21"/>
                <w:szCs w:val="21"/>
              </w:rPr>
            </w:pPr>
            <w:r>
              <w:rPr>
                <w:rFonts w:ascii="宋体" w:hAnsi="宋体" w:cs="宋体" w:eastAsia="宋体" w:hint="default"/>
                <w:sz w:val="21"/>
                <w:szCs w:val="21"/>
              </w:rPr>
              <w:t>全面摊薄净资产收益率（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宋体" w:hAnsi="宋体" w:cs="宋体" w:eastAsia="宋体" w:hint="default"/>
                <w:sz w:val="21"/>
                <w:szCs w:val="21"/>
              </w:rPr>
            </w:pPr>
            <w:r>
              <w:rPr>
                <w:rFonts w:ascii="宋体"/>
                <w:spacing w:val="-1"/>
                <w:sz w:val="21"/>
              </w:rPr>
              <w:t>-15.58%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宋体" w:hAnsi="宋体" w:cs="宋体" w:eastAsia="宋体" w:hint="default"/>
                <w:sz w:val="21"/>
                <w:szCs w:val="21"/>
              </w:rPr>
            </w:pPr>
            <w:r>
              <w:rPr>
                <w:rFonts w:ascii="宋体"/>
                <w:spacing w:val="-1"/>
                <w:sz w:val="21"/>
              </w:rPr>
              <w:t>0.83%</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宋体" w:hAnsi="宋体" w:cs="宋体" w:eastAsia="宋体" w:hint="default"/>
                <w:sz w:val="21"/>
                <w:szCs w:val="21"/>
              </w:rPr>
            </w:pPr>
            <w:r>
              <w:rPr>
                <w:rFonts w:ascii="宋体"/>
                <w:spacing w:val="-1"/>
                <w:sz w:val="21"/>
              </w:rPr>
              <w:t>-16.41%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宋体" w:hAnsi="宋体" w:cs="宋体" w:eastAsia="宋体" w:hint="default"/>
                <w:sz w:val="21"/>
                <w:szCs w:val="21"/>
              </w:rPr>
            </w:pPr>
            <w:r>
              <w:rPr>
                <w:rFonts w:ascii="宋体"/>
                <w:spacing w:val="-1"/>
                <w:sz w:val="21"/>
              </w:rPr>
              <w:t>-32.21%</w:t>
            </w:r>
          </w:p>
        </w:tc>
      </w:tr>
      <w:tr>
        <w:trPr>
          <w:trHeight w:val="556"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w:t>
            </w:r>
          </w:p>
          <w:p>
            <w:pPr>
              <w:pStyle w:val="TableParagraph"/>
              <w:spacing w:line="290" w:lineRule="exact"/>
              <w:ind w:left="23"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-14.91%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
                <w:sz w:val="21"/>
              </w:rPr>
              <w:t>-2.42%</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-12.49%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-31.20%</w:t>
            </w:r>
          </w:p>
        </w:tc>
      </w:tr>
      <w:tr>
        <w:trPr>
          <w:trHeight w:val="696"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175"/>
              <w:jc w:val="left"/>
              <w:rPr>
                <w:rFonts w:ascii="宋体" w:hAnsi="宋体" w:cs="宋体" w:eastAsia="宋体" w:hint="default"/>
                <w:sz w:val="21"/>
                <w:szCs w:val="21"/>
              </w:rPr>
            </w:pPr>
            <w:r>
              <w:rPr>
                <w:rFonts w:ascii="宋体" w:hAnsi="宋体" w:cs="宋体" w:eastAsia="宋体" w:hint="default"/>
                <w:sz w:val="21"/>
                <w:szCs w:val="21"/>
              </w:rPr>
              <w:t>每股经营活动产生的现金流 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20"/>
              <w:jc w:val="right"/>
              <w:rPr>
                <w:rFonts w:ascii="宋体" w:hAnsi="宋体" w:cs="宋体" w:eastAsia="宋体" w:hint="default"/>
                <w:sz w:val="21"/>
                <w:szCs w:val="21"/>
              </w:rPr>
            </w:pPr>
            <w:r>
              <w:rPr>
                <w:rFonts w:ascii="宋体"/>
                <w:spacing w:val="-1"/>
                <w:sz w:val="21"/>
              </w:rPr>
              <w:t>0.1630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23"/>
              <w:jc w:val="right"/>
              <w:rPr>
                <w:rFonts w:ascii="宋体" w:hAnsi="宋体" w:cs="宋体" w:eastAsia="宋体" w:hint="default"/>
                <w:sz w:val="21"/>
                <w:szCs w:val="21"/>
              </w:rPr>
            </w:pPr>
            <w:r>
              <w:rPr>
                <w:rFonts w:ascii="宋体"/>
                <w:spacing w:val="-1"/>
                <w:sz w:val="21"/>
              </w:rPr>
              <w:t>0.2846</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22"/>
              <w:jc w:val="right"/>
              <w:rPr>
                <w:rFonts w:ascii="宋体" w:hAnsi="宋体" w:cs="宋体" w:eastAsia="宋体" w:hint="default"/>
                <w:sz w:val="21"/>
                <w:szCs w:val="21"/>
              </w:rPr>
            </w:pPr>
            <w:r>
              <w:rPr>
                <w:rFonts w:ascii="宋体"/>
                <w:spacing w:val="-1"/>
                <w:sz w:val="21"/>
              </w:rPr>
              <w:t>-42.73%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20"/>
              <w:jc w:val="right"/>
              <w:rPr>
                <w:rFonts w:ascii="宋体" w:hAnsi="宋体" w:cs="宋体" w:eastAsia="宋体" w:hint="default"/>
                <w:sz w:val="21"/>
                <w:szCs w:val="21"/>
              </w:rPr>
            </w:pPr>
            <w:r>
              <w:rPr>
                <w:rFonts w:ascii="宋体"/>
                <w:spacing w:val="-1"/>
                <w:sz w:val="21"/>
              </w:rPr>
              <w:t>0.2314</w:t>
            </w:r>
          </w:p>
        </w:tc>
      </w:tr>
      <w:tr>
        <w:trPr>
          <w:trHeight w:val="577"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13"/>
              <w:ind w:right="0"/>
              <w:jc w:val="center"/>
              <w:rPr>
                <w:rFonts w:ascii="宋体" w:hAnsi="宋体" w:cs="宋体" w:eastAsia="宋体" w:hint="default"/>
                <w:sz w:val="21"/>
                <w:szCs w:val="21"/>
              </w:rPr>
            </w:pPr>
            <w:r>
              <w:rPr>
                <w:rFonts w:ascii="宋体" w:hAnsi="宋体" w:cs="宋体" w:eastAsia="宋体" w:hint="default"/>
                <w:b/>
                <w:bCs/>
                <w:w w:val="95"/>
                <w:sz w:val="21"/>
                <w:szCs w:val="21"/>
              </w:rPr>
              <w:t>项</w:t>
              <w:tab/>
            </w:r>
            <w:r>
              <w:rPr>
                <w:rFonts w:ascii="宋体" w:hAnsi="宋体" w:cs="宋体" w:eastAsia="宋体" w:hint="default"/>
                <w:b/>
                <w:bCs/>
                <w:sz w:val="21"/>
                <w:szCs w:val="21"/>
              </w:rPr>
              <w:t>目</w:t>
            </w:r>
            <w:r>
              <w:rPr>
                <w:rFonts w:ascii="宋体" w:hAnsi="宋体" w:cs="宋体" w:eastAsia="宋体" w:hint="default"/>
                <w:sz w:val="21"/>
                <w:szCs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9"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81" w:right="0"/>
              <w:jc w:val="left"/>
              <w:rPr>
                <w:rFonts w:ascii="宋体" w:hAnsi="宋体" w:cs="宋体" w:eastAsia="宋体" w:hint="default"/>
                <w:sz w:val="21"/>
                <w:szCs w:val="21"/>
              </w:rPr>
            </w:pPr>
            <w:r>
              <w:rPr>
                <w:rFonts w:ascii="宋体" w:hAnsi="宋体" w:cs="宋体" w:eastAsia="宋体" w:hint="default"/>
                <w:b/>
                <w:bCs/>
                <w:sz w:val="21"/>
                <w:szCs w:val="21"/>
              </w:rPr>
              <w:t>2008</w:t>
            </w:r>
            <w:r>
              <w:rPr>
                <w:rFonts w:ascii="宋体" w:hAnsi="宋体" w:cs="宋体" w:eastAsia="宋体" w:hint="default"/>
                <w:b/>
                <w:bCs/>
                <w:spacing w:val="-5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46"/>
              <w:jc w:val="right"/>
              <w:rPr>
                <w:rFonts w:ascii="宋体" w:hAnsi="宋体" w:cs="宋体" w:eastAsia="宋体" w:hint="default"/>
                <w:sz w:val="21"/>
                <w:szCs w:val="21"/>
              </w:rPr>
            </w:pPr>
            <w:r>
              <w:rPr>
                <w:rFonts w:ascii="宋体" w:hAnsi="宋体" w:cs="宋体" w:eastAsia="宋体" w:hint="default"/>
                <w:b/>
                <w:bCs/>
                <w:w w:val="95"/>
                <w:sz w:val="21"/>
                <w:szCs w:val="21"/>
              </w:rPr>
              <w:t>本年末比上年末增减（％）</w:t>
            </w:r>
            <w:r>
              <w:rPr>
                <w:rFonts w:ascii="宋体" w:hAnsi="宋体" w:cs="宋体" w:eastAsia="宋体" w:hint="default"/>
                <w:sz w:val="21"/>
                <w:szCs w:val="21"/>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9" w:right="0"/>
              <w:jc w:val="left"/>
              <w:rPr>
                <w:rFonts w:ascii="宋体" w:hAnsi="宋体" w:cs="宋体" w:eastAsia="宋体" w:hint="default"/>
                <w:sz w:val="21"/>
                <w:szCs w:val="21"/>
              </w:rPr>
            </w:pPr>
            <w:r>
              <w:rPr>
                <w:rFonts w:ascii="宋体" w:hAnsi="宋体" w:cs="宋体" w:eastAsia="宋体" w:hint="default"/>
                <w:b/>
                <w:bCs/>
                <w:sz w:val="21"/>
                <w:szCs w:val="21"/>
              </w:rPr>
              <w:t>2007</w:t>
            </w:r>
            <w:r>
              <w:rPr>
                <w:rFonts w:ascii="宋体" w:hAnsi="宋体" w:cs="宋体" w:eastAsia="宋体" w:hint="default"/>
                <w:b/>
                <w:bCs/>
                <w:spacing w:val="-5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800" w:hRule="exact"/>
        </w:trPr>
        <w:tc>
          <w:tcPr>
            <w:tcW w:w="2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3" w:right="175"/>
              <w:jc w:val="left"/>
              <w:rPr>
                <w:rFonts w:ascii="宋体" w:hAnsi="宋体" w:cs="宋体" w:eastAsia="宋体" w:hint="default"/>
                <w:sz w:val="21"/>
                <w:szCs w:val="21"/>
              </w:rPr>
            </w:pPr>
            <w:r>
              <w:rPr>
                <w:rFonts w:ascii="宋体" w:hAnsi="宋体" w:cs="宋体" w:eastAsia="宋体" w:hint="default"/>
                <w:sz w:val="21"/>
                <w:szCs w:val="21"/>
              </w:rPr>
              <w:t>归属于上市公司股东的每股 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1.0060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1.1763</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-14.48%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1.1665</w:t>
            </w:r>
          </w:p>
        </w:tc>
      </w:tr>
    </w:tbl>
    <w:p>
      <w:pPr>
        <w:spacing w:after="0" w:line="240" w:lineRule="auto"/>
        <w:jc w:val="right"/>
        <w:rPr>
          <w:rFonts w:ascii="宋体" w:hAnsi="宋体" w:cs="宋体" w:eastAsia="宋体" w:hint="default"/>
          <w:sz w:val="21"/>
          <w:szCs w:val="21"/>
        </w:rPr>
        <w:sectPr>
          <w:pgSz w:w="11910" w:h="16840"/>
          <w:pgMar w:top="640" w:bottom="280" w:left="1120" w:right="900"/>
        </w:sectPr>
      </w:pPr>
    </w:p>
    <w:p>
      <w:pPr>
        <w:spacing w:line="240" w:lineRule="auto" w:before="9"/>
        <w:rPr>
          <w:rFonts w:ascii="宋体" w:hAnsi="宋体" w:cs="宋体" w:eastAsia="宋体" w:hint="default"/>
          <w:sz w:val="23"/>
          <w:szCs w:val="23"/>
        </w:rPr>
      </w:pPr>
    </w:p>
    <w:p>
      <w:pPr>
        <w:pStyle w:val="Heading4"/>
        <w:tabs>
          <w:tab w:pos="6969" w:val="left" w:leader="none"/>
        </w:tabs>
        <w:spacing w:line="240" w:lineRule="auto"/>
        <w:ind w:left="3656" w:right="108"/>
        <w:jc w:val="left"/>
        <w:rPr>
          <w:b w:val="0"/>
          <w:bCs w:val="0"/>
        </w:rPr>
      </w:pPr>
      <w:r>
        <w:rPr/>
        <w:pict>
          <v:shape style="position:absolute;margin-left:65.160004pt;margin-top:-11.486023pt;width:95.052pt;height:25.5pt;mso-position-horizontal-relative:page;mso-position-vertical-relative:paragraph;z-index:1312"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7"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
        <w:rPr>
          <w:rFonts w:ascii="黑体" w:hAnsi="黑体" w:cs="黑体" w:eastAsia="黑体" w:hint="default"/>
          <w:b/>
          <w:bCs/>
          <w:sz w:val="15"/>
          <w:szCs w:val="15"/>
        </w:rPr>
      </w:pPr>
    </w:p>
    <w:p>
      <w:pPr>
        <w:spacing w:line="357" w:lineRule="auto" w:before="26"/>
        <w:ind w:left="144" w:right="113" w:firstLine="480"/>
        <w:jc w:val="both"/>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73"/>
          <w:sz w:val="24"/>
          <w:szCs w:val="24"/>
        </w:rPr>
        <w:t> </w:t>
      </w:r>
      <w:r>
        <w:rPr>
          <w:rFonts w:ascii="宋体" w:hAnsi="宋体" w:cs="宋体" w:eastAsia="宋体" w:hint="default"/>
          <w:b/>
          <w:bCs/>
          <w:sz w:val="24"/>
          <w:szCs w:val="24"/>
        </w:rPr>
        <w:t>根据中国证监会关于发布《公开发行证券公司信息披露编报规则》第9号通</w:t>
      </w:r>
      <w:r>
        <w:rPr>
          <w:rFonts w:ascii="宋体" w:hAnsi="宋体" w:cs="宋体" w:eastAsia="宋体" w:hint="default"/>
          <w:b/>
          <w:bCs/>
          <w:w w:val="99"/>
          <w:sz w:val="24"/>
          <w:szCs w:val="24"/>
        </w:rPr>
        <w:t> </w:t>
      </w:r>
      <w:r>
        <w:rPr>
          <w:rFonts w:ascii="宋体" w:hAnsi="宋体" w:cs="宋体" w:eastAsia="宋体" w:hint="default"/>
          <w:b/>
          <w:bCs/>
          <w:spacing w:val="-2"/>
          <w:sz w:val="24"/>
          <w:szCs w:val="24"/>
        </w:rPr>
        <w:t>知精神，公司2009年按全面摊薄和加权平均法计算的净资产收益率和每股收益计算如</w:t>
      </w:r>
      <w:r>
        <w:rPr>
          <w:rFonts w:ascii="宋体" w:hAnsi="宋体" w:cs="宋体" w:eastAsia="宋体" w:hint="default"/>
          <w:b/>
          <w:bCs/>
          <w:w w:val="99"/>
          <w:sz w:val="24"/>
          <w:szCs w:val="24"/>
        </w:rPr>
        <w:t> </w:t>
      </w:r>
      <w:r>
        <w:rPr>
          <w:rFonts w:ascii="宋体" w:hAnsi="宋体" w:cs="宋体" w:eastAsia="宋体" w:hint="default"/>
          <w:b/>
          <w:bCs/>
          <w:sz w:val="24"/>
          <w:szCs w:val="24"/>
        </w:rPr>
        <w:t>下：</w:t>
      </w:r>
      <w:r>
        <w:rPr>
          <w:rFonts w:ascii="宋体" w:hAnsi="宋体" w:cs="宋体" w:eastAsia="宋体" w:hint="default"/>
          <w:sz w:val="24"/>
          <w:szCs w:val="24"/>
        </w:rPr>
      </w:r>
    </w:p>
    <w:p>
      <w:pPr>
        <w:spacing w:line="240" w:lineRule="auto" w:before="1"/>
        <w:rPr>
          <w:rFonts w:ascii="宋体" w:hAnsi="宋体" w:cs="宋体" w:eastAsia="宋体" w:hint="default"/>
          <w:b/>
          <w:bCs/>
          <w:sz w:val="24"/>
          <w:szCs w:val="24"/>
        </w:rPr>
      </w:pPr>
    </w:p>
    <w:tbl>
      <w:tblPr>
        <w:tblW w:w="0" w:type="auto"/>
        <w:jc w:val="left"/>
        <w:tblInd w:w="292" w:type="dxa"/>
        <w:tblLayout w:type="fixed"/>
        <w:tblCellMar>
          <w:top w:w="0" w:type="dxa"/>
          <w:left w:w="0" w:type="dxa"/>
          <w:bottom w:w="0" w:type="dxa"/>
          <w:right w:w="0" w:type="dxa"/>
        </w:tblCellMar>
        <w:tblLook w:val="01E0"/>
      </w:tblPr>
      <w:tblGrid>
        <w:gridCol w:w="3358"/>
        <w:gridCol w:w="1831"/>
        <w:gridCol w:w="1670"/>
        <w:gridCol w:w="1680"/>
      </w:tblGrid>
      <w:tr>
        <w:trPr>
          <w:trHeight w:val="577" w:hRule="exact"/>
        </w:trPr>
        <w:tc>
          <w:tcPr>
            <w:tcW w:w="33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1"/>
              <w:ind w:right="0"/>
              <w:jc w:val="center"/>
              <w:rPr>
                <w:rFonts w:ascii="宋体" w:hAnsi="宋体" w:cs="宋体" w:eastAsia="宋体" w:hint="default"/>
                <w:sz w:val="21"/>
                <w:szCs w:val="21"/>
              </w:rPr>
            </w:pPr>
            <w:r>
              <w:rPr>
                <w:rFonts w:ascii="宋体" w:hAnsi="宋体" w:cs="宋体" w:eastAsia="宋体" w:hint="default"/>
                <w:b/>
                <w:bCs/>
                <w:sz w:val="21"/>
                <w:szCs w:val="21"/>
              </w:rPr>
              <w:t>报告期利润</w:t>
            </w:r>
            <w:r>
              <w:rPr>
                <w:rFonts w:ascii="宋体" w:hAnsi="宋体" w:cs="宋体" w:eastAsia="宋体" w:hint="default"/>
                <w:sz w:val="21"/>
                <w:szCs w:val="21"/>
              </w:rPr>
            </w:r>
          </w:p>
        </w:tc>
        <w:tc>
          <w:tcPr>
            <w:tcW w:w="51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21"/>
                <w:szCs w:val="21"/>
              </w:rPr>
            </w:pPr>
            <w:r>
              <w:rPr>
                <w:rFonts w:ascii="宋体" w:hAnsi="宋体" w:cs="宋体" w:eastAsia="宋体" w:hint="default"/>
                <w:b/>
                <w:bCs/>
                <w:sz w:val="21"/>
                <w:szCs w:val="21"/>
              </w:rPr>
              <w:t>本年数</w:t>
            </w:r>
            <w:r>
              <w:rPr>
                <w:rFonts w:ascii="宋体" w:hAnsi="宋体" w:cs="宋体" w:eastAsia="宋体" w:hint="default"/>
                <w:sz w:val="21"/>
                <w:szCs w:val="21"/>
              </w:rPr>
            </w:r>
          </w:p>
        </w:tc>
      </w:tr>
      <w:tr>
        <w:trPr>
          <w:trHeight w:val="577" w:hRule="exact"/>
        </w:trPr>
        <w:tc>
          <w:tcPr>
            <w:tcW w:w="3358" w:type="dxa"/>
            <w:vMerge/>
            <w:tcBorders>
              <w:left w:val="single" w:sz="4" w:space="0" w:color="000000"/>
              <w:right w:val="single" w:sz="4" w:space="0" w:color="000000"/>
            </w:tcBorders>
          </w:tcPr>
          <w:p>
            <w:pPr/>
          </w:p>
        </w:tc>
        <w:tc>
          <w:tcPr>
            <w:tcW w:w="183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47" w:right="147" w:firstLine="27"/>
              <w:jc w:val="left"/>
              <w:rPr>
                <w:rFonts w:ascii="宋体" w:hAnsi="宋体" w:cs="宋体" w:eastAsia="宋体" w:hint="default"/>
                <w:sz w:val="21"/>
                <w:szCs w:val="21"/>
              </w:rPr>
            </w:pPr>
            <w:r>
              <w:rPr>
                <w:rFonts w:ascii="宋体" w:hAnsi="宋体" w:cs="宋体" w:eastAsia="宋体" w:hint="default"/>
                <w:b/>
                <w:bCs/>
                <w:sz w:val="21"/>
                <w:szCs w:val="21"/>
              </w:rPr>
              <w:t>加权平均净资产</w:t>
            </w:r>
            <w:r>
              <w:rPr>
                <w:rFonts w:ascii="宋体" w:hAnsi="宋体" w:cs="宋体" w:eastAsia="宋体" w:hint="default"/>
                <w:b/>
                <w:bCs/>
                <w:w w:val="99"/>
                <w:sz w:val="21"/>
                <w:szCs w:val="21"/>
              </w:rPr>
              <w:t> </w:t>
            </w:r>
            <w:r>
              <w:rPr>
                <w:rFonts w:ascii="宋体" w:hAnsi="宋体" w:cs="宋体" w:eastAsia="宋体" w:hint="default"/>
                <w:b/>
                <w:bCs/>
                <w:sz w:val="21"/>
                <w:szCs w:val="21"/>
              </w:rPr>
              <w:t>收益率</w:t>
            </w:r>
            <w:r>
              <w:rPr>
                <w:rFonts w:ascii="宋体" w:hAnsi="宋体" w:cs="宋体" w:eastAsia="宋体" w:hint="default"/>
                <w:b/>
                <w:bCs/>
                <w:spacing w:val="-64"/>
                <w:sz w:val="21"/>
                <w:szCs w:val="21"/>
              </w:rPr>
              <w:t> </w:t>
            </w:r>
            <w:r>
              <w:rPr>
                <w:rFonts w:ascii="宋体" w:hAnsi="宋体" w:cs="宋体" w:eastAsia="宋体" w:hint="default"/>
                <w:b/>
                <w:bCs/>
                <w:sz w:val="21"/>
                <w:szCs w:val="21"/>
              </w:rPr>
              <w:t>ROE（%）</w:t>
            </w:r>
            <w:r>
              <w:rPr>
                <w:rFonts w:ascii="宋体" w:hAnsi="宋体" w:cs="宋体" w:eastAsia="宋体" w:hint="default"/>
                <w:sz w:val="21"/>
                <w:szCs w:val="21"/>
              </w:rPr>
            </w:r>
          </w:p>
        </w:tc>
        <w:tc>
          <w:tcPr>
            <w:tcW w:w="3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592" w:right="0"/>
              <w:jc w:val="left"/>
              <w:rPr>
                <w:rFonts w:ascii="宋体" w:hAnsi="宋体" w:cs="宋体" w:eastAsia="宋体" w:hint="default"/>
                <w:sz w:val="21"/>
                <w:szCs w:val="21"/>
              </w:rPr>
            </w:pPr>
            <w:r>
              <w:rPr>
                <w:rFonts w:ascii="宋体" w:hAnsi="宋体" w:cs="宋体" w:eastAsia="宋体" w:hint="default"/>
                <w:b/>
                <w:bCs/>
                <w:sz w:val="21"/>
                <w:szCs w:val="21"/>
              </w:rPr>
              <w:t>每股收益</w:t>
            </w:r>
            <w:r>
              <w:rPr>
                <w:rFonts w:ascii="宋体" w:hAnsi="宋体" w:cs="宋体" w:eastAsia="宋体" w:hint="default"/>
                <w:b/>
                <w:bCs/>
                <w:spacing w:val="-63"/>
                <w:sz w:val="21"/>
                <w:szCs w:val="21"/>
              </w:rPr>
              <w:t> </w:t>
            </w:r>
            <w:r>
              <w:rPr>
                <w:rFonts w:ascii="宋体" w:hAnsi="宋体" w:cs="宋体" w:eastAsia="宋体" w:hint="default"/>
                <w:b/>
                <w:bCs/>
                <w:sz w:val="21"/>
                <w:szCs w:val="21"/>
              </w:rPr>
              <w:t>EPS（元/股）</w:t>
            </w:r>
            <w:r>
              <w:rPr>
                <w:rFonts w:ascii="宋体" w:hAnsi="宋体" w:cs="宋体" w:eastAsia="宋体" w:hint="default"/>
                <w:sz w:val="21"/>
                <w:szCs w:val="21"/>
              </w:rPr>
            </w:r>
          </w:p>
        </w:tc>
      </w:tr>
      <w:tr>
        <w:trPr>
          <w:trHeight w:val="577" w:hRule="exact"/>
        </w:trPr>
        <w:tc>
          <w:tcPr>
            <w:tcW w:w="3358" w:type="dxa"/>
            <w:vMerge/>
            <w:tcBorders>
              <w:left w:val="single" w:sz="4" w:space="0" w:color="000000"/>
              <w:bottom w:val="single" w:sz="4" w:space="0" w:color="000000"/>
              <w:right w:val="single" w:sz="4" w:space="0" w:color="000000"/>
            </w:tcBorders>
          </w:tcPr>
          <w:p>
            <w:pPr/>
          </w:p>
        </w:tc>
        <w:tc>
          <w:tcPr>
            <w:tcW w:w="1831" w:type="dxa"/>
            <w:vMerge/>
            <w:tcBorders>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
              <w:ind w:left="514" w:right="512"/>
              <w:jc w:val="left"/>
              <w:rPr>
                <w:rFonts w:ascii="宋体" w:hAnsi="宋体" w:cs="宋体" w:eastAsia="宋体" w:hint="default"/>
                <w:sz w:val="21"/>
                <w:szCs w:val="21"/>
              </w:rPr>
            </w:pPr>
            <w:r>
              <w:rPr>
                <w:rFonts w:ascii="宋体" w:hAnsi="宋体" w:cs="宋体" w:eastAsia="宋体" w:hint="default"/>
                <w:b/>
                <w:bCs/>
                <w:sz w:val="21"/>
                <w:szCs w:val="21"/>
              </w:rPr>
              <w:t>基本每</w:t>
            </w:r>
            <w:r>
              <w:rPr>
                <w:rFonts w:ascii="宋体" w:hAnsi="宋体" w:cs="宋体" w:eastAsia="宋体" w:hint="default"/>
                <w:b/>
                <w:bCs/>
                <w:w w:val="99"/>
                <w:sz w:val="21"/>
                <w:szCs w:val="21"/>
              </w:rPr>
              <w:t> </w:t>
            </w:r>
            <w:r>
              <w:rPr>
                <w:rFonts w:ascii="宋体" w:hAnsi="宋体" w:cs="宋体" w:eastAsia="宋体" w:hint="default"/>
                <w:b/>
                <w:bCs/>
                <w:sz w:val="21"/>
                <w:szCs w:val="21"/>
              </w:rPr>
              <w:t>股收益</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
              <w:ind w:left="518" w:right="518"/>
              <w:jc w:val="left"/>
              <w:rPr>
                <w:rFonts w:ascii="宋体" w:hAnsi="宋体" w:cs="宋体" w:eastAsia="宋体" w:hint="default"/>
                <w:sz w:val="21"/>
                <w:szCs w:val="21"/>
              </w:rPr>
            </w:pPr>
            <w:r>
              <w:rPr>
                <w:rFonts w:ascii="宋体" w:hAnsi="宋体" w:cs="宋体" w:eastAsia="宋体" w:hint="default"/>
                <w:b/>
                <w:bCs/>
                <w:sz w:val="21"/>
                <w:szCs w:val="21"/>
              </w:rPr>
              <w:t>稀释每</w:t>
            </w:r>
            <w:r>
              <w:rPr>
                <w:rFonts w:ascii="宋体" w:hAnsi="宋体" w:cs="宋体" w:eastAsia="宋体" w:hint="default"/>
                <w:b/>
                <w:bCs/>
                <w:w w:val="99"/>
                <w:sz w:val="21"/>
                <w:szCs w:val="21"/>
              </w:rPr>
              <w:t> </w:t>
            </w:r>
            <w:r>
              <w:rPr>
                <w:rFonts w:ascii="宋体" w:hAnsi="宋体" w:cs="宋体" w:eastAsia="宋体" w:hint="default"/>
                <w:b/>
                <w:bCs/>
                <w:sz w:val="21"/>
                <w:szCs w:val="21"/>
              </w:rPr>
              <w:t>股收益</w:t>
            </w:r>
            <w:r>
              <w:rPr>
                <w:rFonts w:ascii="宋体" w:hAnsi="宋体" w:cs="宋体" w:eastAsia="宋体" w:hint="default"/>
                <w:sz w:val="21"/>
                <w:szCs w:val="21"/>
              </w:rPr>
            </w:r>
          </w:p>
        </w:tc>
      </w:tr>
      <w:tr>
        <w:trPr>
          <w:trHeight w:val="577"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-15.58%</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-0.17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24"/>
                <w:szCs w:val="24"/>
              </w:rPr>
            </w:pPr>
            <w:r>
              <w:rPr>
                <w:rFonts w:ascii="宋体"/>
                <w:sz w:val="24"/>
              </w:rPr>
              <w:t>-0.17</w:t>
            </w:r>
          </w:p>
        </w:tc>
      </w:tr>
      <w:tr>
        <w:trPr>
          <w:trHeight w:val="754" w:hRule="exact"/>
        </w:trPr>
        <w:tc>
          <w:tcPr>
            <w:tcW w:w="33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2"/>
              <w:ind w:left="728" w:right="203" w:hanging="525"/>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 普通股股东的净利润</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4"/>
                <w:szCs w:val="24"/>
              </w:rPr>
            </w:pPr>
            <w:r>
              <w:rPr>
                <w:rFonts w:ascii="宋体"/>
                <w:sz w:val="24"/>
              </w:rPr>
              <w:t>-14.91%</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4"/>
                <w:szCs w:val="24"/>
              </w:rPr>
            </w:pPr>
            <w:r>
              <w:rPr>
                <w:rFonts w:ascii="宋体"/>
                <w:sz w:val="24"/>
              </w:rPr>
              <w:t>-0.16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0"/>
              <w:jc w:val="center"/>
              <w:rPr>
                <w:rFonts w:ascii="宋体" w:hAnsi="宋体" w:cs="宋体" w:eastAsia="宋体" w:hint="default"/>
                <w:sz w:val="24"/>
                <w:szCs w:val="24"/>
              </w:rPr>
            </w:pPr>
            <w:r>
              <w:rPr>
                <w:rFonts w:ascii="宋体"/>
                <w:sz w:val="24"/>
              </w:rPr>
              <w:t>-0.16</w:t>
            </w:r>
          </w:p>
        </w:tc>
      </w:tr>
    </w:tbl>
    <w:p>
      <w:pPr>
        <w:spacing w:line="240" w:lineRule="auto" w:before="11"/>
        <w:rPr>
          <w:rFonts w:ascii="宋体" w:hAnsi="宋体" w:cs="宋体" w:eastAsia="宋体" w:hint="default"/>
          <w:b/>
          <w:bCs/>
          <w:sz w:val="23"/>
          <w:szCs w:val="23"/>
        </w:rPr>
      </w:pPr>
    </w:p>
    <w:tbl>
      <w:tblPr>
        <w:tblW w:w="0" w:type="auto"/>
        <w:jc w:val="left"/>
        <w:tblInd w:w="224" w:type="dxa"/>
        <w:tblLayout w:type="fixed"/>
        <w:tblCellMar>
          <w:top w:w="0" w:type="dxa"/>
          <w:left w:w="0" w:type="dxa"/>
          <w:bottom w:w="0" w:type="dxa"/>
          <w:right w:w="0" w:type="dxa"/>
        </w:tblCellMar>
        <w:tblLook w:val="01E0"/>
      </w:tblPr>
      <w:tblGrid>
        <w:gridCol w:w="3485"/>
        <w:gridCol w:w="1890"/>
        <w:gridCol w:w="1818"/>
        <w:gridCol w:w="1480"/>
      </w:tblGrid>
      <w:tr>
        <w:trPr>
          <w:trHeight w:val="568" w:hRule="exact"/>
        </w:trPr>
        <w:tc>
          <w:tcPr>
            <w:tcW w:w="34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报告期利润</w:t>
            </w:r>
            <w:r>
              <w:rPr>
                <w:rFonts w:ascii="宋体" w:hAnsi="宋体" w:cs="宋体" w:eastAsia="宋体" w:hint="default"/>
                <w:sz w:val="21"/>
                <w:szCs w:val="21"/>
              </w:rPr>
            </w:r>
          </w:p>
        </w:tc>
        <w:tc>
          <w:tcPr>
            <w:tcW w:w="5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b/>
                <w:bCs/>
                <w:sz w:val="21"/>
                <w:szCs w:val="21"/>
              </w:rPr>
              <w:t>上年数</w:t>
            </w:r>
            <w:r>
              <w:rPr>
                <w:rFonts w:ascii="宋体" w:hAnsi="宋体" w:cs="宋体" w:eastAsia="宋体" w:hint="default"/>
                <w:sz w:val="21"/>
                <w:szCs w:val="21"/>
              </w:rPr>
            </w:r>
          </w:p>
        </w:tc>
      </w:tr>
      <w:tr>
        <w:trPr>
          <w:trHeight w:val="566" w:hRule="exact"/>
        </w:trPr>
        <w:tc>
          <w:tcPr>
            <w:tcW w:w="3485" w:type="dxa"/>
            <w:vMerge/>
            <w:tcBorders>
              <w:left w:val="single" w:sz="4" w:space="0" w:color="000000"/>
              <w:right w:val="single" w:sz="4" w:space="0" w:color="000000"/>
            </w:tcBorders>
          </w:tcPr>
          <w:p>
            <w:pPr/>
          </w:p>
        </w:tc>
        <w:tc>
          <w:tcPr>
            <w:tcW w:w="18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7"/>
                <w:szCs w:val="27"/>
              </w:rPr>
            </w:pPr>
          </w:p>
          <w:p>
            <w:pPr>
              <w:pStyle w:val="TableParagraph"/>
              <w:spacing w:line="272" w:lineRule="exact"/>
              <w:ind w:left="177" w:right="176" w:firstLine="26"/>
              <w:jc w:val="left"/>
              <w:rPr>
                <w:rFonts w:ascii="宋体" w:hAnsi="宋体" w:cs="宋体" w:eastAsia="宋体" w:hint="default"/>
                <w:sz w:val="21"/>
                <w:szCs w:val="21"/>
              </w:rPr>
            </w:pPr>
            <w:r>
              <w:rPr>
                <w:rFonts w:ascii="宋体" w:hAnsi="宋体" w:cs="宋体" w:eastAsia="宋体" w:hint="default"/>
                <w:b/>
                <w:bCs/>
                <w:sz w:val="21"/>
                <w:szCs w:val="21"/>
              </w:rPr>
              <w:t>加权平均净资产</w:t>
            </w:r>
            <w:r>
              <w:rPr>
                <w:rFonts w:ascii="宋体" w:hAnsi="宋体" w:cs="宋体" w:eastAsia="宋体" w:hint="default"/>
                <w:b/>
                <w:bCs/>
                <w:w w:val="99"/>
                <w:sz w:val="21"/>
                <w:szCs w:val="21"/>
              </w:rPr>
              <w:t> </w:t>
            </w:r>
            <w:r>
              <w:rPr>
                <w:rFonts w:ascii="宋体" w:hAnsi="宋体" w:cs="宋体" w:eastAsia="宋体" w:hint="default"/>
                <w:b/>
                <w:bCs/>
                <w:sz w:val="21"/>
                <w:szCs w:val="21"/>
              </w:rPr>
              <w:t>收益率</w:t>
            </w:r>
            <w:r>
              <w:rPr>
                <w:rFonts w:ascii="宋体" w:hAnsi="宋体" w:cs="宋体" w:eastAsia="宋体" w:hint="default"/>
                <w:b/>
                <w:bCs/>
                <w:spacing w:val="-64"/>
                <w:sz w:val="21"/>
                <w:szCs w:val="21"/>
              </w:rPr>
              <w:t> </w:t>
            </w:r>
            <w:r>
              <w:rPr>
                <w:rFonts w:ascii="宋体" w:hAnsi="宋体" w:cs="宋体" w:eastAsia="宋体" w:hint="default"/>
                <w:b/>
                <w:bCs/>
                <w:sz w:val="21"/>
                <w:szCs w:val="21"/>
              </w:rPr>
              <w:t>ROE（%）</w:t>
            </w:r>
            <w:r>
              <w:rPr>
                <w:rFonts w:ascii="宋体" w:hAnsi="宋体" w:cs="宋体" w:eastAsia="宋体" w:hint="default"/>
                <w:sz w:val="21"/>
                <w:szCs w:val="21"/>
              </w:rPr>
            </w:r>
          </w:p>
        </w:tc>
        <w:tc>
          <w:tcPr>
            <w:tcW w:w="3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566" w:right="0"/>
              <w:jc w:val="left"/>
              <w:rPr>
                <w:rFonts w:ascii="宋体" w:hAnsi="宋体" w:cs="宋体" w:eastAsia="宋体" w:hint="default"/>
                <w:sz w:val="21"/>
                <w:szCs w:val="21"/>
              </w:rPr>
            </w:pPr>
            <w:r>
              <w:rPr>
                <w:rFonts w:ascii="宋体" w:hAnsi="宋体" w:cs="宋体" w:eastAsia="宋体" w:hint="default"/>
                <w:b/>
                <w:bCs/>
                <w:sz w:val="21"/>
                <w:szCs w:val="21"/>
              </w:rPr>
              <w:t>每股收益</w:t>
            </w:r>
            <w:r>
              <w:rPr>
                <w:rFonts w:ascii="宋体" w:hAnsi="宋体" w:cs="宋体" w:eastAsia="宋体" w:hint="default"/>
                <w:b/>
                <w:bCs/>
                <w:spacing w:val="-63"/>
                <w:sz w:val="21"/>
                <w:szCs w:val="21"/>
              </w:rPr>
              <w:t> </w:t>
            </w:r>
            <w:r>
              <w:rPr>
                <w:rFonts w:ascii="宋体" w:hAnsi="宋体" w:cs="宋体" w:eastAsia="宋体" w:hint="default"/>
                <w:b/>
                <w:bCs/>
                <w:sz w:val="21"/>
                <w:szCs w:val="21"/>
              </w:rPr>
              <w:t>EPS（元/股）</w:t>
            </w:r>
            <w:r>
              <w:rPr>
                <w:rFonts w:ascii="宋体" w:hAnsi="宋体" w:cs="宋体" w:eastAsia="宋体" w:hint="default"/>
                <w:sz w:val="21"/>
                <w:szCs w:val="21"/>
              </w:rPr>
            </w:r>
          </w:p>
        </w:tc>
      </w:tr>
      <w:tr>
        <w:trPr>
          <w:trHeight w:val="737" w:hRule="exact"/>
        </w:trPr>
        <w:tc>
          <w:tcPr>
            <w:tcW w:w="3485" w:type="dxa"/>
            <w:vMerge/>
            <w:tcBorders>
              <w:left w:val="single" w:sz="4" w:space="0" w:color="000000"/>
              <w:bottom w:val="single" w:sz="4" w:space="0" w:color="000000"/>
              <w:right w:val="single" w:sz="4" w:space="0" w:color="000000"/>
            </w:tcBorders>
          </w:tcPr>
          <w:p>
            <w:pPr/>
          </w:p>
        </w:tc>
        <w:tc>
          <w:tcPr>
            <w:tcW w:w="1890" w:type="dxa"/>
            <w:vMerge/>
            <w:tcBorders>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88" w:right="587"/>
              <w:jc w:val="left"/>
              <w:rPr>
                <w:rFonts w:ascii="宋体" w:hAnsi="宋体" w:cs="宋体" w:eastAsia="宋体" w:hint="default"/>
                <w:sz w:val="21"/>
                <w:szCs w:val="21"/>
              </w:rPr>
            </w:pPr>
            <w:r>
              <w:rPr>
                <w:rFonts w:ascii="宋体" w:hAnsi="宋体" w:cs="宋体" w:eastAsia="宋体" w:hint="default"/>
                <w:b/>
                <w:bCs/>
                <w:sz w:val="21"/>
                <w:szCs w:val="21"/>
              </w:rPr>
              <w:t>基本每</w:t>
            </w:r>
            <w:r>
              <w:rPr>
                <w:rFonts w:ascii="宋体" w:hAnsi="宋体" w:cs="宋体" w:eastAsia="宋体" w:hint="default"/>
                <w:b/>
                <w:bCs/>
                <w:w w:val="99"/>
                <w:sz w:val="21"/>
                <w:szCs w:val="21"/>
              </w:rPr>
              <w:t> </w:t>
            </w:r>
            <w:r>
              <w:rPr>
                <w:rFonts w:ascii="宋体" w:hAnsi="宋体" w:cs="宋体" w:eastAsia="宋体" w:hint="default"/>
                <w:b/>
                <w:bCs/>
                <w:sz w:val="21"/>
                <w:szCs w:val="21"/>
              </w:rPr>
              <w:t>股收益</w:t>
            </w:r>
            <w:r>
              <w:rPr>
                <w:rFonts w:ascii="宋体" w:hAnsi="宋体" w:cs="宋体" w:eastAsia="宋体" w:hint="default"/>
                <w:sz w:val="21"/>
                <w:szCs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18" w:right="419"/>
              <w:jc w:val="left"/>
              <w:rPr>
                <w:rFonts w:ascii="宋体" w:hAnsi="宋体" w:cs="宋体" w:eastAsia="宋体" w:hint="default"/>
                <w:sz w:val="21"/>
                <w:szCs w:val="21"/>
              </w:rPr>
            </w:pPr>
            <w:r>
              <w:rPr>
                <w:rFonts w:ascii="宋体" w:hAnsi="宋体" w:cs="宋体" w:eastAsia="宋体" w:hint="default"/>
                <w:b/>
                <w:bCs/>
                <w:sz w:val="21"/>
                <w:szCs w:val="21"/>
              </w:rPr>
              <w:t>稀释每</w:t>
            </w:r>
            <w:r>
              <w:rPr>
                <w:rFonts w:ascii="宋体" w:hAnsi="宋体" w:cs="宋体" w:eastAsia="宋体" w:hint="default"/>
                <w:b/>
                <w:bCs/>
                <w:w w:val="99"/>
                <w:sz w:val="21"/>
                <w:szCs w:val="21"/>
              </w:rPr>
              <w:t> </w:t>
            </w:r>
            <w:r>
              <w:rPr>
                <w:rFonts w:ascii="宋体" w:hAnsi="宋体" w:cs="宋体" w:eastAsia="宋体" w:hint="default"/>
                <w:b/>
                <w:bCs/>
                <w:sz w:val="21"/>
                <w:szCs w:val="21"/>
              </w:rPr>
              <w:t>股收益</w:t>
            </w:r>
            <w:r>
              <w:rPr>
                <w:rFonts w:ascii="宋体" w:hAnsi="宋体" w:cs="宋体" w:eastAsia="宋体" w:hint="default"/>
                <w:sz w:val="21"/>
                <w:szCs w:val="21"/>
              </w:rPr>
            </w:r>
          </w:p>
        </w:tc>
      </w:tr>
      <w:tr>
        <w:trPr>
          <w:trHeight w:val="566"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639" w:right="0"/>
              <w:jc w:val="left"/>
              <w:rPr>
                <w:rFonts w:ascii="宋体" w:hAnsi="宋体" w:cs="宋体" w:eastAsia="宋体" w:hint="default"/>
                <w:sz w:val="24"/>
                <w:szCs w:val="24"/>
              </w:rPr>
            </w:pPr>
            <w:r>
              <w:rPr>
                <w:rFonts w:ascii="宋体"/>
                <w:sz w:val="24"/>
              </w:rPr>
              <w:t>0.83%</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24"/>
                <w:szCs w:val="24"/>
              </w:rPr>
            </w:pPr>
            <w:r>
              <w:rPr>
                <w:rFonts w:ascii="宋体"/>
                <w:sz w:val="24"/>
              </w:rPr>
              <w:t>0.01</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24"/>
                <w:szCs w:val="24"/>
              </w:rPr>
            </w:pPr>
            <w:r>
              <w:rPr>
                <w:rFonts w:ascii="宋体"/>
                <w:sz w:val="24"/>
              </w:rPr>
              <w:t>0.01</w:t>
            </w:r>
          </w:p>
        </w:tc>
      </w:tr>
      <w:tr>
        <w:trPr>
          <w:trHeight w:val="839" w:hRule="exact"/>
        </w:trPr>
        <w:tc>
          <w:tcPr>
            <w:tcW w:w="3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74"/>
              <w:ind w:left="897" w:right="161" w:hanging="736"/>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 通股股东的净利润</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579" w:right="0"/>
              <w:jc w:val="left"/>
              <w:rPr>
                <w:rFonts w:ascii="宋体" w:hAnsi="宋体" w:cs="宋体" w:eastAsia="宋体" w:hint="default"/>
                <w:sz w:val="24"/>
                <w:szCs w:val="24"/>
              </w:rPr>
            </w:pPr>
            <w:r>
              <w:rPr>
                <w:rFonts w:ascii="宋体"/>
                <w:sz w:val="24"/>
              </w:rPr>
              <w:t>-2.42%</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24"/>
                <w:szCs w:val="24"/>
              </w:rPr>
            </w:pPr>
            <w:r>
              <w:rPr>
                <w:rFonts w:ascii="宋体"/>
                <w:sz w:val="24"/>
              </w:rPr>
              <w:t>-0.03</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24"/>
                <w:szCs w:val="24"/>
              </w:rPr>
            </w:pPr>
            <w:r>
              <w:rPr>
                <w:rFonts w:ascii="宋体"/>
                <w:sz w:val="24"/>
              </w:rPr>
              <w:t>-0.03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spacing w:before="0"/>
        <w:ind w:left="4455" w:right="4428" w:firstLine="0"/>
        <w:jc w:val="center"/>
        <w:rPr>
          <w:rFonts w:ascii="Times New Roman" w:hAnsi="Times New Roman" w:cs="Times New Roman" w:eastAsia="Times New Roman" w:hint="default"/>
          <w:sz w:val="18"/>
          <w:szCs w:val="18"/>
        </w:rPr>
      </w:pPr>
      <w:r>
        <w:rPr>
          <w:rFonts w:ascii="Times New Roman"/>
          <w:sz w:val="18"/>
        </w:rPr>
        <w:t>6</w:t>
      </w:r>
    </w:p>
    <w:p>
      <w:pPr>
        <w:spacing w:after="0"/>
        <w:jc w:val="center"/>
        <w:rPr>
          <w:rFonts w:ascii="Times New Roman" w:hAnsi="Times New Roman" w:cs="Times New Roman" w:eastAsia="Times New Roman" w:hint="default"/>
          <w:sz w:val="18"/>
          <w:szCs w:val="18"/>
        </w:rPr>
        <w:sectPr>
          <w:pgSz w:w="11910" w:h="16840"/>
          <w:pgMar w:top="640" w:bottom="280" w:left="1160" w:right="1640"/>
        </w:sectPr>
      </w:pPr>
    </w:p>
    <w:p>
      <w:pPr>
        <w:spacing w:line="240" w:lineRule="auto" w:before="11"/>
        <w:rPr>
          <w:rFonts w:ascii="Times New Roman" w:hAnsi="Times New Roman" w:cs="Times New Roman" w:eastAsia="Times New Roman" w:hint="default"/>
          <w:sz w:val="26"/>
          <w:szCs w:val="26"/>
        </w:rPr>
      </w:pPr>
    </w:p>
    <w:p>
      <w:pPr>
        <w:pStyle w:val="Heading4"/>
        <w:tabs>
          <w:tab w:pos="7543" w:val="left" w:leader="none"/>
        </w:tabs>
        <w:spacing w:line="240" w:lineRule="auto"/>
        <w:ind w:left="4230" w:right="0"/>
        <w:jc w:val="left"/>
        <w:rPr>
          <w:b w:val="0"/>
          <w:bCs w:val="0"/>
        </w:rPr>
      </w:pPr>
      <w:r>
        <w:rPr/>
        <w:pict>
          <v:shape style="position:absolute;margin-left:87.900002pt;margin-top:-11.486023pt;width:95.033pt;height:25.5pt;mso-position-horizontal-relative:page;mso-position-vertical-relative:paragraph;z-index:1360"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68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pStyle w:val="Heading1"/>
        <w:spacing w:line="240" w:lineRule="auto" w:before="97"/>
        <w:ind w:left="1279" w:right="0"/>
        <w:jc w:val="left"/>
        <w:rPr>
          <w:b w:val="0"/>
          <w:bCs w:val="0"/>
        </w:rPr>
      </w:pPr>
      <w:bookmarkStart w:name="_TOC_250008" w:id="3"/>
      <w:r>
        <w:rPr/>
        <w:t>三、股本变动及股东情况</w:t>
      </w:r>
      <w:bookmarkEnd w:id="3"/>
      <w:r>
        <w:rPr>
          <w:b w:val="0"/>
          <w:bCs w:val="0"/>
        </w:rPr>
      </w:r>
    </w:p>
    <w:p>
      <w:pPr>
        <w:spacing w:before="185"/>
        <w:ind w:left="1198" w:right="0" w:firstLine="0"/>
        <w:jc w:val="left"/>
        <w:rPr>
          <w:rFonts w:ascii="宋体" w:hAnsi="宋体" w:cs="宋体" w:eastAsia="宋体" w:hint="default"/>
          <w:sz w:val="24"/>
          <w:szCs w:val="24"/>
        </w:rPr>
      </w:pPr>
      <w:r>
        <w:rPr>
          <w:rFonts w:ascii="宋体" w:hAnsi="宋体" w:cs="宋体" w:eastAsia="宋体" w:hint="default"/>
          <w:b/>
          <w:bCs/>
          <w:sz w:val="24"/>
          <w:szCs w:val="24"/>
        </w:rPr>
        <w:t>（一）公司股本变动情况</w:t>
      </w:r>
      <w:r>
        <w:rPr>
          <w:rFonts w:ascii="宋体" w:hAnsi="宋体" w:cs="宋体" w:eastAsia="宋体" w:hint="default"/>
          <w:sz w:val="24"/>
          <w:szCs w:val="24"/>
        </w:rPr>
      </w:r>
    </w:p>
    <w:p>
      <w:pPr>
        <w:tabs>
          <w:tab w:pos="7197" w:val="left" w:leader="none"/>
        </w:tabs>
        <w:spacing w:before="154"/>
        <w:ind w:left="1198" w:right="0" w:firstLine="0"/>
        <w:jc w:val="left"/>
        <w:rPr>
          <w:rFonts w:ascii="宋体" w:hAnsi="宋体" w:cs="宋体" w:eastAsia="宋体" w:hint="default"/>
          <w:sz w:val="21"/>
          <w:szCs w:val="21"/>
        </w:rPr>
      </w:pPr>
      <w:r>
        <w:rPr>
          <w:rFonts w:ascii="宋体" w:hAnsi="宋体" w:cs="宋体" w:eastAsia="宋体" w:hint="default"/>
          <w:sz w:val="24"/>
          <w:szCs w:val="24"/>
        </w:rPr>
        <w:t>1、股份变动情况表</w:t>
        <w:tab/>
      </w:r>
      <w:r>
        <w:rPr>
          <w:rFonts w:ascii="宋体" w:hAnsi="宋体" w:cs="宋体" w:eastAsia="宋体" w:hint="default"/>
          <w:sz w:val="21"/>
          <w:szCs w:val="21"/>
        </w:rPr>
        <w:t>数量单位：股</w:t>
      </w:r>
    </w:p>
    <w:p>
      <w:pPr>
        <w:spacing w:line="240" w:lineRule="auto" w:before="10"/>
        <w:rPr>
          <w:rFonts w:ascii="宋体" w:hAnsi="宋体" w:cs="宋体" w:eastAsia="宋体" w:hint="default"/>
          <w:sz w:val="14"/>
          <w:szCs w:val="14"/>
        </w:rPr>
      </w:pPr>
    </w:p>
    <w:tbl>
      <w:tblPr>
        <w:tblW w:w="0" w:type="auto"/>
        <w:jc w:val="left"/>
        <w:tblInd w:w="185" w:type="dxa"/>
        <w:tblLayout w:type="fixed"/>
        <w:tblCellMar>
          <w:top w:w="0" w:type="dxa"/>
          <w:left w:w="0" w:type="dxa"/>
          <w:bottom w:w="0" w:type="dxa"/>
          <w:right w:w="0" w:type="dxa"/>
        </w:tblCellMar>
        <w:tblLook w:val="01E0"/>
      </w:tblPr>
      <w:tblGrid>
        <w:gridCol w:w="1993"/>
        <w:gridCol w:w="1252"/>
        <w:gridCol w:w="865"/>
        <w:gridCol w:w="409"/>
        <w:gridCol w:w="408"/>
        <w:gridCol w:w="409"/>
        <w:gridCol w:w="1279"/>
        <w:gridCol w:w="1260"/>
        <w:gridCol w:w="1260"/>
        <w:gridCol w:w="946"/>
      </w:tblGrid>
      <w:tr>
        <w:trPr>
          <w:trHeight w:val="540" w:hRule="exact"/>
        </w:trPr>
        <w:tc>
          <w:tcPr>
            <w:tcW w:w="199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tabs>
                <w:tab w:pos="1198" w:val="left" w:leader="none"/>
              </w:tabs>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525"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766" w:type="dxa"/>
            <w:gridSpan w:val="5"/>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left="719"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06" w:type="dxa"/>
            <w:gridSpan w:val="2"/>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left="572"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80" w:hRule="exact"/>
        </w:trPr>
        <w:tc>
          <w:tcPr>
            <w:tcW w:w="1993" w:type="dxa"/>
            <w:vMerge/>
            <w:tcBorders>
              <w:left w:val="single" w:sz="6" w:space="0" w:color="000000"/>
              <w:bottom w:val="single" w:sz="6" w:space="0" w:color="000000"/>
              <w:right w:val="single" w:sz="6" w:space="0" w:color="000000"/>
            </w:tcBorders>
          </w:tcPr>
          <w:p>
            <w:pP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40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82"/>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80"/>
              <w:jc w:val="left"/>
              <w:rPr>
                <w:rFonts w:ascii="宋体" w:hAnsi="宋体" w:cs="宋体" w:eastAsia="宋体" w:hint="default"/>
                <w:sz w:val="21"/>
                <w:szCs w:val="21"/>
              </w:rPr>
            </w:pPr>
            <w:r>
              <w:rPr>
                <w:rFonts w:ascii="宋体" w:hAnsi="宋体" w:cs="宋体" w:eastAsia="宋体" w:hint="default"/>
                <w:sz w:val="21"/>
                <w:szCs w:val="21"/>
              </w:rPr>
              <w:t>送 股</w:t>
            </w:r>
          </w:p>
        </w:tc>
        <w:tc>
          <w:tcPr>
            <w:tcW w:w="4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37" w:lineRule="auto" w:before="2"/>
              <w:ind w:left="100" w:right="83"/>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15"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75,646,170</w:t>
            </w:r>
          </w:p>
        </w:tc>
        <w:tc>
          <w:tcPr>
            <w:tcW w:w="8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15.51%</w:t>
            </w:r>
          </w:p>
        </w:tc>
        <w:tc>
          <w:tcPr>
            <w:tcW w:w="409"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-75,587,490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-75,587,490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58,680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0.01%</w:t>
            </w:r>
          </w:p>
        </w:tc>
      </w:tr>
      <w:tr>
        <w:trPr>
          <w:trHeight w:val="415"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52" w:type="dxa"/>
            <w:tcBorders>
              <w:top w:val="single" w:sz="6" w:space="0" w:color="000000"/>
              <w:left w:val="single" w:sz="6" w:space="0" w:color="000000"/>
              <w:bottom w:val="single" w:sz="6" w:space="0" w:color="000000"/>
              <w:right w:val="single" w:sz="4" w:space="0" w:color="000000"/>
            </w:tcBorders>
          </w:tcPr>
          <w:p>
            <w:pPr/>
          </w:p>
        </w:tc>
        <w:tc>
          <w:tcPr>
            <w:tcW w:w="865" w:type="dxa"/>
            <w:tcBorders>
              <w:top w:val="single" w:sz="6" w:space="0" w:color="000000"/>
              <w:left w:val="single" w:sz="4"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252" w:type="dxa"/>
            <w:tcBorders>
              <w:top w:val="single" w:sz="6" w:space="0" w:color="000000"/>
              <w:left w:val="single" w:sz="6" w:space="0" w:color="000000"/>
              <w:bottom w:val="single" w:sz="6" w:space="0" w:color="000000"/>
              <w:right w:val="single" w:sz="4" w:space="0" w:color="000000"/>
            </w:tcBorders>
          </w:tcPr>
          <w:p>
            <w:pPr/>
          </w:p>
        </w:tc>
        <w:tc>
          <w:tcPr>
            <w:tcW w:w="865" w:type="dxa"/>
            <w:tcBorders>
              <w:top w:val="single" w:sz="6" w:space="0" w:color="000000"/>
              <w:left w:val="single" w:sz="4"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75,646,170</w:t>
            </w:r>
          </w:p>
        </w:tc>
        <w:tc>
          <w:tcPr>
            <w:tcW w:w="8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15.51%</w:t>
            </w:r>
          </w:p>
        </w:tc>
        <w:tc>
          <w:tcPr>
            <w:tcW w:w="409"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-75,587,490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-75,587,490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58,680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0.01%</w:t>
            </w:r>
          </w:p>
        </w:tc>
      </w:tr>
      <w:tr>
        <w:trPr>
          <w:trHeight w:val="414"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75,356,354</w:t>
            </w:r>
          </w:p>
        </w:tc>
        <w:tc>
          <w:tcPr>
            <w:tcW w:w="8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15.45%</w:t>
            </w:r>
          </w:p>
        </w:tc>
        <w:tc>
          <w:tcPr>
            <w:tcW w:w="409"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-75,356,354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-75,356,354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0.00%</w:t>
            </w:r>
          </w:p>
        </w:tc>
      </w:tr>
      <w:tr>
        <w:trPr>
          <w:trHeight w:val="415"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289,816</w:t>
            </w:r>
          </w:p>
        </w:tc>
        <w:tc>
          <w:tcPr>
            <w:tcW w:w="8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0.06%</w:t>
            </w:r>
          </w:p>
        </w:tc>
        <w:tc>
          <w:tcPr>
            <w:tcW w:w="409"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-231,136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-231,136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58,680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0.01%</w:t>
            </w:r>
          </w:p>
        </w:tc>
      </w:tr>
      <w:tr>
        <w:trPr>
          <w:trHeight w:val="415"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252" w:type="dxa"/>
            <w:tcBorders>
              <w:top w:val="single" w:sz="6" w:space="0" w:color="000000"/>
              <w:left w:val="single" w:sz="6" w:space="0" w:color="000000"/>
              <w:bottom w:val="single" w:sz="6" w:space="0" w:color="000000"/>
              <w:right w:val="single" w:sz="4" w:space="0" w:color="000000"/>
            </w:tcBorders>
          </w:tcPr>
          <w:p>
            <w:pPr/>
          </w:p>
        </w:tc>
        <w:tc>
          <w:tcPr>
            <w:tcW w:w="865" w:type="dxa"/>
            <w:tcBorders>
              <w:top w:val="single" w:sz="6" w:space="0" w:color="000000"/>
              <w:left w:val="single" w:sz="4"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412,085,825</w:t>
            </w:r>
          </w:p>
        </w:tc>
        <w:tc>
          <w:tcPr>
            <w:tcW w:w="8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84.49%</w:t>
            </w:r>
          </w:p>
        </w:tc>
        <w:tc>
          <w:tcPr>
            <w:tcW w:w="409"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75,587,490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75,587,490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487,673,315</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99.99%</w:t>
            </w:r>
          </w:p>
        </w:tc>
      </w:tr>
      <w:tr>
        <w:trPr>
          <w:trHeight w:val="415"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412,085,825</w:t>
            </w:r>
          </w:p>
        </w:tc>
        <w:tc>
          <w:tcPr>
            <w:tcW w:w="8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84.49%</w:t>
            </w:r>
          </w:p>
        </w:tc>
        <w:tc>
          <w:tcPr>
            <w:tcW w:w="409"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75,587,490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75,587,490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487,673,315</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99.99%</w:t>
            </w:r>
          </w:p>
        </w:tc>
      </w:tr>
      <w:tr>
        <w:trPr>
          <w:trHeight w:val="415"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1252" w:type="dxa"/>
            <w:tcBorders>
              <w:top w:val="single" w:sz="6" w:space="0" w:color="000000"/>
              <w:left w:val="single" w:sz="6" w:space="0" w:color="000000"/>
              <w:bottom w:val="single" w:sz="6" w:space="0" w:color="000000"/>
              <w:right w:val="single" w:sz="4" w:space="0" w:color="000000"/>
            </w:tcBorders>
          </w:tcPr>
          <w:p>
            <w:pPr/>
          </w:p>
        </w:tc>
        <w:tc>
          <w:tcPr>
            <w:tcW w:w="865" w:type="dxa"/>
            <w:tcBorders>
              <w:top w:val="single" w:sz="6" w:space="0" w:color="000000"/>
              <w:left w:val="single" w:sz="4"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4"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1252" w:type="dxa"/>
            <w:tcBorders>
              <w:top w:val="single" w:sz="6" w:space="0" w:color="000000"/>
              <w:left w:val="single" w:sz="6" w:space="0" w:color="000000"/>
              <w:bottom w:val="single" w:sz="6" w:space="0" w:color="000000"/>
              <w:right w:val="single" w:sz="4" w:space="0" w:color="000000"/>
            </w:tcBorders>
          </w:tcPr>
          <w:p>
            <w:pPr/>
          </w:p>
        </w:tc>
        <w:tc>
          <w:tcPr>
            <w:tcW w:w="865" w:type="dxa"/>
            <w:tcBorders>
              <w:top w:val="single" w:sz="6" w:space="0" w:color="000000"/>
              <w:left w:val="single" w:sz="4"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5"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52" w:type="dxa"/>
            <w:tcBorders>
              <w:top w:val="single" w:sz="6" w:space="0" w:color="000000"/>
              <w:left w:val="single" w:sz="6" w:space="0" w:color="000000"/>
              <w:bottom w:val="single" w:sz="6" w:space="0" w:color="000000"/>
              <w:right w:val="single" w:sz="4" w:space="0" w:color="000000"/>
            </w:tcBorders>
          </w:tcPr>
          <w:p>
            <w:pPr/>
          </w:p>
        </w:tc>
        <w:tc>
          <w:tcPr>
            <w:tcW w:w="865" w:type="dxa"/>
            <w:tcBorders>
              <w:top w:val="single" w:sz="6" w:space="0" w:color="000000"/>
              <w:left w:val="single" w:sz="4"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r>
      <w:tr>
        <w:trPr>
          <w:trHeight w:val="416" w:hRule="exact"/>
        </w:trPr>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5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487,731,995</w:t>
            </w:r>
          </w:p>
        </w:tc>
        <w:tc>
          <w:tcPr>
            <w:tcW w:w="86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100%</w:t>
            </w:r>
          </w:p>
        </w:tc>
        <w:tc>
          <w:tcPr>
            <w:tcW w:w="409" w:type="dxa"/>
            <w:tcBorders>
              <w:top w:val="single" w:sz="6" w:space="0" w:color="000000"/>
              <w:left w:val="single" w:sz="6" w:space="0" w:color="000000"/>
              <w:bottom w:val="single" w:sz="6" w:space="0" w:color="000000"/>
              <w:right w:val="single" w:sz="6" w:space="0" w:color="000000"/>
            </w:tcBorders>
          </w:tcPr>
          <w:p>
            <w:pPr/>
          </w:p>
        </w:tc>
        <w:tc>
          <w:tcPr>
            <w:tcW w:w="408" w:type="dxa"/>
            <w:tcBorders>
              <w:top w:val="single" w:sz="6" w:space="0" w:color="000000"/>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487,731,995</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100.00%</w:t>
            </w:r>
          </w:p>
        </w:tc>
      </w:tr>
    </w:tbl>
    <w:p>
      <w:pPr>
        <w:pStyle w:val="Heading3"/>
        <w:spacing w:line="240" w:lineRule="auto" w:before="81"/>
        <w:ind w:left="1200" w:right="0"/>
        <w:jc w:val="left"/>
      </w:pPr>
      <w:r>
        <w:rPr/>
        <w:t>2、限售股份变动情况表（单位：股）</w:t>
      </w:r>
    </w:p>
    <w:p>
      <w:pPr>
        <w:spacing w:line="240" w:lineRule="auto" w:before="10"/>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2626"/>
        <w:gridCol w:w="1156"/>
        <w:gridCol w:w="1154"/>
        <w:gridCol w:w="946"/>
        <w:gridCol w:w="812"/>
        <w:gridCol w:w="1156"/>
        <w:gridCol w:w="1782"/>
      </w:tblGrid>
      <w:tr>
        <w:trPr>
          <w:trHeight w:val="556"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年初限</w:t>
            </w:r>
          </w:p>
          <w:p>
            <w:pPr>
              <w:pStyle w:val="TableParagraph"/>
              <w:spacing w:line="274" w:lineRule="exact"/>
              <w:ind w:left="256"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hAnsi="宋体" w:cs="宋体" w:eastAsia="宋体" w:hint="default"/>
                <w:sz w:val="21"/>
                <w:szCs w:val="21"/>
              </w:rPr>
              <w:t>本年解除</w:t>
            </w:r>
          </w:p>
          <w:p>
            <w:pPr>
              <w:pStyle w:val="TableParagraph"/>
              <w:spacing w:line="274" w:lineRule="exact"/>
              <w:ind w:left="15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46"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jc w:val="left"/>
              <w:rPr>
                <w:rFonts w:ascii="宋体" w:hAnsi="宋体" w:cs="宋体" w:eastAsia="宋体" w:hint="default"/>
                <w:sz w:val="21"/>
                <w:szCs w:val="21"/>
              </w:rPr>
            </w:pPr>
            <w:r>
              <w:rPr>
                <w:rFonts w:ascii="宋体" w:hAnsi="宋体" w:cs="宋体" w:eastAsia="宋体" w:hint="default"/>
                <w:sz w:val="21"/>
                <w:szCs w:val="21"/>
              </w:rPr>
              <w:t>年末限</w:t>
            </w:r>
          </w:p>
          <w:p>
            <w:pPr>
              <w:pStyle w:val="TableParagraph"/>
              <w:spacing w:line="274" w:lineRule="exact"/>
              <w:ind w:left="86"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5"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3"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华立集团股份有限公司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65,917,554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65,917,554</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海南禹航实业投资有限公司</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9,438,800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9,438,800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股改限售</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04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2"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袁子力</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93,400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93,400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高管限售</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06</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钟朋荣</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16,896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16,896</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高管限售</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张中平</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10,560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10,560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高管限售</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离职后六个月</w:t>
            </w:r>
          </w:p>
        </w:tc>
      </w:tr>
      <w:tr>
        <w:trPr>
          <w:trHeight w:val="283"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周和平</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63,360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15,840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47,520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高管限售</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离职后六个月</w:t>
            </w:r>
          </w:p>
        </w:tc>
      </w:tr>
      <w:tr>
        <w:trPr>
          <w:trHeight w:val="283"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赵晓光</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105,600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105,600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高管限售</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3"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余晓利</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600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高管限售</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离职后六个月</w:t>
            </w:r>
          </w:p>
        </w:tc>
      </w:tr>
      <w:tr>
        <w:trPr>
          <w:trHeight w:val="283" w:hRule="exact"/>
        </w:trPr>
        <w:tc>
          <w:tcPr>
            <w:tcW w:w="2626"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75,646,170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75,588,090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600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58,680</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12"/>
        <w:rPr>
          <w:rFonts w:ascii="宋体" w:hAnsi="宋体" w:cs="宋体" w:eastAsia="宋体" w:hint="default"/>
          <w:sz w:val="5"/>
          <w:szCs w:val="5"/>
        </w:rPr>
      </w:pPr>
    </w:p>
    <w:p>
      <w:pPr>
        <w:pStyle w:val="Heading3"/>
        <w:spacing w:line="240" w:lineRule="auto" w:before="26"/>
        <w:ind w:left="1198" w:right="0"/>
        <w:jc w:val="left"/>
      </w:pPr>
      <w:r>
        <w:rPr/>
        <w:t>3、证券发行与上市情况</w:t>
      </w:r>
    </w:p>
    <w:p>
      <w:pPr>
        <w:pStyle w:val="Heading3"/>
        <w:spacing w:line="240" w:lineRule="auto" w:before="166"/>
        <w:ind w:left="1198" w:right="0"/>
        <w:jc w:val="left"/>
      </w:pPr>
      <w:r>
        <w:rPr/>
        <w:t>（1）前三年历次证券发行情况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5075" w:right="5198" w:firstLine="0"/>
        <w:jc w:val="center"/>
        <w:rPr>
          <w:rFonts w:ascii="Times New Roman" w:hAnsi="Times New Roman" w:cs="Times New Roman" w:eastAsia="Times New Roman" w:hint="default"/>
          <w:sz w:val="18"/>
          <w:szCs w:val="18"/>
        </w:rPr>
      </w:pPr>
      <w:r>
        <w:rPr>
          <w:rFonts w:ascii="Times New Roman"/>
          <w:sz w:val="18"/>
        </w:rPr>
        <w:t>7</w:t>
      </w:r>
    </w:p>
    <w:p>
      <w:pPr>
        <w:spacing w:after="0"/>
        <w:jc w:val="center"/>
        <w:rPr>
          <w:rFonts w:ascii="Times New Roman" w:hAnsi="Times New Roman" w:cs="Times New Roman" w:eastAsia="Times New Roman" w:hint="default"/>
          <w:sz w:val="18"/>
          <w:szCs w:val="18"/>
        </w:rPr>
        <w:sectPr>
          <w:pgSz w:w="11910" w:h="16840"/>
          <w:pgMar w:top="640" w:bottom="280" w:left="1040" w:right="460"/>
        </w:sectPr>
      </w:pPr>
    </w:p>
    <w:p>
      <w:pPr>
        <w:spacing w:line="240" w:lineRule="auto" w:before="11"/>
        <w:rPr>
          <w:rFonts w:ascii="Times New Roman" w:hAnsi="Times New Roman" w:cs="Times New Roman" w:eastAsia="Times New Roman" w:hint="default"/>
          <w:sz w:val="26"/>
          <w:szCs w:val="26"/>
        </w:rPr>
      </w:pPr>
    </w:p>
    <w:p>
      <w:pPr>
        <w:pStyle w:val="Heading4"/>
        <w:tabs>
          <w:tab w:pos="7369" w:val="left" w:leader="none"/>
        </w:tabs>
        <w:spacing w:line="240" w:lineRule="auto"/>
        <w:ind w:left="4056" w:right="0"/>
        <w:jc w:val="left"/>
        <w:rPr>
          <w:b w:val="0"/>
          <w:bCs w:val="0"/>
        </w:rPr>
      </w:pPr>
      <w:r>
        <w:rPr/>
        <w:pict>
          <v:shape style="position:absolute;margin-left:65.160004pt;margin-top:-11.486023pt;width:95.052pt;height:25.5pt;mso-position-horizontal-relative:page;mso-position-vertical-relative:paragraph;z-index:1408"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507"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0"/>
        <w:rPr>
          <w:rFonts w:ascii="黑体" w:hAnsi="黑体" w:cs="黑体" w:eastAsia="黑体" w:hint="default"/>
          <w:b/>
          <w:bCs/>
          <w:sz w:val="16"/>
          <w:szCs w:val="16"/>
        </w:rPr>
      </w:pPr>
    </w:p>
    <w:p>
      <w:pPr>
        <w:pStyle w:val="Heading3"/>
        <w:spacing w:line="240" w:lineRule="auto" w:before="26"/>
        <w:ind w:left="1144" w:right="0"/>
        <w:jc w:val="left"/>
      </w:pPr>
      <w:r>
        <w:rPr/>
        <w:t>截止报告期末，公司近三年没有发生股票发行及上市的情况。</w:t>
      </w:r>
    </w:p>
    <w:p>
      <w:pPr>
        <w:pStyle w:val="Heading3"/>
        <w:spacing w:line="367" w:lineRule="auto" w:before="166"/>
        <w:ind w:left="544" w:right="593" w:firstLine="480"/>
        <w:jc w:val="both"/>
      </w:pPr>
      <w:r>
        <w:rPr/>
        <w:t>（2）报告期内公司没有因送股、转增股本、配股、增发新股、吸收合并、可转</w:t>
      </w:r>
      <w:r>
        <w:rPr>
          <w:spacing w:val="2"/>
        </w:rPr>
        <w:t> </w:t>
      </w:r>
      <w:r>
        <w:rPr>
          <w:spacing w:val="-1"/>
        </w:rPr>
        <w:t>换公司债券转股、减资、内部职工股或公司职工股上市或其它原因引起公司股份总数</w:t>
      </w:r>
      <w:r>
        <w:rPr/>
        <w:t> 变动。</w:t>
      </w:r>
    </w:p>
    <w:p>
      <w:pPr>
        <w:pStyle w:val="Heading3"/>
        <w:spacing w:line="240" w:lineRule="auto" w:before="38"/>
        <w:ind w:left="1024" w:right="0"/>
        <w:jc w:val="left"/>
      </w:pPr>
      <w:r>
        <w:rPr/>
        <w:t>（3）公司无内部职工股。</w:t>
      </w:r>
    </w:p>
    <w:p>
      <w:pPr>
        <w:spacing w:line="367" w:lineRule="auto" w:before="166"/>
        <w:ind w:left="1024" w:right="6420" w:hanging="240"/>
        <w:jc w:val="left"/>
        <w:rPr>
          <w:rFonts w:ascii="宋体" w:hAnsi="宋体" w:cs="宋体" w:eastAsia="宋体" w:hint="default"/>
          <w:sz w:val="24"/>
          <w:szCs w:val="24"/>
        </w:rPr>
      </w:pPr>
      <w:r>
        <w:rPr/>
        <w:pict>
          <v:shapetype id="_x0000_t202" o:spt="202" coordsize="21600,21600" path="m,l,21600r21600,l21600,xe">
            <v:stroke joinstyle="miter"/>
            <v:path gradientshapeok="t" o:connecttype="rect"/>
          </v:shapetype>
          <v:shape style="position:absolute;margin-left:43.98pt;margin-top:51.115944pt;width:487.5pt;height:511.3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50"/>
                    <w:gridCol w:w="1680"/>
                    <w:gridCol w:w="210"/>
                    <w:gridCol w:w="736"/>
                    <w:gridCol w:w="1260"/>
                    <w:gridCol w:w="390"/>
                    <w:gridCol w:w="1050"/>
                    <w:gridCol w:w="1260"/>
                  </w:tblGrid>
                  <w:tr>
                    <w:trPr>
                      <w:trHeight w:val="408"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股东总数</w:t>
                        </w:r>
                      </w:p>
                    </w:tc>
                    <w:tc>
                      <w:tcPr>
                        <w:tcW w:w="658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hAnsi="宋体" w:cs="宋体" w:eastAsia="宋体" w:hint="default"/>
                            <w:sz w:val="21"/>
                            <w:szCs w:val="21"/>
                          </w:rPr>
                          <w:t>60,179</w:t>
                        </w:r>
                        <w:r>
                          <w:rPr>
                            <w:rFonts w:ascii="宋体" w:hAnsi="宋体" w:cs="宋体" w:eastAsia="宋体" w:hint="default"/>
                            <w:spacing w:val="-54"/>
                            <w:sz w:val="21"/>
                            <w:szCs w:val="21"/>
                          </w:rPr>
                          <w:t> </w:t>
                        </w:r>
                        <w:r>
                          <w:rPr>
                            <w:rFonts w:ascii="宋体" w:hAnsi="宋体" w:cs="宋体" w:eastAsia="宋体" w:hint="default"/>
                            <w:sz w:val="21"/>
                            <w:szCs w:val="21"/>
                          </w:rPr>
                          <w:t>户</w:t>
                        </w:r>
                      </w:p>
                    </w:tc>
                  </w:tr>
                  <w:tr>
                    <w:trPr>
                      <w:trHeight w:val="407" w:hRule="exact"/>
                    </w:trPr>
                    <w:tc>
                      <w:tcPr>
                        <w:tcW w:w="973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名股东持股情况</w:t>
                        </w:r>
                      </w:p>
                    </w:tc>
                  </w:tr>
                  <w:tr>
                    <w:trPr>
                      <w:trHeight w:val="556"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13"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持有有限售条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件股份数量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质押或冻结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的股份数量</w:t>
                        </w:r>
                      </w:p>
                    </w:tc>
                  </w:tr>
                  <w:tr>
                    <w:trPr>
                      <w:trHeight w:val="407"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华立集团股份有限公司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2" w:right="0"/>
                          <w:jc w:val="left"/>
                          <w:rPr>
                            <w:rFonts w:ascii="宋体" w:hAnsi="宋体" w:cs="宋体" w:eastAsia="宋体" w:hint="default"/>
                            <w:sz w:val="21"/>
                            <w:szCs w:val="21"/>
                          </w:rPr>
                        </w:pPr>
                        <w:r>
                          <w:rPr>
                            <w:rFonts w:ascii="宋体"/>
                            <w:sz w:val="21"/>
                          </w:rPr>
                          <w:t>23.52%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pacing w:val="-1"/>
                            <w:sz w:val="21"/>
                          </w:rPr>
                          <w:t>114,690,754</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w:t>
                        </w:r>
                      </w:p>
                    </w:tc>
                  </w:tr>
                  <w:tr>
                    <w:trPr>
                      <w:trHeight w:val="556"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中国工商银行－诺安平衡证券投</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sz w:val="21"/>
                          </w:rPr>
                          <w:t>1.99%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9,697,140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0</w:t>
                        </w:r>
                      </w:p>
                    </w:tc>
                  </w:tr>
                  <w:tr>
                    <w:trPr>
                      <w:trHeight w:val="408"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海南禹航实业投资有限公司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6" w:right="0"/>
                          <w:jc w:val="left"/>
                          <w:rPr>
                            <w:rFonts w:ascii="宋体" w:hAnsi="宋体" w:cs="宋体" w:eastAsia="宋体" w:hint="default"/>
                            <w:sz w:val="21"/>
                            <w:szCs w:val="21"/>
                          </w:rPr>
                        </w:pPr>
                        <w:r>
                          <w:rPr>
                            <w:rFonts w:ascii="宋体"/>
                            <w:sz w:val="21"/>
                          </w:rPr>
                          <w:t>1.39%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6,782,233</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w:t>
                        </w:r>
                      </w:p>
                    </w:tc>
                  </w:tr>
                  <w:tr>
                    <w:trPr>
                      <w:trHeight w:val="407"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江苏国安建筑安装工程有限公司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6" w:right="0"/>
                          <w:jc w:val="left"/>
                          <w:rPr>
                            <w:rFonts w:ascii="宋体" w:hAnsi="宋体" w:cs="宋体" w:eastAsia="宋体" w:hint="default"/>
                            <w:sz w:val="21"/>
                            <w:szCs w:val="21"/>
                          </w:rPr>
                        </w:pPr>
                        <w:r>
                          <w:rPr>
                            <w:rFonts w:ascii="宋体"/>
                            <w:sz w:val="21"/>
                          </w:rPr>
                          <w:t>0.78%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3,793,293</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3,793,293</w:t>
                        </w:r>
                      </w:p>
                    </w:tc>
                  </w:tr>
                  <w:tr>
                    <w:trPr>
                      <w:trHeight w:val="556"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中国工商银行－广发中证</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2"/>
                            <w:sz w:val="21"/>
                            <w:szCs w:val="21"/>
                          </w:rPr>
                          <w:t> </w:t>
                        </w:r>
                        <w:r>
                          <w:rPr>
                            <w:rFonts w:ascii="宋体" w:hAnsi="宋体" w:cs="宋体" w:eastAsia="宋体" w:hint="default"/>
                            <w:sz w:val="21"/>
                            <w:szCs w:val="21"/>
                          </w:rPr>
                          <w:t>指</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数证券投资基金(LOF)</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6" w:right="0"/>
                          <w:jc w:val="left"/>
                          <w:rPr>
                            <w:rFonts w:ascii="宋体" w:hAnsi="宋体" w:cs="宋体" w:eastAsia="宋体" w:hint="default"/>
                            <w:sz w:val="21"/>
                            <w:szCs w:val="21"/>
                          </w:rPr>
                        </w:pPr>
                        <w:r>
                          <w:rPr>
                            <w:rFonts w:ascii="宋体"/>
                            <w:sz w:val="21"/>
                          </w:rPr>
                          <w:t>0.40%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1,964,789</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z w:val="21"/>
                          </w:rPr>
                          <w:t>0</w:t>
                        </w:r>
                      </w:p>
                    </w:tc>
                  </w:tr>
                  <w:tr>
                    <w:trPr>
                      <w:trHeight w:val="407"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许凤兴</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6" w:right="0"/>
                          <w:jc w:val="left"/>
                          <w:rPr>
                            <w:rFonts w:ascii="宋体" w:hAnsi="宋体" w:cs="宋体" w:eastAsia="宋体" w:hint="default"/>
                            <w:sz w:val="21"/>
                            <w:szCs w:val="21"/>
                          </w:rPr>
                        </w:pPr>
                        <w:r>
                          <w:rPr>
                            <w:rFonts w:ascii="宋体"/>
                            <w:sz w:val="21"/>
                          </w:rPr>
                          <w:t>0.37%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1,800,000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w:t>
                        </w:r>
                      </w:p>
                    </w:tc>
                  </w:tr>
                  <w:tr>
                    <w:trPr>
                      <w:trHeight w:val="408"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广东证券股份有限公司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6" w:right="0"/>
                          <w:jc w:val="left"/>
                          <w:rPr>
                            <w:rFonts w:ascii="宋体" w:hAnsi="宋体" w:cs="宋体" w:eastAsia="宋体" w:hint="default"/>
                            <w:sz w:val="21"/>
                            <w:szCs w:val="21"/>
                          </w:rPr>
                        </w:pPr>
                        <w:r>
                          <w:rPr>
                            <w:rFonts w:ascii="宋体"/>
                            <w:sz w:val="21"/>
                          </w:rPr>
                          <w:t>0.35%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1,702,249</w:t>
                        </w:r>
                        <w:r>
                          <w:rPr>
                            <w:rFonts w:ascii="宋体"/>
                            <w:sz w:val="21"/>
                          </w:rPr>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w:t>
                        </w:r>
                      </w:p>
                    </w:tc>
                  </w:tr>
                  <w:tr>
                    <w:trPr>
                      <w:trHeight w:val="407"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谢沛添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6" w:right="0"/>
                          <w:jc w:val="left"/>
                          <w:rPr>
                            <w:rFonts w:ascii="宋体" w:hAnsi="宋体" w:cs="宋体" w:eastAsia="宋体" w:hint="default"/>
                            <w:sz w:val="21"/>
                            <w:szCs w:val="21"/>
                          </w:rPr>
                        </w:pPr>
                        <w:r>
                          <w:rPr>
                            <w:rFonts w:ascii="宋体"/>
                            <w:sz w:val="21"/>
                          </w:rPr>
                          <w:t>0.32%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1,551,400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w:t>
                        </w:r>
                      </w:p>
                    </w:tc>
                  </w:tr>
                  <w:tr>
                    <w:trPr>
                      <w:trHeight w:val="407"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王惠成</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6" w:right="0"/>
                          <w:jc w:val="left"/>
                          <w:rPr>
                            <w:rFonts w:ascii="宋体" w:hAnsi="宋体" w:cs="宋体" w:eastAsia="宋体" w:hint="default"/>
                            <w:sz w:val="21"/>
                            <w:szCs w:val="21"/>
                          </w:rPr>
                        </w:pPr>
                        <w:r>
                          <w:rPr>
                            <w:rFonts w:ascii="宋体"/>
                            <w:sz w:val="21"/>
                          </w:rPr>
                          <w:t>0.26%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1,264,800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w:t>
                        </w:r>
                      </w:p>
                    </w:tc>
                  </w:tr>
                  <w:tr>
                    <w:trPr>
                      <w:trHeight w:val="407"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芜湖海创置业有限责任公司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86" w:right="0"/>
                          <w:jc w:val="left"/>
                          <w:rPr>
                            <w:rFonts w:ascii="宋体" w:hAnsi="宋体" w:cs="宋体" w:eastAsia="宋体" w:hint="default"/>
                            <w:sz w:val="21"/>
                            <w:szCs w:val="21"/>
                          </w:rPr>
                        </w:pPr>
                        <w:r>
                          <w:rPr>
                            <w:rFonts w:ascii="宋体"/>
                            <w:sz w:val="21"/>
                          </w:rPr>
                          <w:t>0.25%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1,200,000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w:t>
                        </w:r>
                      </w:p>
                    </w:tc>
                  </w:tr>
                  <w:tr>
                    <w:trPr>
                      <w:trHeight w:val="407" w:hRule="exact"/>
                    </w:trPr>
                    <w:tc>
                      <w:tcPr>
                        <w:tcW w:w="973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7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名无限售条件股东持股情况</w:t>
                        </w:r>
                      </w:p>
                    </w:tc>
                  </w:tr>
                  <w:tr>
                    <w:trPr>
                      <w:trHeight w:val="407" w:hRule="exact"/>
                    </w:trPr>
                    <w:tc>
                      <w:tcPr>
                        <w:tcW w:w="5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30"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408" w:hRule="exact"/>
                    </w:trPr>
                    <w:tc>
                      <w:tcPr>
                        <w:tcW w:w="5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华立集团股份有限公司</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8" w:right="0"/>
                          <w:jc w:val="left"/>
                          <w:rPr>
                            <w:rFonts w:ascii="宋体" w:hAnsi="宋体" w:cs="宋体" w:eastAsia="宋体" w:hint="default"/>
                            <w:sz w:val="21"/>
                            <w:szCs w:val="21"/>
                          </w:rPr>
                        </w:pPr>
                        <w:r>
                          <w:rPr>
                            <w:rFonts w:ascii="宋体"/>
                            <w:sz w:val="21"/>
                          </w:rPr>
                          <w:t>114,690,754</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7" w:hRule="exact"/>
                    </w:trPr>
                    <w:tc>
                      <w:tcPr>
                        <w:tcW w:w="5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中国工商银行－诺安平衡证券投资基金</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07" w:right="0"/>
                          <w:jc w:val="left"/>
                          <w:rPr>
                            <w:rFonts w:ascii="宋体" w:hAnsi="宋体" w:cs="宋体" w:eastAsia="宋体" w:hint="default"/>
                            <w:sz w:val="21"/>
                            <w:szCs w:val="21"/>
                          </w:rPr>
                        </w:pPr>
                        <w:r>
                          <w:rPr>
                            <w:rFonts w:ascii="宋体"/>
                            <w:sz w:val="21"/>
                          </w:rPr>
                          <w:t>9,697,140</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7" w:hRule="exact"/>
                    </w:trPr>
                    <w:tc>
                      <w:tcPr>
                        <w:tcW w:w="5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海南禹航实业投资有限公司</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07" w:right="0"/>
                          <w:jc w:val="left"/>
                          <w:rPr>
                            <w:rFonts w:ascii="宋体" w:hAnsi="宋体" w:cs="宋体" w:eastAsia="宋体" w:hint="default"/>
                            <w:sz w:val="21"/>
                            <w:szCs w:val="21"/>
                          </w:rPr>
                        </w:pPr>
                        <w:r>
                          <w:rPr>
                            <w:rFonts w:ascii="宋体"/>
                            <w:sz w:val="21"/>
                          </w:rPr>
                          <w:t>6,782,233</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7" w:hRule="exact"/>
                    </w:trPr>
                    <w:tc>
                      <w:tcPr>
                        <w:tcW w:w="5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江苏国安建筑安装工程有限公司</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07" w:right="0"/>
                          <w:jc w:val="left"/>
                          <w:rPr>
                            <w:rFonts w:ascii="宋体" w:hAnsi="宋体" w:cs="宋体" w:eastAsia="宋体" w:hint="default"/>
                            <w:sz w:val="21"/>
                            <w:szCs w:val="21"/>
                          </w:rPr>
                        </w:pPr>
                        <w:r>
                          <w:rPr>
                            <w:rFonts w:ascii="宋体"/>
                            <w:sz w:val="21"/>
                          </w:rPr>
                          <w:t>3,793,293</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7" w:hRule="exact"/>
                    </w:trPr>
                    <w:tc>
                      <w:tcPr>
                        <w:tcW w:w="5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中国工商银行－广发中证</w:t>
                        </w:r>
                        <w:r>
                          <w:rPr>
                            <w:rFonts w:ascii="宋体" w:hAnsi="宋体" w:cs="宋体" w:eastAsia="宋体" w:hint="default"/>
                            <w:spacing w:val="-66"/>
                            <w:sz w:val="21"/>
                            <w:szCs w:val="21"/>
                          </w:rPr>
                          <w:t> </w:t>
                        </w:r>
                        <w:r>
                          <w:rPr>
                            <w:rFonts w:ascii="宋体" w:hAnsi="宋体" w:cs="宋体" w:eastAsia="宋体" w:hint="default"/>
                            <w:sz w:val="21"/>
                            <w:szCs w:val="21"/>
                          </w:rPr>
                          <w:t>500</w:t>
                        </w:r>
                        <w:r>
                          <w:rPr>
                            <w:rFonts w:ascii="宋体" w:hAnsi="宋体" w:cs="宋体" w:eastAsia="宋体" w:hint="default"/>
                            <w:spacing w:val="-65"/>
                            <w:sz w:val="21"/>
                            <w:szCs w:val="21"/>
                          </w:rPr>
                          <w:t> </w:t>
                        </w:r>
                        <w:r>
                          <w:rPr>
                            <w:rFonts w:ascii="宋体" w:hAnsi="宋体" w:cs="宋体" w:eastAsia="宋体" w:hint="default"/>
                            <w:sz w:val="21"/>
                            <w:szCs w:val="21"/>
                          </w:rPr>
                          <w:t>指数证券投资基金(LOF)</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07" w:right="0"/>
                          <w:jc w:val="left"/>
                          <w:rPr>
                            <w:rFonts w:ascii="宋体" w:hAnsi="宋体" w:cs="宋体" w:eastAsia="宋体" w:hint="default"/>
                            <w:sz w:val="21"/>
                            <w:szCs w:val="21"/>
                          </w:rPr>
                        </w:pPr>
                        <w:r>
                          <w:rPr>
                            <w:rFonts w:ascii="宋体"/>
                            <w:sz w:val="21"/>
                          </w:rPr>
                          <w:t>1,964,789</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7" w:hRule="exact"/>
                    </w:trPr>
                    <w:tc>
                      <w:tcPr>
                        <w:tcW w:w="5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许凤兴</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07" w:right="0"/>
                          <w:jc w:val="left"/>
                          <w:rPr>
                            <w:rFonts w:ascii="宋体" w:hAnsi="宋体" w:cs="宋体" w:eastAsia="宋体" w:hint="default"/>
                            <w:sz w:val="21"/>
                            <w:szCs w:val="21"/>
                          </w:rPr>
                        </w:pPr>
                        <w:r>
                          <w:rPr>
                            <w:rFonts w:ascii="宋体"/>
                            <w:sz w:val="21"/>
                          </w:rPr>
                          <w:t>1,800,000</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8" w:hRule="exact"/>
                    </w:trPr>
                    <w:tc>
                      <w:tcPr>
                        <w:tcW w:w="5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广东证券股份有限公司</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07" w:right="0"/>
                          <w:jc w:val="left"/>
                          <w:rPr>
                            <w:rFonts w:ascii="宋体" w:hAnsi="宋体" w:cs="宋体" w:eastAsia="宋体" w:hint="default"/>
                            <w:sz w:val="21"/>
                            <w:szCs w:val="21"/>
                          </w:rPr>
                        </w:pPr>
                        <w:r>
                          <w:rPr>
                            <w:rFonts w:ascii="宋体"/>
                            <w:sz w:val="21"/>
                          </w:rPr>
                          <w:t>1,702,249</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7" w:hRule="exact"/>
                    </w:trPr>
                    <w:tc>
                      <w:tcPr>
                        <w:tcW w:w="5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谢沛添</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07" w:right="0"/>
                          <w:jc w:val="left"/>
                          <w:rPr>
                            <w:rFonts w:ascii="宋体" w:hAnsi="宋体" w:cs="宋体" w:eastAsia="宋体" w:hint="default"/>
                            <w:sz w:val="21"/>
                            <w:szCs w:val="21"/>
                          </w:rPr>
                        </w:pPr>
                        <w:r>
                          <w:rPr>
                            <w:rFonts w:ascii="宋体"/>
                            <w:sz w:val="21"/>
                          </w:rPr>
                          <w:t>1,551,400</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07" w:hRule="exact"/>
                    </w:trPr>
                    <w:tc>
                      <w:tcPr>
                        <w:tcW w:w="50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王惠成</w:t>
                        </w:r>
                      </w:p>
                    </w:tc>
                    <w:tc>
                      <w:tcPr>
                        <w:tcW w:w="23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07" w:right="0"/>
                          <w:jc w:val="left"/>
                          <w:rPr>
                            <w:rFonts w:ascii="宋体" w:hAnsi="宋体" w:cs="宋体" w:eastAsia="宋体" w:hint="default"/>
                            <w:sz w:val="21"/>
                            <w:szCs w:val="21"/>
                          </w:rPr>
                        </w:pPr>
                        <w:r>
                          <w:rPr>
                            <w:rFonts w:ascii="宋体"/>
                            <w:sz w:val="21"/>
                          </w:rPr>
                          <w:t>1,264,800</w:t>
                        </w:r>
                      </w:p>
                    </w:tc>
                    <w:tc>
                      <w:tcPr>
                        <w:tcW w:w="2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bl>
                <w:p>
                  <w:pPr/>
                </w:p>
              </w:txbxContent>
            </v:textbox>
            <w10:wrap type="none"/>
          </v:shape>
        </w:pict>
      </w:r>
      <w:r>
        <w:rPr>
          <w:rFonts w:ascii="宋体" w:hAnsi="宋体" w:cs="宋体" w:eastAsia="宋体" w:hint="default"/>
          <w:b/>
          <w:bCs/>
          <w:sz w:val="24"/>
          <w:szCs w:val="24"/>
        </w:rPr>
        <w:t>（二）公司股东情况</w:t>
      </w:r>
      <w:r>
        <w:rPr>
          <w:rFonts w:ascii="宋体" w:hAnsi="宋体" w:cs="宋体" w:eastAsia="宋体" w:hint="default"/>
          <w:b/>
          <w:bCs/>
          <w:w w:val="99"/>
          <w:sz w:val="24"/>
          <w:szCs w:val="24"/>
        </w:rPr>
        <w:t> </w:t>
      </w:r>
      <w:r>
        <w:rPr>
          <w:rFonts w:ascii="宋体" w:hAnsi="宋体" w:cs="宋体" w:eastAsia="宋体" w:hint="default"/>
          <w:sz w:val="24"/>
          <w:szCs w:val="24"/>
        </w:rPr>
        <w:t>1、公司股东和持股情况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76"/>
        <w:ind w:left="4902" w:right="4952" w:firstLine="0"/>
        <w:jc w:val="center"/>
        <w:rPr>
          <w:rFonts w:ascii="Times New Roman" w:hAnsi="Times New Roman" w:cs="Times New Roman" w:eastAsia="Times New Roman" w:hint="default"/>
          <w:sz w:val="18"/>
          <w:szCs w:val="18"/>
        </w:rPr>
      </w:pPr>
      <w:r>
        <w:rPr>
          <w:rFonts w:ascii="Times New Roman"/>
          <w:sz w:val="18"/>
        </w:rPr>
        <w:t>8</w:t>
      </w:r>
    </w:p>
    <w:p>
      <w:pPr>
        <w:spacing w:after="0"/>
        <w:jc w:val="center"/>
        <w:rPr>
          <w:rFonts w:ascii="Times New Roman" w:hAnsi="Times New Roman" w:cs="Times New Roman" w:eastAsia="Times New Roman" w:hint="default"/>
          <w:sz w:val="18"/>
          <w:szCs w:val="18"/>
        </w:rPr>
        <w:sectPr>
          <w:pgSz w:w="11910" w:h="16840"/>
          <w:pgMar w:top="640" w:bottom="280" w:left="760" w:right="1160"/>
        </w:sectPr>
      </w:pPr>
    </w:p>
    <w:p>
      <w:pPr>
        <w:spacing w:line="240" w:lineRule="auto" w:before="11"/>
        <w:rPr>
          <w:rFonts w:ascii="Times New Roman" w:hAnsi="Times New Roman" w:cs="Times New Roman" w:eastAsia="Times New Roman" w:hint="default"/>
          <w:sz w:val="26"/>
          <w:szCs w:val="26"/>
        </w:rPr>
      </w:pPr>
    </w:p>
    <w:p>
      <w:pPr>
        <w:pStyle w:val="Heading4"/>
        <w:tabs>
          <w:tab w:pos="7363" w:val="left" w:leader="none"/>
        </w:tabs>
        <w:spacing w:line="240" w:lineRule="auto"/>
        <w:ind w:left="4050" w:right="0"/>
        <w:jc w:val="left"/>
        <w:rPr>
          <w:b w:val="0"/>
          <w:bCs w:val="0"/>
        </w:rPr>
      </w:pPr>
      <w:r>
        <w:rPr/>
        <w:pict>
          <v:shape style="position:absolute;margin-left:87.900002pt;margin-top:-11.486023pt;width:95.033pt;height:25.5pt;mso-position-horizontal-relative:page;mso-position-vertical-relative:paragraph;z-index:1528"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50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1"/>
        <w:rPr>
          <w:rFonts w:ascii="黑体" w:hAnsi="黑体" w:cs="黑体" w:eastAsia="黑体" w:hint="default"/>
          <w:b/>
          <w:bCs/>
          <w:sz w:val="10"/>
          <w:szCs w:val="10"/>
        </w:rPr>
      </w:pPr>
    </w:p>
    <w:tbl>
      <w:tblPr>
        <w:tblW w:w="0" w:type="auto"/>
        <w:jc w:val="left"/>
        <w:tblInd w:w="113" w:type="dxa"/>
        <w:tblLayout w:type="fixed"/>
        <w:tblCellMar>
          <w:top w:w="0" w:type="dxa"/>
          <w:left w:w="0" w:type="dxa"/>
          <w:bottom w:w="0" w:type="dxa"/>
          <w:right w:w="0" w:type="dxa"/>
        </w:tblCellMar>
        <w:tblLook w:val="01E0"/>
      </w:tblPr>
      <w:tblGrid>
        <w:gridCol w:w="3150"/>
        <w:gridCol w:w="1890"/>
        <w:gridCol w:w="2386"/>
        <w:gridCol w:w="2310"/>
      </w:tblGrid>
      <w:tr>
        <w:trPr>
          <w:trHeight w:val="408" w:hRule="exact"/>
        </w:trPr>
        <w:tc>
          <w:tcPr>
            <w:tcW w:w="5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芜湖海创置业有限责任公司</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08" w:right="0"/>
              <w:jc w:val="left"/>
              <w:rPr>
                <w:rFonts w:ascii="宋体" w:hAnsi="宋体" w:cs="宋体" w:eastAsia="宋体" w:hint="default"/>
                <w:sz w:val="21"/>
                <w:szCs w:val="21"/>
              </w:rPr>
            </w:pPr>
            <w:r>
              <w:rPr>
                <w:rFonts w:ascii="宋体"/>
                <w:sz w:val="21"/>
              </w:rPr>
              <w:t>1,200,000</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1"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6" w:hRule="exact"/>
        </w:trPr>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9" w:right="0"/>
              <w:jc w:val="left"/>
              <w:rPr>
                <w:rFonts w:ascii="宋体" w:hAnsi="宋体" w:cs="宋体" w:eastAsia="宋体" w:hint="default"/>
                <w:sz w:val="21"/>
                <w:szCs w:val="21"/>
              </w:rPr>
            </w:pPr>
            <w:r>
              <w:rPr>
                <w:rFonts w:ascii="宋体" w:hAnsi="宋体" w:cs="宋体" w:eastAsia="宋体" w:hint="default"/>
                <w:sz w:val="21"/>
                <w:szCs w:val="21"/>
              </w:rPr>
              <w:t>上述股东关联关系</w:t>
            </w:r>
          </w:p>
          <w:p>
            <w:pPr>
              <w:pStyle w:val="TableParagraph"/>
              <w:spacing w:line="274" w:lineRule="exact"/>
              <w:ind w:left="729" w:right="0"/>
              <w:jc w:val="left"/>
              <w:rPr>
                <w:rFonts w:ascii="宋体" w:hAnsi="宋体" w:cs="宋体" w:eastAsia="宋体" w:hint="default"/>
                <w:sz w:val="21"/>
                <w:szCs w:val="21"/>
              </w:rPr>
            </w:pPr>
            <w:r>
              <w:rPr>
                <w:rFonts w:ascii="宋体" w:hAnsi="宋体" w:cs="宋体" w:eastAsia="宋体" w:hint="default"/>
                <w:sz w:val="21"/>
                <w:szCs w:val="21"/>
              </w:rPr>
              <w:t>或一致行动的说明</w:t>
            </w:r>
          </w:p>
        </w:tc>
        <w:tc>
          <w:tcPr>
            <w:tcW w:w="65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公司未知上述股东之间是否存在关联关系或属于《上市公司股东持股变</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动信息披露管理办法》规定的一致行动人。</w:t>
            </w:r>
          </w:p>
        </w:tc>
      </w:tr>
    </w:tbl>
    <w:p>
      <w:pPr>
        <w:pStyle w:val="Heading3"/>
        <w:spacing w:line="240" w:lineRule="auto" w:before="81"/>
        <w:ind w:left="1060" w:right="0"/>
        <w:jc w:val="left"/>
      </w:pPr>
      <w:r>
        <w:rPr/>
        <w:t>2、公司控股股东及实际控制人介绍</w:t>
      </w:r>
    </w:p>
    <w:p>
      <w:pPr>
        <w:pStyle w:val="Heading3"/>
        <w:spacing w:line="357" w:lineRule="auto" w:before="154"/>
        <w:ind w:left="538" w:right="0" w:firstLine="480"/>
        <w:jc w:val="left"/>
      </w:pPr>
      <w:r>
        <w:rPr/>
        <w:t>（1）报告期内公司控股股东由华立产业集团有限公司变更为华立集团股份有限</w:t>
      </w:r>
      <w:r>
        <w:rPr>
          <w:spacing w:val="2"/>
        </w:rPr>
        <w:t> </w:t>
      </w:r>
      <w:r>
        <w:rPr/>
        <w:t>公司，公司实际控制人未发生变更。</w:t>
      </w:r>
    </w:p>
    <w:p>
      <w:pPr>
        <w:pStyle w:val="Heading3"/>
        <w:spacing w:line="357" w:lineRule="auto"/>
        <w:ind w:left="1618" w:right="3766" w:hanging="600"/>
        <w:jc w:val="left"/>
      </w:pPr>
      <w:r>
        <w:rPr/>
        <w:t>（2）公司控股股东情况 控股股东公司名称：华立集团股份有限公司 法人代表：汪力成 注册资本：叁亿零叁佰叁拾捌万元人民币 成立日期：1999年6月6日</w:t>
      </w:r>
    </w:p>
    <w:p>
      <w:pPr>
        <w:pStyle w:val="Heading3"/>
        <w:spacing w:line="357" w:lineRule="auto"/>
        <w:ind w:left="538" w:right="0" w:firstLine="1080"/>
        <w:jc w:val="left"/>
      </w:pPr>
      <w:r>
        <w:rPr>
          <w:spacing w:val="-2"/>
        </w:rPr>
        <w:t>经营范围：实业投资，资产管理，国内和国际贸易，技术服务，管理咨询，</w:t>
      </w:r>
      <w:r>
        <w:rPr/>
        <w:t> 设备租赁，燃料油（不含成品油）的销售。</w:t>
      </w:r>
    </w:p>
    <w:p>
      <w:pPr>
        <w:pStyle w:val="Heading3"/>
        <w:spacing w:line="357" w:lineRule="auto"/>
        <w:ind w:left="1495" w:right="4729" w:hanging="478"/>
        <w:jc w:val="left"/>
      </w:pPr>
      <w:r>
        <w:rPr/>
        <w:t>（3）实际控制人情况 实际控制人姓名：汪力成 国籍：中国 是否取得其他国家或地区居留权:否 最近五年内职业：企业经营管理</w:t>
      </w:r>
    </w:p>
    <w:p>
      <w:pPr>
        <w:pStyle w:val="Heading3"/>
        <w:spacing w:line="240" w:lineRule="auto"/>
        <w:ind w:left="1495" w:right="0"/>
        <w:jc w:val="left"/>
      </w:pPr>
      <w:r>
        <w:rPr/>
        <w:t>最近五年内职务：华立集团股份公司董事局主席</w:t>
      </w:r>
    </w:p>
    <w:p>
      <w:pPr>
        <w:pStyle w:val="Heading3"/>
        <w:spacing w:line="240" w:lineRule="auto" w:before="154"/>
        <w:ind w:left="1020" w:right="0"/>
        <w:jc w:val="left"/>
      </w:pPr>
      <w:r>
        <w:rPr/>
        <w:t>（4）公司与实际控制人之间的产权及控制关系方框图</w:t>
      </w:r>
    </w:p>
    <w:p>
      <w:pPr>
        <w:spacing w:line="240" w:lineRule="auto" w:before="9"/>
        <w:rPr>
          <w:rFonts w:ascii="宋体" w:hAnsi="宋体" w:cs="宋体" w:eastAsia="宋体" w:hint="default"/>
          <w:sz w:val="26"/>
          <w:szCs w:val="26"/>
        </w:rPr>
      </w:pPr>
    </w:p>
    <w:p>
      <w:pPr>
        <w:spacing w:line="468" w:lineRule="exact"/>
        <w:ind w:left="1168"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10.25pt;height:23.4pt;mso-position-horizontal-relative:char;mso-position-vertical-relative:line" type="#_x0000_t202" filled="false" stroked="true" strokeweight=".75pt" strokecolor="#000000">
            <w10:anchorlock/>
            <v:textbox inset="0,0,0,0">
              <w:txbxContent>
                <w:p>
                  <w:pPr>
                    <w:spacing w:before="42"/>
                    <w:ind w:left="1" w:right="0" w:firstLine="0"/>
                    <w:jc w:val="center"/>
                    <w:rPr>
                      <w:rFonts w:ascii="宋体" w:hAnsi="宋体" w:cs="宋体" w:eastAsia="宋体" w:hint="default"/>
                      <w:sz w:val="18"/>
                      <w:szCs w:val="18"/>
                    </w:rPr>
                  </w:pPr>
                  <w:r>
                    <w:rPr>
                      <w:rFonts w:ascii="宋体" w:hAnsi="宋体" w:cs="宋体" w:eastAsia="宋体" w:hint="default"/>
                      <w:sz w:val="18"/>
                      <w:szCs w:val="18"/>
                    </w:rPr>
                    <w:t>汪力成</w:t>
                  </w:r>
                </w:p>
              </w:txbxContent>
            </v:textbox>
          </v:shape>
        </w:pict>
      </w:r>
      <w:r>
        <w:rPr>
          <w:rFonts w:ascii="宋体" w:hAnsi="宋体" w:cs="宋体" w:eastAsia="宋体" w:hint="default"/>
          <w:position w:val="-8"/>
          <w:sz w:val="20"/>
          <w:szCs w:val="20"/>
        </w:rPr>
      </w:r>
    </w:p>
    <w:p>
      <w:pPr>
        <w:spacing w:line="240" w:lineRule="auto" w:before="4"/>
        <w:rPr>
          <w:rFonts w:ascii="宋体" w:hAnsi="宋体" w:cs="宋体" w:eastAsia="宋体" w:hint="default"/>
          <w:sz w:val="9"/>
          <w:szCs w:val="9"/>
        </w:rPr>
      </w:pPr>
    </w:p>
    <w:p>
      <w:pPr>
        <w:pStyle w:val="BodyText"/>
        <w:spacing w:line="240" w:lineRule="auto" w:before="35"/>
        <w:ind w:left="2362" w:right="0"/>
        <w:jc w:val="left"/>
      </w:pPr>
      <w:r>
        <w:rPr/>
        <w:pict>
          <v:group style="position:absolute;margin-left:208.619995pt;margin-top:22.939066pt;width:231pt;height:94pt;mso-position-horizontal-relative:page;mso-position-vertical-relative:paragraph;z-index:-707992" coordorigin="4172,459" coordsize="4620,1880">
            <v:group style="position:absolute;left:5582;top:927;width:120;height:944" coordorigin="5582,927" coordsize="120,944">
              <v:shape style="position:absolute;left:5582;top:927;width:120;height:944" coordorigin="5582,927" coordsize="120,944" path="m5635,1750l5582,1750,5642,1870,5689,1778,5642,1778,5638,1775,5635,1771,5635,1750xe" filled="true" fillcolor="#000000" stroked="false">
                <v:path arrowok="t"/>
                <v:fill type="solid"/>
              </v:shape>
              <v:shape style="position:absolute;left:5582;top:927;width:120;height:944" coordorigin="5582,927" coordsize="120,944" path="m5642,927l5638,929,5635,934,5635,1771,5638,1775,5642,1778,5648,1775,5651,1771,5651,934,5648,929,5642,927xe" filled="true" fillcolor="#000000" stroked="false">
                <v:path arrowok="t"/>
                <v:fill type="solid"/>
              </v:shape>
              <v:shape style="position:absolute;left:5582;top:927;width:120;height:944" coordorigin="5582,927" coordsize="120,944" path="m5702,1750l5651,1750,5651,1771,5648,1775,5642,1778,5689,1778,5702,1750xe" filled="true" fillcolor="#000000" stroked="false">
                <v:path arrowok="t"/>
                <v:fill type="solid"/>
              </v:shape>
            </v:group>
            <v:group style="position:absolute;left:5012;top:466;width:1260;height:468" coordorigin="5012,466" coordsize="1260,468">
              <v:shape style="position:absolute;left:5012;top:466;width:1260;height:468" coordorigin="5012,466" coordsize="1260,468" path="m6272,466l5012,466,5012,934,6272,934,6272,466xe" filled="false" stroked="true" strokeweight=".75pt" strokecolor="#000000">
                <v:path arrowok="t"/>
              </v:shape>
              <v:shape style="position:absolute;left:4172;top:1870;width:4620;height:468" type="#_x0000_t202" filled="false" stroked="true" strokeweight=".75pt" strokecolor="#000000">
                <v:textbox inset="0,0,0,0">
                  <w:txbxContent>
                    <w:p>
                      <w:pPr>
                        <w:spacing w:before="33"/>
                        <w:ind w:left="1103" w:right="0" w:firstLine="0"/>
                        <w:jc w:val="left"/>
                        <w:rPr>
                          <w:rFonts w:ascii="宋体" w:hAnsi="宋体" w:cs="宋体" w:eastAsia="宋体" w:hint="default"/>
                          <w:sz w:val="24"/>
                          <w:szCs w:val="24"/>
                        </w:rPr>
                      </w:pPr>
                      <w:r>
                        <w:rPr>
                          <w:rFonts w:ascii="宋体" w:hAnsi="宋体" w:cs="宋体" w:eastAsia="宋体" w:hint="default"/>
                          <w:sz w:val="24"/>
                          <w:szCs w:val="24"/>
                        </w:rPr>
                        <w:t>华立集团股份有限公司</w:t>
                      </w:r>
                    </w:p>
                  </w:txbxContent>
                </v:textbox>
                <w10:wrap type="none"/>
              </v:shape>
            </v:group>
            <w10:wrap type="none"/>
          </v:group>
        </w:pict>
      </w:r>
      <w:r>
        <w:rPr/>
        <w:pict>
          <v:group style="position:absolute;margin-left:168.899994pt;margin-top:-6.445934pt;width:6pt;height:29.8pt;mso-position-horizontal-relative:page;mso-position-vertical-relative:paragraph;z-index:-707968" coordorigin="3378,-129" coordsize="120,596">
            <v:shape style="position:absolute;left:3378;top:-129;width:120;height:596" coordorigin="3378,-129" coordsize="120,596" path="m3431,346l3378,346,3438,466,3484,374,3438,374,3433,371,3431,367,3431,346xe" filled="true" fillcolor="#000000" stroked="false">
              <v:path arrowok="t"/>
              <v:fill type="solid"/>
            </v:shape>
            <v:shape style="position:absolute;left:3378;top:-129;width:120;height:596" coordorigin="3378,-129" coordsize="120,596" path="m3438,-129l3433,-127,3431,-122,3431,367,3433,371,3438,374,3443,371,3445,367,3445,-122,3443,-127,3438,-129xe" filled="true" fillcolor="#000000" stroked="false">
              <v:path arrowok="t"/>
              <v:fill type="solid"/>
            </v:shape>
            <v:shape style="position:absolute;left:3378;top:-129;width:120;height:596" coordorigin="3378,-129" coordsize="120,596" path="m3498,346l3445,346,3445,367,3443,371,3438,374,3484,374,3498,346xe" filled="true" fillcolor="#000000" stroked="false">
              <v:path arrowok="t"/>
              <v:fill type="solid"/>
            </v:shape>
            <w10:wrap type="none"/>
          </v:group>
        </w:pict>
      </w:r>
      <w:r>
        <w:rPr/>
        <w:t>100%</w:t>
      </w:r>
    </w:p>
    <w:p>
      <w:pPr>
        <w:spacing w:line="240" w:lineRule="auto" w:before="5"/>
        <w:rPr>
          <w:rFonts w:ascii="宋体" w:hAnsi="宋体" w:cs="宋体" w:eastAsia="宋体" w:hint="default"/>
          <w:sz w:val="11"/>
          <w:szCs w:val="11"/>
        </w:rPr>
      </w:pPr>
    </w:p>
    <w:tbl>
      <w:tblPr>
        <w:tblW w:w="0" w:type="auto"/>
        <w:jc w:val="left"/>
        <w:tblInd w:w="1160" w:type="dxa"/>
        <w:tblLayout w:type="fixed"/>
        <w:tblCellMar>
          <w:top w:w="0" w:type="dxa"/>
          <w:left w:w="0" w:type="dxa"/>
          <w:bottom w:w="0" w:type="dxa"/>
          <w:right w:w="0" w:type="dxa"/>
        </w:tblCellMar>
        <w:tblLook w:val="01E0"/>
      </w:tblPr>
      <w:tblGrid>
        <w:gridCol w:w="1050"/>
        <w:gridCol w:w="1154"/>
        <w:gridCol w:w="2100"/>
        <w:gridCol w:w="526"/>
        <w:gridCol w:w="734"/>
        <w:gridCol w:w="526"/>
        <w:gridCol w:w="1784"/>
        <w:gridCol w:w="420"/>
      </w:tblGrid>
      <w:tr>
        <w:trPr>
          <w:trHeight w:val="468" w:hRule="exact"/>
        </w:trPr>
        <w:tc>
          <w:tcPr>
            <w:tcW w:w="22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95" w:right="0"/>
              <w:jc w:val="left"/>
              <w:rPr>
                <w:rFonts w:ascii="宋体" w:hAnsi="宋体" w:cs="宋体" w:eastAsia="宋体" w:hint="default"/>
                <w:sz w:val="18"/>
                <w:szCs w:val="18"/>
              </w:rPr>
            </w:pPr>
            <w:r>
              <w:rPr>
                <w:rFonts w:ascii="宋体" w:hAnsi="宋体" w:cs="宋体" w:eastAsia="宋体" w:hint="default"/>
                <w:sz w:val="18"/>
                <w:szCs w:val="18"/>
              </w:rPr>
              <w:t>浙江立成实业有限公司</w:t>
            </w:r>
          </w:p>
        </w:tc>
        <w:tc>
          <w:tcPr>
            <w:tcW w:w="2100"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汪力成</w:t>
            </w:r>
          </w:p>
        </w:tc>
        <w:tc>
          <w:tcPr>
            <w:tcW w:w="12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353" w:right="0"/>
              <w:jc w:val="left"/>
              <w:rPr>
                <w:rFonts w:ascii="宋体" w:hAnsi="宋体" w:cs="宋体" w:eastAsia="宋体" w:hint="default"/>
                <w:sz w:val="18"/>
                <w:szCs w:val="18"/>
              </w:rPr>
            </w:pPr>
            <w:r>
              <w:rPr>
                <w:rFonts w:ascii="宋体" w:hAnsi="宋体" w:cs="宋体" w:eastAsia="宋体" w:hint="default"/>
                <w:sz w:val="18"/>
                <w:szCs w:val="18"/>
              </w:rPr>
              <w:t>李以勤</w:t>
            </w:r>
          </w:p>
        </w:tc>
        <w:tc>
          <w:tcPr>
            <w:tcW w:w="526" w:type="dxa"/>
            <w:tcBorders>
              <w:top w:val="nil" w:sz="6" w:space="0" w:color="auto"/>
              <w:left w:val="single" w:sz="6" w:space="0" w:color="000000"/>
              <w:bottom w:val="nil" w:sz="6" w:space="0" w:color="auto"/>
              <w:right w:val="single" w:sz="6" w:space="0" w:color="000000"/>
            </w:tcBorders>
          </w:tcPr>
          <w:p>
            <w:pPr/>
          </w:p>
        </w:tc>
        <w:tc>
          <w:tcPr>
            <w:tcW w:w="22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9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6"/>
                <w:sz w:val="18"/>
                <w:szCs w:val="18"/>
              </w:rPr>
              <w:t> </w:t>
            </w:r>
            <w:r>
              <w:rPr>
                <w:rFonts w:ascii="宋体" w:hAnsi="宋体" w:cs="宋体" w:eastAsia="宋体" w:hint="default"/>
                <w:sz w:val="18"/>
                <w:szCs w:val="18"/>
              </w:rPr>
              <w:t>130</w:t>
            </w:r>
            <w:r>
              <w:rPr>
                <w:rFonts w:ascii="宋体" w:hAnsi="宋体" w:cs="宋体" w:eastAsia="宋体" w:hint="default"/>
                <w:spacing w:val="-46"/>
                <w:sz w:val="18"/>
                <w:szCs w:val="18"/>
              </w:rPr>
              <w:t> </w:t>
            </w:r>
            <w:r>
              <w:rPr>
                <w:rFonts w:ascii="宋体" w:hAnsi="宋体" w:cs="宋体" w:eastAsia="宋体" w:hint="default"/>
                <w:sz w:val="18"/>
                <w:szCs w:val="18"/>
              </w:rPr>
              <w:t>名自然人股东</w:t>
            </w:r>
          </w:p>
        </w:tc>
      </w:tr>
      <w:tr>
        <w:trPr>
          <w:trHeight w:val="468" w:hRule="exact"/>
        </w:trPr>
        <w:tc>
          <w:tcPr>
            <w:tcW w:w="1050" w:type="dxa"/>
            <w:tcBorders>
              <w:top w:val="single" w:sz="6" w:space="0" w:color="000000"/>
              <w:left w:val="nil" w:sz="6" w:space="0" w:color="auto"/>
              <w:bottom w:val="nil" w:sz="6" w:space="0" w:color="auto"/>
              <w:right w:val="single" w:sz="6" w:space="0" w:color="000000"/>
            </w:tcBorders>
          </w:tcPr>
          <w:p>
            <w:pPr/>
          </w:p>
        </w:tc>
        <w:tc>
          <w:tcPr>
            <w:tcW w:w="3780" w:type="dxa"/>
            <w:gridSpan w:val="3"/>
            <w:tcBorders>
              <w:top w:val="single" w:sz="6" w:space="0" w:color="000000"/>
              <w:left w:val="single" w:sz="6" w:space="0" w:color="000000"/>
              <w:bottom w:val="single" w:sz="6" w:space="0" w:color="000000"/>
              <w:right w:val="single" w:sz="6" w:space="0" w:color="000000"/>
            </w:tcBorders>
          </w:tcPr>
          <w:p>
            <w:pPr>
              <w:pStyle w:val="TableParagraph"/>
              <w:tabs>
                <w:tab w:pos="2236" w:val="left" w:leader="none"/>
              </w:tabs>
              <w:spacing w:line="240" w:lineRule="auto" w:before="29"/>
              <w:ind w:left="32" w:right="0"/>
              <w:jc w:val="left"/>
              <w:rPr>
                <w:rFonts w:ascii="宋体" w:hAnsi="宋体" w:cs="宋体" w:eastAsia="宋体" w:hint="default"/>
                <w:sz w:val="21"/>
                <w:szCs w:val="21"/>
              </w:rPr>
            </w:pPr>
            <w:r>
              <w:rPr>
                <w:rFonts w:ascii="宋体"/>
                <w:spacing w:val="-1"/>
                <w:sz w:val="21"/>
              </w:rPr>
              <w:t>42.35%</w:t>
              <w:tab/>
              <w:t>5.85%</w:t>
            </w:r>
          </w:p>
        </w:tc>
        <w:tc>
          <w:tcPr>
            <w:tcW w:w="3044" w:type="dxa"/>
            <w:gridSpan w:val="3"/>
            <w:tcBorders>
              <w:top w:val="single" w:sz="6" w:space="0" w:color="000000"/>
              <w:left w:val="single" w:sz="6" w:space="0" w:color="000000"/>
              <w:bottom w:val="single" w:sz="6" w:space="0" w:color="000000"/>
              <w:right w:val="single" w:sz="6" w:space="0" w:color="000000"/>
            </w:tcBorders>
          </w:tcPr>
          <w:p>
            <w:pPr>
              <w:pStyle w:val="TableParagraph"/>
              <w:tabs>
                <w:tab w:pos="2236" w:val="left" w:leader="none"/>
              </w:tabs>
              <w:spacing w:line="240" w:lineRule="auto" w:before="29"/>
              <w:ind w:left="32" w:right="0"/>
              <w:jc w:val="left"/>
              <w:rPr>
                <w:rFonts w:ascii="宋体" w:hAnsi="宋体" w:cs="宋体" w:eastAsia="宋体" w:hint="default"/>
                <w:sz w:val="21"/>
                <w:szCs w:val="21"/>
              </w:rPr>
            </w:pPr>
            <w:r>
              <w:rPr>
                <w:rFonts w:ascii="宋体"/>
                <w:spacing w:val="-1"/>
                <w:sz w:val="21"/>
              </w:rPr>
              <w:t>6.10%</w:t>
              <w:tab/>
              <w:t>45.70%</w:t>
            </w:r>
          </w:p>
        </w:tc>
        <w:tc>
          <w:tcPr>
            <w:tcW w:w="420" w:type="dxa"/>
            <w:tcBorders>
              <w:top w:val="single" w:sz="6" w:space="0" w:color="000000"/>
              <w:left w:val="single" w:sz="6"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0"/>
        <w:ind w:left="4652" w:right="4642"/>
        <w:jc w:val="center"/>
      </w:pPr>
      <w:r>
        <w:rPr/>
        <w:pict>
          <v:group style="position:absolute;margin-left:284.399994pt;margin-top:-2.196025pt;width:6pt;height:23.8pt;mso-position-horizontal-relative:page;mso-position-vertical-relative:paragraph;z-index:-708040" coordorigin="5688,-44" coordsize="120,476">
            <v:shape style="position:absolute;left:5688;top:-44;width:120;height:476" coordorigin="5688,-44" coordsize="120,476" path="m5741,311l5688,311,5748,431,5794,339,5748,339,5743,336,5741,332,5741,311xe" filled="true" fillcolor="#000000" stroked="false">
              <v:path arrowok="t"/>
              <v:fill type="solid"/>
            </v:shape>
            <v:shape style="position:absolute;left:5688;top:-44;width:120;height:476" coordorigin="5688,-44" coordsize="120,476" path="m5748,-44l5743,-42,5741,-37,5741,332,5743,336,5748,339,5753,336,5755,332,5755,-37,5753,-42,5748,-44xe" filled="true" fillcolor="#000000" stroked="false">
              <v:path arrowok="t"/>
              <v:fill type="solid"/>
            </v:shape>
            <v:shape style="position:absolute;left:5688;top:-44;width:120;height:476" coordorigin="5688,-44" coordsize="120,476" path="m5808,311l5755,311,5755,332,5753,336,5748,339,5794,339,5808,311xe" filled="true" fillcolor="#000000" stroked="false">
              <v:path arrowok="t"/>
              <v:fill type="solid"/>
            </v:shape>
            <w10:wrap type="none"/>
          </v:group>
        </w:pict>
      </w:r>
      <w:r>
        <w:rPr/>
        <w:t>23.52%</w:t>
      </w:r>
    </w:p>
    <w:p>
      <w:pPr>
        <w:spacing w:line="240" w:lineRule="auto" w:before="11"/>
        <w:rPr>
          <w:rFonts w:ascii="宋体" w:hAnsi="宋体" w:cs="宋体" w:eastAsia="宋体" w:hint="default"/>
          <w:sz w:val="11"/>
          <w:szCs w:val="11"/>
        </w:rPr>
      </w:pPr>
    </w:p>
    <w:p>
      <w:pPr>
        <w:spacing w:line="468" w:lineRule="exact"/>
        <w:ind w:left="2952"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31pt;height:23.4pt;mso-position-horizontal-relative:char;mso-position-vertical-relative:line" type="#_x0000_t202" filled="false" stroked="true" strokeweight=".75pt" strokecolor="#000000">
            <w10:anchorlock/>
            <v:textbox inset="0,0,0,0">
              <w:txbxContent>
                <w:p>
                  <w:pPr>
                    <w:spacing w:before="33"/>
                    <w:ind w:left="383" w:right="0" w:firstLine="0"/>
                    <w:jc w:val="left"/>
                    <w:rPr>
                      <w:rFonts w:ascii="宋体" w:hAnsi="宋体" w:cs="宋体" w:eastAsia="宋体" w:hint="default"/>
                      <w:sz w:val="24"/>
                      <w:szCs w:val="24"/>
                    </w:rPr>
                  </w:pPr>
                  <w:r>
                    <w:rPr>
                      <w:rFonts w:ascii="宋体" w:hAnsi="宋体" w:cs="宋体" w:eastAsia="宋体" w:hint="default"/>
                      <w:sz w:val="24"/>
                      <w:szCs w:val="24"/>
                    </w:rPr>
                    <w:t>重庆华立药业股份有限公司(000607)</w:t>
                  </w:r>
                </w:p>
              </w:txbxContent>
            </v:textbox>
          </v:shape>
        </w:pict>
      </w:r>
      <w:r>
        <w:rPr>
          <w:rFonts w:ascii="宋体" w:hAnsi="宋体" w:cs="宋体" w:eastAsia="宋体" w:hint="default"/>
          <w:position w:val="-8"/>
          <w:sz w:val="20"/>
          <w:szCs w:val="20"/>
        </w:rPr>
      </w:r>
    </w:p>
    <w:p>
      <w:pPr>
        <w:spacing w:line="240" w:lineRule="auto" w:before="5"/>
        <w:rPr>
          <w:rFonts w:ascii="宋体" w:hAnsi="宋体" w:cs="宋体" w:eastAsia="宋体" w:hint="default"/>
          <w:sz w:val="6"/>
          <w:szCs w:val="6"/>
        </w:rPr>
      </w:pPr>
    </w:p>
    <w:p>
      <w:pPr>
        <w:pStyle w:val="Heading3"/>
        <w:spacing w:line="240" w:lineRule="auto" w:before="26"/>
        <w:ind w:left="1018" w:right="0"/>
        <w:jc w:val="left"/>
      </w:pPr>
      <w:r>
        <w:rPr/>
        <w:t>3、无其他持股比例在10%以上的法人股东</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76"/>
        <w:ind w:left="4599" w:right="4642" w:firstLine="0"/>
        <w:jc w:val="center"/>
        <w:rPr>
          <w:rFonts w:ascii="Times New Roman" w:hAnsi="Times New Roman" w:cs="Times New Roman" w:eastAsia="Times New Roman" w:hint="default"/>
          <w:sz w:val="18"/>
          <w:szCs w:val="18"/>
        </w:rPr>
      </w:pPr>
      <w:r>
        <w:rPr>
          <w:rFonts w:ascii="Times New Roman"/>
          <w:sz w:val="18"/>
        </w:rPr>
        <w:t>9</w:t>
      </w:r>
    </w:p>
    <w:p>
      <w:pPr>
        <w:spacing w:after="0"/>
        <w:jc w:val="center"/>
        <w:rPr>
          <w:rFonts w:ascii="Times New Roman" w:hAnsi="Times New Roman" w:cs="Times New Roman" w:eastAsia="Times New Roman" w:hint="default"/>
          <w:sz w:val="18"/>
          <w:szCs w:val="18"/>
        </w:rPr>
        <w:sectPr>
          <w:pgSz w:w="11910" w:h="16840"/>
          <w:pgMar w:top="640" w:bottom="280" w:left="1220" w:right="720"/>
        </w:sectPr>
      </w:pPr>
    </w:p>
    <w:p>
      <w:pPr>
        <w:spacing w:line="240" w:lineRule="auto" w:before="11"/>
        <w:rPr>
          <w:rFonts w:ascii="Times New Roman" w:hAnsi="Times New Roman" w:cs="Times New Roman" w:eastAsia="Times New Roman" w:hint="default"/>
          <w:sz w:val="26"/>
          <w:szCs w:val="26"/>
        </w:rPr>
      </w:pPr>
    </w:p>
    <w:p>
      <w:pPr>
        <w:pStyle w:val="Heading4"/>
        <w:tabs>
          <w:tab w:pos="7049" w:val="left" w:leader="none"/>
        </w:tabs>
        <w:spacing w:line="240" w:lineRule="auto"/>
        <w:ind w:left="3736" w:right="497"/>
        <w:jc w:val="left"/>
        <w:rPr>
          <w:b w:val="0"/>
          <w:bCs w:val="0"/>
        </w:rPr>
      </w:pPr>
      <w:r>
        <w:rPr/>
        <w:pict>
          <v:shape style="position:absolute;margin-left:65.160004pt;margin-top:-11.486023pt;width:95.052pt;height:25.5pt;mso-position-horizontal-relative:page;mso-position-vertical-relative:paragraph;z-index:1672"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87"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9"/>
        <w:rPr>
          <w:rFonts w:ascii="黑体" w:hAnsi="黑体" w:cs="黑体" w:eastAsia="黑体" w:hint="default"/>
          <w:b/>
          <w:bCs/>
          <w:sz w:val="11"/>
          <w:szCs w:val="11"/>
        </w:rPr>
      </w:pPr>
    </w:p>
    <w:p>
      <w:pPr>
        <w:pStyle w:val="Heading1"/>
        <w:spacing w:line="240" w:lineRule="auto" w:before="13"/>
        <w:ind w:left="786" w:right="497"/>
        <w:jc w:val="left"/>
        <w:rPr>
          <w:b w:val="0"/>
          <w:bCs w:val="0"/>
        </w:rPr>
      </w:pPr>
      <w:bookmarkStart w:name="_TOC_250007" w:id="4"/>
      <w:r>
        <w:rPr/>
        <w:t>四、董事、监事、高级管理人员和员工情况</w:t>
      </w:r>
      <w:bookmarkEnd w:id="4"/>
      <w:r>
        <w:rPr>
          <w:b w:val="0"/>
          <w:bCs w:val="0"/>
        </w:rPr>
      </w:r>
    </w:p>
    <w:p>
      <w:pPr>
        <w:spacing w:line="336" w:lineRule="auto" w:before="120"/>
        <w:ind w:left="706" w:right="3698" w:hanging="122"/>
        <w:jc w:val="left"/>
        <w:rPr>
          <w:rFonts w:ascii="宋体" w:hAnsi="宋体" w:cs="宋体" w:eastAsia="宋体" w:hint="default"/>
          <w:sz w:val="24"/>
          <w:szCs w:val="24"/>
        </w:rPr>
      </w:pPr>
      <w:r>
        <w:rPr>
          <w:rFonts w:ascii="宋体" w:hAnsi="宋体" w:cs="宋体" w:eastAsia="宋体" w:hint="default"/>
          <w:b/>
          <w:bCs/>
          <w:sz w:val="24"/>
          <w:szCs w:val="24"/>
        </w:rPr>
        <w:t>（一）公司董事、监事、高级管理人员</w:t>
      </w:r>
      <w:r>
        <w:rPr>
          <w:rFonts w:ascii="宋体" w:hAnsi="宋体" w:cs="宋体" w:eastAsia="宋体" w:hint="default"/>
          <w:b/>
          <w:bCs/>
          <w:w w:val="99"/>
          <w:sz w:val="24"/>
          <w:szCs w:val="24"/>
        </w:rPr>
        <w:t> </w:t>
      </w:r>
      <w:r>
        <w:rPr>
          <w:rFonts w:ascii="宋体" w:hAnsi="宋体" w:cs="宋体" w:eastAsia="宋体" w:hint="default"/>
          <w:sz w:val="24"/>
          <w:szCs w:val="24"/>
        </w:rPr>
        <w:t>1、公司现任董事、监事、高级管理人员基本情况</w:t>
      </w:r>
    </w:p>
    <w:p>
      <w:pPr>
        <w:spacing w:line="240" w:lineRule="auto" w:before="12"/>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050"/>
        <w:gridCol w:w="526"/>
        <w:gridCol w:w="630"/>
        <w:gridCol w:w="1364"/>
        <w:gridCol w:w="1890"/>
        <w:gridCol w:w="948"/>
        <w:gridCol w:w="946"/>
        <w:gridCol w:w="840"/>
        <w:gridCol w:w="1154"/>
      </w:tblGrid>
      <w:tr>
        <w:trPr>
          <w:trHeight w:val="455" w:hRule="exact"/>
        </w:trPr>
        <w:tc>
          <w:tcPr>
            <w:tcW w:w="1050" w:type="dxa"/>
            <w:vMerge w:val="restart"/>
            <w:tcBorders>
              <w:top w:val="single" w:sz="6" w:space="0" w:color="000000"/>
              <w:left w:val="single" w:sz="6" w:space="0" w:color="000000"/>
              <w:right w:val="single" w:sz="6" w:space="0" w:color="000000"/>
            </w:tcBorders>
          </w:tcPr>
          <w:p>
            <w:pPr>
              <w:pStyle w:val="TableParagraph"/>
              <w:spacing w:line="240" w:lineRule="auto" w:before="143"/>
              <w:ind w:left="30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26" w:type="dxa"/>
            <w:vMerge w:val="restart"/>
            <w:tcBorders>
              <w:top w:val="single" w:sz="6" w:space="0" w:color="000000"/>
              <w:left w:val="single" w:sz="6" w:space="0" w:color="000000"/>
              <w:right w:val="single" w:sz="6" w:space="0" w:color="000000"/>
            </w:tcBorders>
          </w:tcPr>
          <w:p>
            <w:pPr>
              <w:pStyle w:val="TableParagraph"/>
              <w:spacing w:line="240" w:lineRule="auto" w:before="75"/>
              <w:ind w:left="149" w:right="149"/>
              <w:jc w:val="left"/>
              <w:rPr>
                <w:rFonts w:ascii="宋体" w:hAnsi="宋体" w:cs="宋体" w:eastAsia="宋体" w:hint="default"/>
                <w:sz w:val="21"/>
                <w:szCs w:val="21"/>
              </w:rPr>
            </w:pPr>
            <w:r>
              <w:rPr>
                <w:rFonts w:ascii="宋体" w:hAnsi="宋体" w:cs="宋体" w:eastAsia="宋体" w:hint="default"/>
                <w:sz w:val="21"/>
                <w:szCs w:val="21"/>
              </w:rPr>
              <w:t>性 别</w:t>
            </w:r>
          </w:p>
        </w:tc>
        <w:tc>
          <w:tcPr>
            <w:tcW w:w="630" w:type="dxa"/>
            <w:vMerge w:val="restart"/>
            <w:tcBorders>
              <w:top w:val="single" w:sz="6" w:space="0" w:color="000000"/>
              <w:left w:val="single" w:sz="6" w:space="0" w:color="000000"/>
              <w:right w:val="single" w:sz="6" w:space="0" w:color="000000"/>
            </w:tcBorders>
          </w:tcPr>
          <w:p>
            <w:pPr>
              <w:pStyle w:val="TableParagraph"/>
              <w:spacing w:line="240" w:lineRule="auto" w:before="75"/>
              <w:ind w:left="202" w:right="200"/>
              <w:jc w:val="left"/>
              <w:rPr>
                <w:rFonts w:ascii="宋体" w:hAnsi="宋体" w:cs="宋体" w:eastAsia="宋体" w:hint="default"/>
                <w:sz w:val="21"/>
                <w:szCs w:val="21"/>
              </w:rPr>
            </w:pPr>
            <w:r>
              <w:rPr>
                <w:rFonts w:ascii="宋体" w:hAnsi="宋体" w:cs="宋体" w:eastAsia="宋体" w:hint="default"/>
                <w:sz w:val="21"/>
                <w:szCs w:val="21"/>
              </w:rPr>
              <w:t>年 龄</w:t>
            </w:r>
          </w:p>
        </w:tc>
        <w:tc>
          <w:tcPr>
            <w:tcW w:w="1364" w:type="dxa"/>
            <w:vMerge w:val="restart"/>
            <w:tcBorders>
              <w:top w:val="single" w:sz="6" w:space="0" w:color="000000"/>
              <w:left w:val="single" w:sz="6" w:space="0" w:color="000000"/>
              <w:right w:val="single" w:sz="6" w:space="0" w:color="000000"/>
            </w:tcBorders>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1890" w:type="dxa"/>
            <w:vMerge w:val="restart"/>
            <w:tcBorders>
              <w:top w:val="single" w:sz="6" w:space="0" w:color="000000"/>
              <w:left w:val="single" w:sz="6" w:space="0" w:color="000000"/>
              <w:right w:val="single" w:sz="6" w:space="0" w:color="000000"/>
            </w:tcBorders>
          </w:tcPr>
          <w:p>
            <w:pPr>
              <w:pStyle w:val="TableParagraph"/>
              <w:spacing w:line="240" w:lineRule="auto" w:before="143"/>
              <w:ind w:left="307" w:right="0"/>
              <w:jc w:val="left"/>
              <w:rPr>
                <w:rFonts w:ascii="宋体" w:hAnsi="宋体" w:cs="宋体" w:eastAsia="宋体" w:hint="default"/>
                <w:sz w:val="21"/>
                <w:szCs w:val="21"/>
              </w:rPr>
            </w:pPr>
            <w:r>
              <w:rPr>
                <w:rFonts w:ascii="宋体" w:hAnsi="宋体" w:cs="宋体" w:eastAsia="宋体" w:hint="default"/>
                <w:sz w:val="21"/>
                <w:szCs w:val="21"/>
              </w:rPr>
              <w:t>任期起止日期</w:t>
            </w:r>
          </w:p>
        </w:tc>
        <w:tc>
          <w:tcPr>
            <w:tcW w:w="2734" w:type="dxa"/>
            <w:gridSpan w:val="3"/>
            <w:tcBorders>
              <w:top w:val="single" w:sz="6" w:space="0" w:color="000000"/>
              <w:left w:val="single" w:sz="6" w:space="0" w:color="000000"/>
              <w:bottom w:val="single" w:sz="6" w:space="0" w:color="000000"/>
              <w:right w:val="single" w:sz="4" w:space="0" w:color="000000"/>
            </w:tcBorders>
          </w:tcPr>
          <w:p>
            <w:pPr>
              <w:pStyle w:val="TableParagraph"/>
              <w:spacing w:line="256" w:lineRule="exact"/>
              <w:ind w:left="623" w:right="0"/>
              <w:jc w:val="left"/>
              <w:rPr>
                <w:rFonts w:ascii="宋体" w:hAnsi="宋体" w:cs="宋体" w:eastAsia="宋体" w:hint="default"/>
                <w:sz w:val="21"/>
                <w:szCs w:val="21"/>
              </w:rPr>
            </w:pPr>
            <w:r>
              <w:rPr>
                <w:rFonts w:ascii="宋体" w:hAnsi="宋体" w:cs="宋体" w:eastAsia="宋体" w:hint="default"/>
                <w:sz w:val="21"/>
                <w:szCs w:val="21"/>
              </w:rPr>
              <w:t>持股情况（股）</w:t>
            </w:r>
          </w:p>
        </w:tc>
        <w:tc>
          <w:tcPr>
            <w:tcW w:w="1154" w:type="dxa"/>
            <w:vMerge w:val="restart"/>
            <w:tcBorders>
              <w:top w:val="single" w:sz="6" w:space="0" w:color="000000"/>
              <w:left w:val="single" w:sz="4" w:space="0" w:color="000000"/>
              <w:right w:val="single" w:sz="4" w:space="0" w:color="000000"/>
            </w:tcBorders>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sz w:val="21"/>
                <w:szCs w:val="21"/>
              </w:rPr>
              <w:t>年度税前</w:t>
            </w:r>
          </w:p>
          <w:p>
            <w:pPr>
              <w:pStyle w:val="TableParagraph"/>
              <w:spacing w:line="273" w:lineRule="exact"/>
              <w:ind w:left="152" w:right="0"/>
              <w:jc w:val="left"/>
              <w:rPr>
                <w:rFonts w:ascii="宋体" w:hAnsi="宋体" w:cs="宋体" w:eastAsia="宋体" w:hint="default"/>
                <w:sz w:val="21"/>
                <w:szCs w:val="21"/>
              </w:rPr>
            </w:pPr>
            <w:r>
              <w:rPr>
                <w:rFonts w:ascii="宋体" w:hAnsi="宋体" w:cs="宋体" w:eastAsia="宋体" w:hint="default"/>
                <w:sz w:val="21"/>
                <w:szCs w:val="21"/>
              </w:rPr>
              <w:t>报酬总额</w:t>
            </w:r>
          </w:p>
          <w:p>
            <w:pPr>
              <w:pStyle w:val="TableParagraph"/>
              <w:spacing w:line="274" w:lineRule="exact"/>
              <w:ind w:left="152"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340" w:hRule="exact"/>
        </w:trPr>
        <w:tc>
          <w:tcPr>
            <w:tcW w:w="1050" w:type="dxa"/>
            <w:vMerge/>
            <w:tcBorders>
              <w:left w:val="single" w:sz="6" w:space="0" w:color="000000"/>
              <w:bottom w:val="single" w:sz="6" w:space="0" w:color="000000"/>
              <w:right w:val="single" w:sz="6" w:space="0" w:color="000000"/>
            </w:tcBorders>
          </w:tcPr>
          <w:p>
            <w:pPr/>
          </w:p>
        </w:tc>
        <w:tc>
          <w:tcPr>
            <w:tcW w:w="526" w:type="dxa"/>
            <w:vMerge/>
            <w:tcBorders>
              <w:left w:val="single" w:sz="6" w:space="0" w:color="000000"/>
              <w:bottom w:val="single" w:sz="6" w:space="0" w:color="000000"/>
              <w:right w:val="single" w:sz="6" w:space="0" w:color="000000"/>
            </w:tcBorders>
          </w:tcPr>
          <w:p>
            <w:pPr/>
          </w:p>
        </w:tc>
        <w:tc>
          <w:tcPr>
            <w:tcW w:w="630" w:type="dxa"/>
            <w:vMerge/>
            <w:tcBorders>
              <w:left w:val="single" w:sz="6" w:space="0" w:color="000000"/>
              <w:bottom w:val="single" w:sz="6" w:space="0" w:color="000000"/>
              <w:right w:val="single" w:sz="6" w:space="0" w:color="000000"/>
            </w:tcBorders>
          </w:tcPr>
          <w:p>
            <w:pPr/>
          </w:p>
        </w:tc>
        <w:tc>
          <w:tcPr>
            <w:tcW w:w="1364" w:type="dxa"/>
            <w:vMerge/>
            <w:tcBorders>
              <w:left w:val="single" w:sz="6" w:space="0" w:color="000000"/>
              <w:bottom w:val="single" w:sz="6" w:space="0" w:color="000000"/>
              <w:right w:val="single" w:sz="6" w:space="0" w:color="000000"/>
            </w:tcBorders>
          </w:tcPr>
          <w:p>
            <w:pPr/>
          </w:p>
        </w:tc>
        <w:tc>
          <w:tcPr>
            <w:tcW w:w="1890" w:type="dxa"/>
            <w:vMerge/>
            <w:tcBorders>
              <w:left w:val="single" w:sz="6" w:space="0" w:color="000000"/>
              <w:bottom w:val="single" w:sz="6" w:space="0" w:color="000000"/>
              <w:right w:val="single" w:sz="6" w:space="0" w:color="000000"/>
            </w:tcBorders>
          </w:tcPr>
          <w:p>
            <w:pP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50"/>
              <w:jc w:val="right"/>
              <w:rPr>
                <w:rFonts w:ascii="宋体" w:hAnsi="宋体" w:cs="宋体" w:eastAsia="宋体" w:hint="default"/>
                <w:sz w:val="21"/>
                <w:szCs w:val="21"/>
              </w:rPr>
            </w:pPr>
            <w:r>
              <w:rPr>
                <w:rFonts w:ascii="宋体" w:hAnsi="宋体" w:cs="宋体" w:eastAsia="宋体" w:hint="default"/>
                <w:sz w:val="21"/>
                <w:szCs w:val="21"/>
              </w:rPr>
              <w:t>期初数</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51"/>
              <w:jc w:val="right"/>
              <w:rPr>
                <w:rFonts w:ascii="宋体" w:hAnsi="宋体" w:cs="宋体" w:eastAsia="宋体" w:hint="default"/>
                <w:sz w:val="21"/>
                <w:szCs w:val="21"/>
              </w:rPr>
            </w:pPr>
            <w:r>
              <w:rPr>
                <w:rFonts w:ascii="宋体" w:hAnsi="宋体" w:cs="宋体" w:eastAsia="宋体" w:hint="default"/>
                <w:sz w:val="21"/>
                <w:szCs w:val="21"/>
              </w:rPr>
              <w:t>期末数</w:t>
            </w:r>
          </w:p>
        </w:tc>
        <w:tc>
          <w:tcPr>
            <w:tcW w:w="84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left="205"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154" w:type="dxa"/>
            <w:vMerge/>
            <w:tcBorders>
              <w:left w:val="single" w:sz="4" w:space="0" w:color="000000"/>
              <w:bottom w:val="single" w:sz="6" w:space="0" w:color="000000"/>
              <w:right w:val="single" w:sz="4" w:space="0" w:color="000000"/>
            </w:tcBorders>
          </w:tcPr>
          <w:p>
            <w:pPr/>
          </w:p>
        </w:tc>
      </w:tr>
      <w:tr>
        <w:trPr>
          <w:trHeight w:val="3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刘小斌</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2" w:right="0"/>
              <w:jc w:val="left"/>
              <w:rPr>
                <w:rFonts w:ascii="宋体" w:hAnsi="宋体" w:cs="宋体" w:eastAsia="宋体" w:hint="default"/>
                <w:sz w:val="21"/>
                <w:szCs w:val="21"/>
              </w:rPr>
            </w:pPr>
            <w:r>
              <w:rPr>
                <w:rFonts w:ascii="宋体"/>
                <w:sz w:val="21"/>
              </w:rPr>
              <w:t>39</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46"/>
              <w:jc w:val="righ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84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6.46</w:t>
            </w:r>
          </w:p>
        </w:tc>
      </w:tr>
      <w:tr>
        <w:trPr>
          <w:trHeight w:val="341"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刘浩军</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2" w:right="0"/>
              <w:jc w:val="left"/>
              <w:rPr>
                <w:rFonts w:ascii="宋体" w:hAnsi="宋体" w:cs="宋体" w:eastAsia="宋体" w:hint="default"/>
                <w:sz w:val="21"/>
                <w:szCs w:val="21"/>
              </w:rPr>
            </w:pPr>
            <w:r>
              <w:rPr>
                <w:rFonts w:ascii="宋体"/>
                <w:sz w:val="21"/>
              </w:rPr>
              <w:t>34</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6"/>
              <w:jc w:val="righ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0</w:t>
            </w:r>
          </w:p>
        </w:tc>
        <w:tc>
          <w:tcPr>
            <w:tcW w:w="84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4.31</w:t>
            </w:r>
          </w:p>
        </w:tc>
      </w:tr>
      <w:tr>
        <w:trPr>
          <w:trHeight w:val="3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tabs>
                <w:tab w:pos="421" w:val="left" w:leader="none"/>
              </w:tabs>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何</w:t>
              <w:tab/>
              <w:t>勤</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2" w:right="0"/>
              <w:jc w:val="left"/>
              <w:rPr>
                <w:rFonts w:ascii="宋体" w:hAnsi="宋体" w:cs="宋体" w:eastAsia="宋体" w:hint="default"/>
                <w:sz w:val="21"/>
                <w:szCs w:val="21"/>
              </w:rPr>
            </w:pPr>
            <w:r>
              <w:rPr>
                <w:rFonts w:ascii="宋体"/>
                <w:sz w:val="21"/>
              </w:rPr>
              <w:t>50</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6"/>
              <w:jc w:val="right"/>
              <w:rPr>
                <w:rFonts w:ascii="宋体" w:hAnsi="宋体" w:cs="宋体" w:eastAsia="宋体" w:hint="default"/>
                <w:sz w:val="21"/>
                <w:szCs w:val="21"/>
              </w:rPr>
            </w:pPr>
            <w:r>
              <w:rPr>
                <w:rFonts w:ascii="宋体"/>
                <w:spacing w:val="-1"/>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0</w:t>
            </w:r>
          </w:p>
        </w:tc>
        <w:tc>
          <w:tcPr>
            <w:tcW w:w="84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6.46</w:t>
            </w:r>
          </w:p>
        </w:tc>
      </w:tr>
      <w:tr>
        <w:trPr>
          <w:trHeight w:val="3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辛金国</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2" w:right="0"/>
              <w:jc w:val="left"/>
              <w:rPr>
                <w:rFonts w:ascii="宋体" w:hAnsi="宋体" w:cs="宋体" w:eastAsia="宋体" w:hint="default"/>
                <w:sz w:val="21"/>
                <w:szCs w:val="21"/>
              </w:rPr>
            </w:pPr>
            <w:r>
              <w:rPr>
                <w:rFonts w:ascii="宋体"/>
                <w:sz w:val="21"/>
              </w:rPr>
              <w:t>47</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6"/>
              <w:jc w:val="right"/>
              <w:rPr>
                <w:rFonts w:ascii="宋体" w:hAnsi="宋体" w:cs="宋体" w:eastAsia="宋体" w:hint="default"/>
                <w:sz w:val="21"/>
                <w:szCs w:val="21"/>
              </w:rPr>
            </w:pPr>
            <w:r>
              <w:rPr>
                <w:rFonts w:ascii="宋体"/>
                <w:spacing w:val="-1"/>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c>
          <w:tcPr>
            <w:tcW w:w="946" w:type="dxa"/>
            <w:tcBorders>
              <w:top w:val="single" w:sz="6" w:space="0" w:color="000000"/>
              <w:left w:val="single" w:sz="6" w:space="0" w:color="000000"/>
              <w:bottom w:val="single" w:sz="6" w:space="0" w:color="000000"/>
              <w:right w:val="single" w:sz="4" w:space="0" w:color="000000"/>
            </w:tcBorders>
          </w:tcPr>
          <w:p>
            <w:pPr/>
          </w:p>
        </w:tc>
        <w:tc>
          <w:tcPr>
            <w:tcW w:w="84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4.30</w:t>
            </w:r>
          </w:p>
        </w:tc>
      </w:tr>
      <w:tr>
        <w:trPr>
          <w:trHeight w:val="341"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甘为民</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2" w:right="0"/>
              <w:jc w:val="left"/>
              <w:rPr>
                <w:rFonts w:ascii="宋体" w:hAnsi="宋体" w:cs="宋体" w:eastAsia="宋体" w:hint="default"/>
                <w:sz w:val="21"/>
                <w:szCs w:val="21"/>
              </w:rPr>
            </w:pPr>
            <w:r>
              <w:rPr>
                <w:rFonts w:ascii="宋体"/>
                <w:sz w:val="21"/>
              </w:rPr>
              <w:t>43</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6"/>
              <w:jc w:val="righ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0</w:t>
            </w:r>
          </w:p>
        </w:tc>
        <w:tc>
          <w:tcPr>
            <w:tcW w:w="84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4.30</w:t>
            </w:r>
          </w:p>
        </w:tc>
      </w:tr>
      <w:tr>
        <w:trPr>
          <w:trHeight w:val="3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tabs>
                <w:tab w:pos="420" w:val="left" w:leader="none"/>
              </w:tabs>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张</w:t>
              <w:tab/>
              <w:t>鹏</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1" w:right="0"/>
              <w:jc w:val="left"/>
              <w:rPr>
                <w:rFonts w:ascii="宋体" w:hAnsi="宋体" w:cs="宋体" w:eastAsia="宋体" w:hint="default"/>
                <w:sz w:val="21"/>
                <w:szCs w:val="21"/>
              </w:rPr>
            </w:pPr>
            <w:r>
              <w:rPr>
                <w:rFonts w:ascii="宋体"/>
                <w:sz w:val="21"/>
              </w:rPr>
              <w:t>44</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9"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5"/>
              <w:jc w:val="right"/>
              <w:rPr>
                <w:rFonts w:ascii="宋体" w:hAnsi="宋体" w:cs="宋体" w:eastAsia="宋体" w:hint="default"/>
                <w:sz w:val="21"/>
                <w:szCs w:val="21"/>
              </w:rPr>
            </w:pPr>
            <w:r>
              <w:rPr>
                <w:rFonts w:ascii="宋体"/>
                <w:spacing w:val="-1"/>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7"/>
              <w:jc w:val="right"/>
              <w:rPr>
                <w:rFonts w:ascii="宋体" w:hAnsi="宋体" w:cs="宋体" w:eastAsia="宋体" w:hint="default"/>
                <w:sz w:val="21"/>
                <w:szCs w:val="21"/>
              </w:rPr>
            </w:pPr>
            <w:r>
              <w:rPr>
                <w:rFonts w:ascii="宋体"/>
                <w:sz w:val="21"/>
              </w:rPr>
              <w:t>0</w:t>
            </w:r>
          </w:p>
        </w:tc>
        <w:tc>
          <w:tcPr>
            <w:tcW w:w="946" w:type="dxa"/>
            <w:tcBorders>
              <w:top w:val="single" w:sz="6" w:space="0" w:color="000000"/>
              <w:left w:val="single" w:sz="6" w:space="0" w:color="000000"/>
              <w:bottom w:val="single" w:sz="6" w:space="0" w:color="000000"/>
              <w:right w:val="single" w:sz="4" w:space="0" w:color="000000"/>
            </w:tcBorders>
          </w:tcPr>
          <w:p>
            <w:pPr/>
          </w:p>
        </w:tc>
        <w:tc>
          <w:tcPr>
            <w:tcW w:w="84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4.30</w:t>
            </w:r>
          </w:p>
        </w:tc>
      </w:tr>
      <w:tr>
        <w:trPr>
          <w:trHeight w:val="3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杜学东</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2" w:right="0"/>
              <w:jc w:val="left"/>
              <w:rPr>
                <w:rFonts w:ascii="宋体" w:hAnsi="宋体" w:cs="宋体" w:eastAsia="宋体" w:hint="default"/>
                <w:sz w:val="21"/>
                <w:szCs w:val="21"/>
              </w:rPr>
            </w:pPr>
            <w:r>
              <w:rPr>
                <w:rFonts w:ascii="宋体"/>
                <w:sz w:val="21"/>
              </w:rPr>
              <w:t>36</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6"/>
              <w:jc w:val="righ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0</w:t>
            </w:r>
          </w:p>
        </w:tc>
        <w:tc>
          <w:tcPr>
            <w:tcW w:w="84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1.20</w:t>
            </w:r>
          </w:p>
        </w:tc>
      </w:tr>
      <w:tr>
        <w:trPr>
          <w:trHeight w:val="341"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屠国良</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2" w:right="0"/>
              <w:jc w:val="left"/>
              <w:rPr>
                <w:rFonts w:ascii="宋体" w:hAnsi="宋体" w:cs="宋体" w:eastAsia="宋体" w:hint="default"/>
                <w:sz w:val="21"/>
                <w:szCs w:val="21"/>
              </w:rPr>
            </w:pPr>
            <w:r>
              <w:rPr>
                <w:rFonts w:ascii="宋体"/>
                <w:sz w:val="21"/>
              </w:rPr>
              <w:t>33</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6"/>
              <w:jc w:val="righ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0</w:t>
            </w:r>
          </w:p>
        </w:tc>
        <w:tc>
          <w:tcPr>
            <w:tcW w:w="84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0.80</w:t>
            </w:r>
          </w:p>
        </w:tc>
      </w:tr>
      <w:tr>
        <w:trPr>
          <w:trHeight w:val="3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余晓利</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1" w:right="0"/>
              <w:jc w:val="left"/>
              <w:rPr>
                <w:rFonts w:ascii="宋体" w:hAnsi="宋体" w:cs="宋体" w:eastAsia="宋体" w:hint="default"/>
                <w:sz w:val="21"/>
                <w:szCs w:val="21"/>
              </w:rPr>
            </w:pPr>
            <w:r>
              <w:rPr>
                <w:rFonts w:ascii="宋体"/>
                <w:sz w:val="21"/>
              </w:rPr>
              <w:t>36</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7"/>
              <w:jc w:val="righ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800</w:t>
            </w:r>
          </w:p>
        </w:tc>
        <w:tc>
          <w:tcPr>
            <w:tcW w:w="84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800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6.36</w:t>
            </w:r>
          </w:p>
        </w:tc>
      </w:tr>
      <w:tr>
        <w:trPr>
          <w:trHeight w:val="3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tabs>
                <w:tab w:pos="421" w:val="left" w:leader="none"/>
              </w:tabs>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叶</w:t>
              <w:tab/>
              <w:t>艳</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女</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2" w:right="0"/>
              <w:jc w:val="left"/>
              <w:rPr>
                <w:rFonts w:ascii="宋体" w:hAnsi="宋体" w:cs="宋体" w:eastAsia="宋体" w:hint="default"/>
                <w:sz w:val="21"/>
                <w:szCs w:val="21"/>
              </w:rPr>
            </w:pPr>
            <w:r>
              <w:rPr>
                <w:rFonts w:ascii="宋体"/>
                <w:sz w:val="21"/>
              </w:rPr>
              <w:t>33</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6"/>
              <w:jc w:val="right"/>
              <w:rPr>
                <w:rFonts w:ascii="宋体" w:hAnsi="宋体" w:cs="宋体" w:eastAsia="宋体" w:hint="default"/>
                <w:sz w:val="21"/>
                <w:szCs w:val="21"/>
              </w:rPr>
            </w:pPr>
            <w:r>
              <w:rPr>
                <w:rFonts w:ascii="宋体"/>
                <w:spacing w:val="-1"/>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0</w:t>
            </w:r>
          </w:p>
        </w:tc>
        <w:tc>
          <w:tcPr>
            <w:tcW w:w="84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pacing w:val="-1"/>
                <w:sz w:val="21"/>
              </w:rPr>
              <w:t>4.81</w:t>
            </w:r>
          </w:p>
        </w:tc>
      </w:tr>
      <w:tr>
        <w:trPr>
          <w:trHeight w:val="341"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逯春明</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1" w:right="0"/>
              <w:jc w:val="left"/>
              <w:rPr>
                <w:rFonts w:ascii="宋体" w:hAnsi="宋体" w:cs="宋体" w:eastAsia="宋体" w:hint="default"/>
                <w:sz w:val="21"/>
                <w:szCs w:val="21"/>
              </w:rPr>
            </w:pPr>
            <w:r>
              <w:rPr>
                <w:rFonts w:ascii="宋体"/>
                <w:sz w:val="21"/>
              </w:rPr>
              <w:t>41</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9"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7"/>
              <w:jc w:val="righ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3"/>
              <w:jc w:val="right"/>
              <w:rPr>
                <w:rFonts w:ascii="宋体" w:hAnsi="宋体" w:cs="宋体" w:eastAsia="宋体" w:hint="default"/>
                <w:sz w:val="21"/>
                <w:szCs w:val="21"/>
              </w:rPr>
            </w:pPr>
            <w:r>
              <w:rPr>
                <w:rFonts w:ascii="宋体"/>
                <w:sz w:val="21"/>
              </w:rPr>
              <w:t>0</w:t>
            </w:r>
          </w:p>
        </w:tc>
        <w:tc>
          <w:tcPr>
            <w:tcW w:w="84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24.50</w:t>
            </w:r>
          </w:p>
        </w:tc>
      </w:tr>
      <w:tr>
        <w:trPr>
          <w:trHeight w:val="3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刘永源</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2" w:right="0"/>
              <w:jc w:val="left"/>
              <w:rPr>
                <w:rFonts w:ascii="宋体" w:hAnsi="宋体" w:cs="宋体" w:eastAsia="宋体" w:hint="default"/>
                <w:sz w:val="21"/>
                <w:szCs w:val="21"/>
              </w:rPr>
            </w:pPr>
            <w:r>
              <w:rPr>
                <w:rFonts w:ascii="宋体"/>
                <w:sz w:val="21"/>
              </w:rPr>
              <w:t>41</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6"/>
              <w:jc w:val="righ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0</w:t>
            </w:r>
          </w:p>
        </w:tc>
        <w:tc>
          <w:tcPr>
            <w:tcW w:w="84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9.60</w:t>
            </w:r>
          </w:p>
        </w:tc>
      </w:tr>
      <w:tr>
        <w:trPr>
          <w:trHeight w:val="340"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张中平</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1" w:right="0"/>
              <w:jc w:val="left"/>
              <w:rPr>
                <w:rFonts w:ascii="宋体" w:hAnsi="宋体" w:cs="宋体" w:eastAsia="宋体" w:hint="default"/>
                <w:sz w:val="21"/>
                <w:szCs w:val="21"/>
              </w:rPr>
            </w:pPr>
            <w:r>
              <w:rPr>
                <w:rFonts w:ascii="宋体"/>
                <w:sz w:val="21"/>
              </w:rPr>
              <w:t>38</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9"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7"/>
              <w:jc w:val="right"/>
              <w:rPr>
                <w:rFonts w:ascii="宋体" w:hAnsi="宋体" w:cs="宋体" w:eastAsia="宋体" w:hint="default"/>
                <w:sz w:val="21"/>
                <w:szCs w:val="21"/>
              </w:rPr>
            </w:pPr>
            <w:r>
              <w:rPr>
                <w:rFonts w:ascii="宋体"/>
                <w:spacing w:val="-1"/>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98"/>
              <w:jc w:val="right"/>
              <w:rPr>
                <w:rFonts w:ascii="宋体" w:hAnsi="宋体" w:cs="宋体" w:eastAsia="宋体" w:hint="default"/>
                <w:sz w:val="21"/>
                <w:szCs w:val="21"/>
              </w:rPr>
            </w:pPr>
            <w:r>
              <w:rPr>
                <w:rFonts w:ascii="宋体"/>
                <w:sz w:val="21"/>
              </w:rPr>
              <w:t>14,080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pacing w:val="-1"/>
                <w:sz w:val="21"/>
              </w:rPr>
              <w:t>14,080</w:t>
            </w:r>
          </w:p>
        </w:tc>
        <w:tc>
          <w:tcPr>
            <w:tcW w:w="84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8.40</w:t>
            </w:r>
          </w:p>
        </w:tc>
      </w:tr>
      <w:tr>
        <w:trPr>
          <w:trHeight w:val="341" w:hRule="exact"/>
        </w:trPr>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宋大捷</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男</w:t>
            </w:r>
          </w:p>
        </w:tc>
        <w:tc>
          <w:tcPr>
            <w:tcW w:w="63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01" w:right="0"/>
              <w:jc w:val="left"/>
              <w:rPr>
                <w:rFonts w:ascii="宋体" w:hAnsi="宋体" w:cs="宋体" w:eastAsia="宋体" w:hint="default"/>
                <w:sz w:val="21"/>
                <w:szCs w:val="21"/>
              </w:rPr>
            </w:pPr>
            <w:r>
              <w:rPr>
                <w:rFonts w:ascii="宋体"/>
                <w:sz w:val="21"/>
              </w:rPr>
              <w:t>36</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9"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8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97"/>
              <w:jc w:val="right"/>
              <w:rPr>
                <w:rFonts w:ascii="宋体" w:hAnsi="宋体" w:cs="宋体" w:eastAsia="宋体" w:hint="default"/>
                <w:sz w:val="21"/>
                <w:szCs w:val="21"/>
              </w:rPr>
            </w:pPr>
            <w:r>
              <w:rPr>
                <w:rFonts w:ascii="宋体"/>
                <w:sz w:val="21"/>
              </w:rPr>
              <w:t>2009.05-2012.04</w:t>
            </w:r>
          </w:p>
        </w:tc>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0</w:t>
            </w:r>
          </w:p>
        </w:tc>
        <w:tc>
          <w:tcPr>
            <w:tcW w:w="946" w:type="dxa"/>
            <w:tcBorders>
              <w:top w:val="single" w:sz="6" w:space="0" w:color="000000"/>
              <w:left w:val="single" w:sz="6" w:space="0" w:color="000000"/>
              <w:bottom w:val="single" w:sz="6" w:space="0" w:color="000000"/>
              <w:right w:val="single" w:sz="4" w:space="0" w:color="000000"/>
            </w:tcBorders>
          </w:tcPr>
          <w:p>
            <w:pPr>
              <w:pStyle w:val="TableParagraph"/>
              <w:spacing w:line="242" w:lineRule="exact"/>
              <w:ind w:right="103"/>
              <w:jc w:val="right"/>
              <w:rPr>
                <w:rFonts w:ascii="宋体" w:hAnsi="宋体" w:cs="宋体" w:eastAsia="宋体" w:hint="default"/>
                <w:sz w:val="21"/>
                <w:szCs w:val="21"/>
              </w:rPr>
            </w:pPr>
            <w:r>
              <w:rPr>
                <w:rFonts w:ascii="宋体"/>
                <w:sz w:val="21"/>
              </w:rPr>
              <w:t>0</w:t>
            </w:r>
          </w:p>
        </w:tc>
        <w:tc>
          <w:tcPr>
            <w:tcW w:w="840"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0</w:t>
            </w:r>
          </w:p>
        </w:tc>
        <w:tc>
          <w:tcPr>
            <w:tcW w:w="1154" w:type="dxa"/>
            <w:tcBorders>
              <w:top w:val="single" w:sz="6" w:space="0" w:color="000000"/>
              <w:left w:val="single" w:sz="4" w:space="0" w:color="000000"/>
              <w:bottom w:val="single" w:sz="6"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12.00</w:t>
            </w:r>
          </w:p>
        </w:tc>
      </w:tr>
    </w:tbl>
    <w:p>
      <w:pPr>
        <w:pStyle w:val="Heading3"/>
        <w:spacing w:line="240" w:lineRule="auto" w:before="81"/>
        <w:ind w:left="704" w:right="497"/>
        <w:jc w:val="left"/>
      </w:pPr>
      <w:r>
        <w:rPr/>
        <w:t>（1）余晓利监事持股数增加，系本人通过证券交易系统买入股份所致。</w:t>
      </w:r>
    </w:p>
    <w:p>
      <w:pPr>
        <w:pStyle w:val="Heading3"/>
        <w:spacing w:line="357" w:lineRule="auto" w:before="154"/>
        <w:ind w:left="706" w:right="497" w:hanging="3"/>
        <w:jc w:val="left"/>
      </w:pPr>
      <w:r>
        <w:rPr/>
        <w:t>（2）董事、监事在股东单位任职情况 </w:t>
      </w:r>
      <w:r>
        <w:rPr>
          <w:spacing w:val="-2"/>
        </w:rPr>
        <w:t>刘小斌任华立集团股份有限公司副总裁；刘浩军任华立集团股份有限公司执行董</w:t>
      </w:r>
    </w:p>
    <w:p>
      <w:pPr>
        <w:pStyle w:val="Heading3"/>
        <w:spacing w:line="357" w:lineRule="auto"/>
        <w:ind w:left="224" w:right="497"/>
        <w:jc w:val="left"/>
      </w:pPr>
      <w:r>
        <w:rPr>
          <w:spacing w:val="-1"/>
        </w:rPr>
        <w:t>事兼董事局秘书；杜学东任华立集团股份有限公司审计部副部长兼主任审计师；屠国</w:t>
      </w:r>
      <w:r>
        <w:rPr/>
        <w:t> 良任华立集团股份有限公司资金财务部财务经理。</w:t>
      </w:r>
    </w:p>
    <w:p>
      <w:pPr>
        <w:pStyle w:val="Heading3"/>
        <w:spacing w:line="240" w:lineRule="auto"/>
        <w:ind w:left="706" w:right="497"/>
        <w:jc w:val="left"/>
      </w:pPr>
      <w:r>
        <w:rPr/>
        <w:t>2、报告期内董事、监事、高级管理人员变动情况</w:t>
      </w:r>
    </w:p>
    <w:p>
      <w:pPr>
        <w:pStyle w:val="Heading3"/>
        <w:spacing w:line="357" w:lineRule="auto" w:before="154"/>
        <w:ind w:left="224" w:right="0" w:firstLine="480"/>
        <w:jc w:val="left"/>
      </w:pPr>
      <w:r>
        <w:rPr>
          <w:spacing w:val="-5"/>
        </w:rPr>
        <w:t>2009年4月，公司第五届董事会、第五届监事会届满。根据《公司法》、《公司章</w:t>
      </w:r>
      <w:r>
        <w:rPr>
          <w:spacing w:val="2"/>
        </w:rPr>
        <w:t> </w:t>
      </w:r>
      <w:r>
        <w:rPr>
          <w:spacing w:val="-5"/>
        </w:rPr>
        <w:t>程》的规定，公司2009年5月7日召开2008年年度股东大会选举刘小斌、刘浩军、何勤、</w:t>
      </w:r>
      <w:r>
        <w:rPr>
          <w:spacing w:val="-102"/>
        </w:rPr>
        <w:t> </w:t>
      </w:r>
      <w:r>
        <w:rPr>
          <w:spacing w:val="-102"/>
        </w:rPr>
      </w:r>
      <w:r>
        <w:rPr/>
        <w:t>周和平担任公司第六届董事会董事；选举辛金国、甘为民、张鹏担任公司第六届董事</w:t>
      </w:r>
      <w:r>
        <w:rPr/>
        <w:t> 会独立董事；选举汪绍全、杜学东、屠国良担任第六届监事会监事。公司职工代表大</w:t>
      </w:r>
      <w:r>
        <w:rPr>
          <w:spacing w:val="-1"/>
        </w:rPr>
        <w:t> </w:t>
      </w:r>
      <w:r>
        <w:rPr/>
        <w:t>会推选余晓利、叶艳担任第六届监事会职工代表监事。</w:t>
      </w:r>
    </w:p>
    <w:p>
      <w:pPr>
        <w:pStyle w:val="Heading3"/>
        <w:spacing w:line="357" w:lineRule="auto"/>
        <w:ind w:left="224" w:right="515" w:firstLine="480"/>
        <w:jc w:val="both"/>
      </w:pPr>
      <w:r>
        <w:rPr>
          <w:spacing w:val="-2"/>
        </w:rPr>
        <w:t>公司第六届董事会第一次会议选举刘小斌为董事长，聘任逯春明为总裁，聘任刘</w:t>
      </w:r>
      <w:r>
        <w:rPr/>
        <w:t> </w:t>
      </w:r>
      <w:r>
        <w:rPr>
          <w:spacing w:val="-1"/>
        </w:rPr>
        <w:t>永源为副总裁，聘任张中平为财务总监，聘任宋大捷为董事会秘书，任期与本届董事</w:t>
      </w:r>
      <w:r>
        <w:rPr/>
        <w:t> 会任期一致。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76"/>
        <w:ind w:left="4535" w:right="4828" w:firstLine="0"/>
        <w:jc w:val="center"/>
        <w:rPr>
          <w:rFonts w:ascii="Times New Roman" w:hAnsi="Times New Roman" w:cs="Times New Roman" w:eastAsia="Times New Roman" w:hint="default"/>
          <w:sz w:val="18"/>
          <w:szCs w:val="18"/>
        </w:rPr>
      </w:pPr>
      <w:r>
        <w:rPr>
          <w:rFonts w:ascii="Times New Roman"/>
          <w:sz w:val="18"/>
        </w:rPr>
        <w:t>10</w:t>
      </w:r>
    </w:p>
    <w:p>
      <w:pPr>
        <w:spacing w:after="0"/>
        <w:jc w:val="center"/>
        <w:rPr>
          <w:rFonts w:ascii="Times New Roman" w:hAnsi="Times New Roman" w:cs="Times New Roman" w:eastAsia="Times New Roman" w:hint="default"/>
          <w:sz w:val="18"/>
          <w:szCs w:val="18"/>
        </w:rPr>
        <w:sectPr>
          <w:pgSz w:w="11910" w:h="16840"/>
          <w:pgMar w:top="640" w:bottom="280" w:left="1080" w:right="1240"/>
        </w:sectPr>
      </w:pPr>
    </w:p>
    <w:p>
      <w:pPr>
        <w:spacing w:line="240" w:lineRule="auto" w:before="11"/>
        <w:rPr>
          <w:rFonts w:ascii="Times New Roman" w:hAnsi="Times New Roman" w:cs="Times New Roman" w:eastAsia="Times New Roman" w:hint="default"/>
          <w:sz w:val="26"/>
          <w:szCs w:val="26"/>
        </w:rPr>
      </w:pPr>
    </w:p>
    <w:p>
      <w:pPr>
        <w:pStyle w:val="Heading4"/>
        <w:tabs>
          <w:tab w:pos="6963" w:val="left" w:leader="none"/>
        </w:tabs>
        <w:spacing w:line="240" w:lineRule="auto"/>
        <w:ind w:left="3650" w:right="203"/>
        <w:jc w:val="left"/>
        <w:rPr>
          <w:b w:val="0"/>
          <w:bCs w:val="0"/>
        </w:rPr>
      </w:pPr>
      <w:r>
        <w:rPr/>
        <w:pict>
          <v:shape style="position:absolute;margin-left:87.900002pt;margin-top:-11.486023pt;width:95.033pt;height:25.5pt;mso-position-horizontal-relative:page;mso-position-vertical-relative:paragraph;z-index:1720"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5"/>
          <w:szCs w:val="5"/>
        </w:rPr>
      </w:pPr>
    </w:p>
    <w:p>
      <w:pPr>
        <w:pStyle w:val="Heading3"/>
        <w:spacing w:line="357" w:lineRule="auto" w:before="26"/>
        <w:ind w:left="618" w:right="203"/>
        <w:jc w:val="left"/>
      </w:pPr>
      <w:r>
        <w:rPr/>
        <w:t>公司第六届监事会第一次会议选举汪绍全为监事会主席。 </w:t>
      </w:r>
      <w:r>
        <w:rPr>
          <w:spacing w:val="-1"/>
        </w:rPr>
        <w:t>公司第六届董事会第一次会议、第六届监事会第一次会议、2008年年度股东大会</w:t>
      </w:r>
    </w:p>
    <w:p>
      <w:pPr>
        <w:pStyle w:val="Heading3"/>
        <w:spacing w:line="357" w:lineRule="auto"/>
        <w:ind w:left="137" w:right="220"/>
        <w:jc w:val="both"/>
      </w:pPr>
      <w:r>
        <w:rPr>
          <w:spacing w:val="-18"/>
        </w:rPr>
        <w:t>决议公告已于2009年5月8日在《中国证券报》、《证券时报》、《证券日报》、《上海证券</w:t>
      </w:r>
      <w:r>
        <w:rPr>
          <w:spacing w:val="-102"/>
        </w:rPr>
        <w:t> </w:t>
      </w:r>
      <w:r>
        <w:rPr>
          <w:spacing w:val="-102"/>
        </w:rPr>
      </w:r>
      <w:r>
        <w:rPr/>
        <w:t>报》及巨潮资讯网进行披露。</w:t>
      </w:r>
    </w:p>
    <w:p>
      <w:pPr>
        <w:pStyle w:val="Heading3"/>
        <w:spacing w:line="357" w:lineRule="auto"/>
        <w:ind w:left="137" w:right="220" w:firstLine="480"/>
        <w:jc w:val="both"/>
      </w:pPr>
      <w:r>
        <w:rPr>
          <w:spacing w:val="-2"/>
        </w:rPr>
        <w:t>报告期内，公司第五届董事会董事赵江华、金美星因任期届满离任，公司第五届</w:t>
      </w:r>
      <w:r>
        <w:rPr/>
        <w:t> </w:t>
      </w:r>
      <w:r>
        <w:rPr>
          <w:spacing w:val="-1"/>
        </w:rPr>
        <w:t>董事会独立董事吴晓求、钟朋荣、王瑞平因届满且连任时间超过六年而离任。公司第</w:t>
      </w:r>
      <w:r>
        <w:rPr/>
        <w:t> 五届监事会监事李建平、胡春果因任期届满离任。</w:t>
      </w:r>
    </w:p>
    <w:p>
      <w:pPr>
        <w:pStyle w:val="Heading3"/>
        <w:spacing w:line="357" w:lineRule="auto"/>
        <w:ind w:left="617" w:right="203"/>
        <w:jc w:val="left"/>
      </w:pPr>
      <w:r>
        <w:rPr/>
        <w:t>周和平因身体健康原因已于2010年1月28日辞去公司董事职务。 汪绍全因工作变动原因已于2010年2月8日辞去公司监事、监事会主席职务。 </w:t>
      </w:r>
      <w:r>
        <w:rPr>
          <w:spacing w:val="-1"/>
        </w:rPr>
        <w:t>3、公司现任董事、监事、高级管理人员最近5年的主要工作经历和在除股东单位</w:t>
      </w:r>
    </w:p>
    <w:p>
      <w:pPr>
        <w:pStyle w:val="Heading3"/>
        <w:spacing w:line="240" w:lineRule="auto"/>
        <w:ind w:left="137" w:right="0"/>
        <w:jc w:val="both"/>
      </w:pPr>
      <w:r>
        <w:rPr/>
        <w:t>外的其他单位的任职或兼职情况</w:t>
      </w:r>
    </w:p>
    <w:p>
      <w:pPr>
        <w:pStyle w:val="Heading3"/>
        <w:spacing w:line="357" w:lineRule="auto" w:before="154"/>
        <w:ind w:left="617" w:right="203"/>
        <w:jc w:val="left"/>
      </w:pPr>
      <w:r>
        <w:rPr/>
        <w:t>（1）董事 </w:t>
      </w:r>
      <w:r>
        <w:rPr>
          <w:spacing w:val="-2"/>
        </w:rPr>
        <w:t>刘小斌先生：会计学、法学双学位，管理学硕士，中国注册会计师、中国注册税</w:t>
      </w:r>
    </w:p>
    <w:p>
      <w:pPr>
        <w:pStyle w:val="Heading3"/>
        <w:spacing w:line="357" w:lineRule="auto"/>
        <w:ind w:left="137" w:right="220"/>
        <w:jc w:val="both"/>
      </w:pPr>
      <w:r>
        <w:rPr>
          <w:spacing w:val="-1"/>
        </w:rPr>
        <w:t>务师、国际注册内部审计师。曾任浙江华立医药投资集团有限公司财务总监。现任重</w:t>
      </w:r>
      <w:r>
        <w:rPr/>
        <w:t> </w:t>
      </w:r>
      <w:r>
        <w:rPr>
          <w:spacing w:val="-1"/>
        </w:rPr>
        <w:t>庆华立药业股份有限公司董事长、华立集团股份有限公司副总裁、昆明制药集团股份</w:t>
      </w:r>
      <w:r>
        <w:rPr/>
        <w:t> </w:t>
      </w:r>
      <w:r>
        <w:rPr>
          <w:spacing w:val="-1"/>
        </w:rPr>
        <w:t>有限公司董事、武汉健民药业集团股份有限公司董事、云南南天电子信息产业股份有</w:t>
      </w:r>
      <w:r>
        <w:rPr/>
        <w:t> 限公司董事。</w:t>
      </w:r>
    </w:p>
    <w:p>
      <w:pPr>
        <w:pStyle w:val="Heading3"/>
        <w:spacing w:line="357" w:lineRule="auto"/>
        <w:ind w:left="137" w:right="220" w:firstLine="480"/>
        <w:jc w:val="both"/>
      </w:pPr>
      <w:r>
        <w:rPr>
          <w:spacing w:val="-2"/>
        </w:rPr>
        <w:t>刘浩军先生：经济类硕士。曾任中金投资集团云南矿业公司常务副总、华立集团</w:t>
      </w:r>
      <w:r>
        <w:rPr/>
        <w:t> </w:t>
      </w:r>
      <w:r>
        <w:rPr>
          <w:spacing w:val="-1"/>
        </w:rPr>
        <w:t>股份有限公司资产管理部副部长、战略发展部部长。现任华立集团股份有限公司执行</w:t>
      </w:r>
      <w:r>
        <w:rPr/>
        <w:t> 董事兼董事局秘书、华立仪表集团股份有限公司董事长。</w:t>
      </w:r>
    </w:p>
    <w:p>
      <w:pPr>
        <w:pStyle w:val="Heading3"/>
        <w:spacing w:line="357" w:lineRule="auto"/>
        <w:ind w:left="137" w:right="0" w:firstLine="480"/>
        <w:jc w:val="left"/>
      </w:pPr>
      <w:r>
        <w:rPr/>
        <w:t>何勤先生：博士。曾任深圳亿胜医药科技发展有限公司董事总经理，香港亿胜生 物集团副总经理、中国科技开发院医药科技开发所所长、深圳智源医药实业发展有限 公司总经理、武汉智源现代医疗用品有限公司董事长、浙江华立医药投资集团有限公 </w:t>
      </w:r>
      <w:r>
        <w:rPr>
          <w:spacing w:val="-5"/>
        </w:rPr>
        <w:t>司副总裁。现任昆明制药股份有限公司董事长、武汉健民药业集团股份有限公司董事、</w:t>
      </w:r>
      <w:r>
        <w:rPr>
          <w:spacing w:val="-86"/>
        </w:rPr>
        <w:t> </w:t>
      </w:r>
      <w:r>
        <w:rPr>
          <w:spacing w:val="-86"/>
        </w:rPr>
      </w:r>
      <w:r>
        <w:rPr/>
        <w:t>华方医药科技有限公司董事。</w:t>
      </w:r>
    </w:p>
    <w:p>
      <w:pPr>
        <w:pStyle w:val="Heading3"/>
        <w:spacing w:line="357" w:lineRule="auto"/>
        <w:ind w:left="138" w:right="220" w:firstLine="480"/>
        <w:jc w:val="both"/>
      </w:pPr>
      <w:r>
        <w:rPr>
          <w:spacing w:val="-2"/>
        </w:rPr>
        <w:t>辛金国先生：管理学博士，会计学教授，具有中国注册会计师和中国注册资产评</w:t>
      </w:r>
      <w:r>
        <w:rPr/>
        <w:t> </w:t>
      </w:r>
      <w:r>
        <w:rPr>
          <w:spacing w:val="-1"/>
        </w:rPr>
        <w:t>估师资格。曾任杭州电子科技大学管理学院副院长。现任杭州电子科技大学经贸学院</w:t>
      </w:r>
      <w:r>
        <w:rPr/>
        <w:t> </w:t>
      </w:r>
      <w:r>
        <w:rPr>
          <w:spacing w:val="-1"/>
        </w:rPr>
        <w:t>党总支书记，浙江省审计学会副秘书长，兼任浙江广厦股份有限公司和浙江天马轴承</w:t>
      </w:r>
      <w:r>
        <w:rPr/>
        <w:t> 股份有限公司独立董事。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76"/>
        <w:ind w:left="4444" w:right="4533" w:firstLine="0"/>
        <w:jc w:val="center"/>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p>
      <w:pPr>
        <w:spacing w:after="0"/>
        <w:jc w:val="center"/>
        <w:rPr>
          <w:rFonts w:ascii="Times New Roman" w:hAnsi="Times New Roman" w:cs="Times New Roman" w:eastAsia="Times New Roman" w:hint="default"/>
          <w:sz w:val="18"/>
          <w:szCs w:val="18"/>
        </w:rPr>
        <w:sectPr>
          <w:pgSz w:w="11910" w:h="16840"/>
          <w:pgMar w:top="640" w:bottom="280" w:left="1620" w:right="1080"/>
        </w:sectPr>
      </w:pPr>
    </w:p>
    <w:p>
      <w:pPr>
        <w:spacing w:line="240" w:lineRule="auto" w:before="11"/>
        <w:rPr>
          <w:rFonts w:ascii="Times New Roman" w:hAnsi="Times New Roman" w:cs="Times New Roman" w:eastAsia="Times New Roman" w:hint="default"/>
          <w:sz w:val="26"/>
          <w:szCs w:val="26"/>
        </w:rPr>
      </w:pPr>
    </w:p>
    <w:p>
      <w:pPr>
        <w:pStyle w:val="Heading4"/>
        <w:tabs>
          <w:tab w:pos="6969" w:val="left" w:leader="none"/>
        </w:tabs>
        <w:spacing w:line="240" w:lineRule="auto"/>
        <w:ind w:left="3656" w:right="96"/>
        <w:jc w:val="left"/>
        <w:rPr>
          <w:b w:val="0"/>
          <w:bCs w:val="0"/>
        </w:rPr>
      </w:pPr>
      <w:r>
        <w:rPr/>
        <w:pict>
          <v:shape style="position:absolute;margin-left:65.160004pt;margin-top:-11.486023pt;width:95.052pt;height:25.5pt;mso-position-horizontal-relative:page;mso-position-vertical-relative:paragraph;z-index:1768"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7"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5"/>
          <w:szCs w:val="5"/>
        </w:rPr>
      </w:pPr>
    </w:p>
    <w:p>
      <w:pPr>
        <w:pStyle w:val="Heading3"/>
        <w:spacing w:line="357" w:lineRule="auto" w:before="26"/>
        <w:ind w:right="235" w:firstLine="480"/>
        <w:jc w:val="both"/>
      </w:pPr>
      <w:r>
        <w:rPr>
          <w:spacing w:val="-2"/>
        </w:rPr>
        <w:t>甘为民先生：法学硕士。现为高级律师、浙江凯麦律师事务所管理合伙人、浙江</w:t>
      </w:r>
      <w:r>
        <w:rPr/>
        <w:t> </w:t>
      </w:r>
      <w:r>
        <w:rPr>
          <w:spacing w:val="-1"/>
        </w:rPr>
        <w:t>省律师协会公司与证券业务委员会副主任、浙江省企业法律顾问协会知识产权专业委</w:t>
      </w:r>
      <w:r>
        <w:rPr/>
        <w:t> </w:t>
      </w:r>
      <w:r>
        <w:rPr>
          <w:spacing w:val="-1"/>
        </w:rPr>
        <w:t>员会主任、杭州仲裁委员会仲裁员，并担任杭州市中小企业协会副会长、杭州凯麦企</w:t>
      </w:r>
      <w:r>
        <w:rPr/>
        <w:t> </w:t>
      </w:r>
      <w:r>
        <w:rPr>
          <w:spacing w:val="-1"/>
        </w:rPr>
        <w:t>业管理咨询有限公司董事长、开创国际（600097）独立董事、晋亿实业（601002）独</w:t>
      </w:r>
      <w:r>
        <w:rPr>
          <w:spacing w:val="-113"/>
        </w:rPr>
        <w:t> </w:t>
      </w:r>
      <w:r>
        <w:rPr>
          <w:spacing w:val="-113"/>
        </w:rPr>
      </w:r>
      <w:r>
        <w:rPr/>
        <w:t>立董事、首长科技（HK0521）法律顾问、恒生电子（600570）法律顾问等。</w:t>
      </w:r>
    </w:p>
    <w:p>
      <w:pPr>
        <w:pStyle w:val="Heading3"/>
        <w:spacing w:line="357" w:lineRule="auto"/>
        <w:ind w:right="235" w:firstLine="480"/>
        <w:jc w:val="both"/>
      </w:pPr>
      <w:r>
        <w:rPr>
          <w:spacing w:val="-2"/>
        </w:rPr>
        <w:t>张鹏先生：中共党员，管理学博士，审计师。曾任大鹏证券有限责任公司投资银</w:t>
      </w:r>
      <w:r>
        <w:rPr/>
        <w:t> </w:t>
      </w:r>
      <w:r>
        <w:rPr>
          <w:spacing w:val="-1"/>
        </w:rPr>
        <w:t>行董事总经理；现任国信证券有限公司投资银行事业部副总裁、贵州轮胎股份有限公</w:t>
      </w:r>
      <w:r>
        <w:rPr/>
        <w:t> 司独立董事、昆明制药股份有限公司独立董事。</w:t>
      </w:r>
    </w:p>
    <w:p>
      <w:pPr>
        <w:pStyle w:val="Heading3"/>
        <w:spacing w:line="338" w:lineRule="auto"/>
        <w:ind w:left="624" w:right="96"/>
        <w:jc w:val="left"/>
      </w:pPr>
      <w:r>
        <w:rPr/>
        <w:t>（</w:t>
      </w:r>
      <w:r>
        <w:rPr>
          <w:rFonts w:ascii="Times New Roman" w:hAnsi="Times New Roman" w:cs="Times New Roman" w:eastAsia="Times New Roman" w:hint="default"/>
        </w:rPr>
        <w:t>2</w:t>
      </w:r>
      <w:r>
        <w:rPr/>
        <w:t>）监事 </w:t>
      </w:r>
      <w:r>
        <w:rPr>
          <w:spacing w:val="-2"/>
        </w:rPr>
        <w:t>杜学东先生：会计师，国际注册内部审计师。曾任华立仪表集团股份有限公司审</w:t>
      </w:r>
    </w:p>
    <w:p>
      <w:pPr>
        <w:pStyle w:val="Heading3"/>
        <w:spacing w:line="357" w:lineRule="auto" w:before="55"/>
        <w:ind w:right="235"/>
        <w:jc w:val="both"/>
      </w:pPr>
      <w:r>
        <w:rPr>
          <w:spacing w:val="-1"/>
        </w:rPr>
        <w:t>计部部长助理，浙江华立南湖制药有限公司财务总监。现任华立集团股份有限公司审</w:t>
      </w:r>
      <w:r>
        <w:rPr/>
        <w:t> 计部副部长兼主任审计师。</w:t>
      </w:r>
    </w:p>
    <w:p>
      <w:pPr>
        <w:pStyle w:val="Heading3"/>
        <w:spacing w:line="357" w:lineRule="auto"/>
        <w:ind w:right="233" w:firstLine="480"/>
        <w:jc w:val="both"/>
      </w:pPr>
      <w:r>
        <w:rPr>
          <w:spacing w:val="-2"/>
        </w:rPr>
        <w:t>屠国良先生：本科，会计师。曾任杭州钢铁集团公司财务部会计科副科长、财务</w:t>
      </w:r>
      <w:r>
        <w:rPr>
          <w:spacing w:val="-1"/>
        </w:rPr>
        <w:t> 部资产科科长、杭钢动力财务部副部长，华立集团股份有限公司资产管理部经理、营</w:t>
      </w:r>
      <w:r>
        <w:rPr/>
        <w:t> 运管理部财务经理，现任华立集团股份有限公司资金财务部财务经理。</w:t>
      </w:r>
    </w:p>
    <w:p>
      <w:pPr>
        <w:pStyle w:val="Heading3"/>
        <w:spacing w:line="357" w:lineRule="auto"/>
        <w:ind w:right="234" w:firstLine="480"/>
        <w:jc w:val="both"/>
      </w:pPr>
      <w:r>
        <w:rPr>
          <w:spacing w:val="-2"/>
        </w:rPr>
        <w:t>余晓利女士：本科，注册会计师、注册房地产估价师。曾任重庆美联制药有限公</w:t>
      </w:r>
      <w:r>
        <w:rPr>
          <w:spacing w:val="-1"/>
        </w:rPr>
        <w:t> </w:t>
      </w:r>
      <w:r>
        <w:rPr/>
        <w:t>司财务总监。现任重庆华立药业股份有限公司内控审计部经理。</w:t>
      </w:r>
    </w:p>
    <w:p>
      <w:pPr>
        <w:pStyle w:val="Heading3"/>
        <w:tabs>
          <w:tab w:pos="1104" w:val="left" w:leader="none"/>
        </w:tabs>
        <w:spacing w:line="240" w:lineRule="auto"/>
        <w:ind w:left="624" w:right="96"/>
        <w:jc w:val="left"/>
      </w:pPr>
      <w:r>
        <w:rPr/>
        <w:t>叶</w:t>
        <w:tab/>
        <w:t>艳女士：现任重庆华立药业股份有限公司薪酬人事主管，公司工会主席。</w:t>
      </w:r>
    </w:p>
    <w:p>
      <w:pPr>
        <w:pStyle w:val="Heading3"/>
        <w:spacing w:line="357" w:lineRule="auto" w:before="154"/>
        <w:ind w:left="624" w:right="96"/>
        <w:jc w:val="left"/>
      </w:pPr>
      <w:r>
        <w:rPr/>
        <w:t>（3）高管 </w:t>
      </w:r>
      <w:r>
        <w:rPr>
          <w:spacing w:val="-2"/>
        </w:rPr>
        <w:t>逯春明先生：硕士。曾任北京科泰新技术公司副总经理，现任重庆华立药业股份</w:t>
      </w:r>
    </w:p>
    <w:p>
      <w:pPr>
        <w:pStyle w:val="Heading3"/>
        <w:spacing w:line="357" w:lineRule="auto"/>
        <w:ind w:right="235"/>
        <w:jc w:val="both"/>
      </w:pPr>
      <w:r>
        <w:rPr>
          <w:spacing w:val="-1"/>
        </w:rPr>
        <w:t>有限公司总裁，兼任北京华立科泰医药有限责任公司总经理、浙江华立南湖制药有限</w:t>
      </w:r>
      <w:r>
        <w:rPr/>
        <w:t> </w:t>
      </w:r>
      <w:r>
        <w:rPr>
          <w:spacing w:val="-1"/>
        </w:rPr>
        <w:t>公司董事长、云南工业大麻股份有限公司董事长，同时担任中国非洲问题研究会副会</w:t>
      </w:r>
      <w:r>
        <w:rPr/>
        <w:t> 长、中国非洲友好协会理事和中国国际问题研究基金会理事。</w:t>
      </w:r>
    </w:p>
    <w:p>
      <w:pPr>
        <w:pStyle w:val="Heading3"/>
        <w:spacing w:line="357" w:lineRule="auto"/>
        <w:ind w:right="229" w:firstLine="480"/>
        <w:jc w:val="both"/>
      </w:pPr>
      <w:r>
        <w:rPr>
          <w:spacing w:val="-2"/>
        </w:rPr>
        <w:t>刘永源先生：主管药师。曾任重庆华立武陵山制药有限公司副总经理、重庆华阳</w:t>
      </w:r>
      <w:r>
        <w:rPr/>
        <w:t> </w:t>
      </w:r>
      <w:r>
        <w:rPr>
          <w:spacing w:val="5"/>
        </w:rPr>
        <w:t>自然资源开发有限责任公司董事长兼总经理；现任重庆华立药业股份有限公司副总</w:t>
      </w:r>
      <w:r>
        <w:rPr>
          <w:spacing w:val="-106"/>
        </w:rPr>
        <w:t> </w:t>
      </w:r>
      <w:r>
        <w:rPr>
          <w:spacing w:val="-106"/>
        </w:rPr>
      </w:r>
      <w:r>
        <w:rPr>
          <w:spacing w:val="-1"/>
        </w:rPr>
        <w:t>裁，兼任重庆华立武陵山制药有限公司董事长、重庆美联制药有限公司董事长、洪雅</w:t>
      </w:r>
      <w:r>
        <w:rPr/>
        <w:t> 美联曼地亚红豆杉种植有限公司董事长、洪雅美联植化有限责任公司董事长。</w:t>
      </w:r>
    </w:p>
    <w:p>
      <w:pPr>
        <w:pStyle w:val="Heading3"/>
        <w:spacing w:line="357" w:lineRule="auto"/>
        <w:ind w:right="96" w:firstLine="480"/>
        <w:jc w:val="left"/>
      </w:pPr>
      <w:r>
        <w:rPr>
          <w:spacing w:val="-5"/>
        </w:rPr>
        <w:t>张中平先生：会计师。曾任重庆华立控股股份有限公司资产财务部副部长、部长。</w:t>
      </w:r>
      <w:r>
        <w:rPr/>
        <w:t> 现任重庆华立药业股份有限公司财务总监、华立仪表集团股份有限公司董事。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76"/>
        <w:ind w:left="4455" w:right="4548" w:firstLine="0"/>
        <w:jc w:val="center"/>
        <w:rPr>
          <w:rFonts w:ascii="Times New Roman" w:hAnsi="Times New Roman" w:cs="Times New Roman" w:eastAsia="Times New Roman" w:hint="default"/>
          <w:sz w:val="18"/>
          <w:szCs w:val="18"/>
        </w:rPr>
      </w:pPr>
      <w:r>
        <w:rPr>
          <w:rFonts w:ascii="Times New Roman"/>
          <w:sz w:val="18"/>
        </w:rPr>
        <w:t>12</w:t>
      </w:r>
    </w:p>
    <w:p>
      <w:pPr>
        <w:spacing w:after="0"/>
        <w:jc w:val="center"/>
        <w:rPr>
          <w:rFonts w:ascii="Times New Roman" w:hAnsi="Times New Roman" w:cs="Times New Roman" w:eastAsia="Times New Roman" w:hint="default"/>
          <w:sz w:val="18"/>
          <w:szCs w:val="18"/>
        </w:rPr>
        <w:sectPr>
          <w:pgSz w:w="11910" w:h="16840"/>
          <w:pgMar w:top="640" w:bottom="280" w:left="1160" w:right="1520"/>
        </w:sectPr>
      </w:pPr>
    </w:p>
    <w:p>
      <w:pPr>
        <w:spacing w:line="240" w:lineRule="auto" w:before="11"/>
        <w:rPr>
          <w:rFonts w:ascii="Times New Roman" w:hAnsi="Times New Roman" w:cs="Times New Roman" w:eastAsia="Times New Roman" w:hint="default"/>
          <w:sz w:val="26"/>
          <w:szCs w:val="26"/>
        </w:rPr>
      </w:pPr>
    </w:p>
    <w:p>
      <w:pPr>
        <w:pStyle w:val="Heading4"/>
        <w:tabs>
          <w:tab w:pos="6963" w:val="left" w:leader="none"/>
        </w:tabs>
        <w:spacing w:line="240" w:lineRule="auto"/>
        <w:ind w:left="3650" w:right="203"/>
        <w:jc w:val="left"/>
        <w:rPr>
          <w:b w:val="0"/>
          <w:bCs w:val="0"/>
        </w:rPr>
      </w:pPr>
      <w:r>
        <w:rPr/>
        <w:pict>
          <v:shape style="position:absolute;margin-left:87.900002pt;margin-top:-11.486023pt;width:95.033pt;height:25.5pt;mso-position-horizontal-relative:page;mso-position-vertical-relative:paragraph;z-index:1816"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5"/>
          <w:szCs w:val="5"/>
        </w:rPr>
      </w:pPr>
    </w:p>
    <w:p>
      <w:pPr>
        <w:pStyle w:val="Heading3"/>
        <w:spacing w:line="357" w:lineRule="auto" w:before="26"/>
        <w:ind w:left="138" w:right="220" w:firstLine="480"/>
        <w:jc w:val="both"/>
      </w:pPr>
      <w:r>
        <w:rPr>
          <w:spacing w:val="-2"/>
        </w:rPr>
        <w:t>宋大捷先生：硕士。曾任上海华策投资管理有限公司高级项目经理。现任重庆华</w:t>
      </w:r>
      <w:r>
        <w:rPr/>
        <w:t> 立药业股份有限公司董事会秘书。</w:t>
      </w:r>
    </w:p>
    <w:p>
      <w:pPr>
        <w:pStyle w:val="Heading3"/>
        <w:spacing w:line="240" w:lineRule="auto"/>
        <w:ind w:left="618" w:right="203"/>
        <w:jc w:val="left"/>
      </w:pPr>
      <w:r>
        <w:rPr/>
        <w:t>4、董事、监事和高级管理人员年度报酬情况</w:t>
      </w:r>
    </w:p>
    <w:p>
      <w:pPr>
        <w:pStyle w:val="Heading3"/>
        <w:spacing w:line="357" w:lineRule="auto" w:before="154"/>
        <w:ind w:left="138" w:right="219" w:firstLine="480"/>
        <w:jc w:val="both"/>
      </w:pPr>
      <w:r>
        <w:rPr/>
        <w:t>（1）本年度在公司领取报酬的董事、监事及高级管理人员的年度报酬（包括基</w:t>
      </w:r>
      <w:r>
        <w:rPr>
          <w:spacing w:val="2"/>
        </w:rPr>
        <w:t> </w:t>
      </w:r>
      <w:r>
        <w:rPr>
          <w:spacing w:val="-2"/>
        </w:rPr>
        <w:t>本工资、各项奖金、福利、补贴、住房公积金及其他津贴等）均按公司统一的薪酬管</w:t>
      </w:r>
      <w:r>
        <w:rPr>
          <w:spacing w:val="-86"/>
        </w:rPr>
        <w:t> </w:t>
      </w:r>
      <w:r>
        <w:rPr>
          <w:spacing w:val="-86"/>
        </w:rPr>
      </w:r>
      <w:r>
        <w:rPr/>
        <w:t>理制度规定的标准确定。</w:t>
      </w:r>
    </w:p>
    <w:p>
      <w:pPr>
        <w:pStyle w:val="Heading3"/>
        <w:spacing w:line="357" w:lineRule="auto"/>
        <w:ind w:left="138" w:right="220" w:firstLine="480"/>
        <w:jc w:val="both"/>
      </w:pPr>
      <w:r>
        <w:rPr>
          <w:spacing w:val="-2"/>
        </w:rPr>
        <w:t>在公司领取报酬的董事和高级管理人员实行年薪制，年薪由月薪、年度业绩考核</w:t>
      </w:r>
      <w:r>
        <w:rPr/>
        <w:t> </w:t>
      </w:r>
      <w:r>
        <w:rPr>
          <w:spacing w:val="-1"/>
        </w:rPr>
        <w:t>组成，其报酬由董事会薪酬委员会及股东大会确定。职工代表监事报酬根据其在公司</w:t>
      </w:r>
      <w:r>
        <w:rPr/>
        <w:t> 担任的除监事外的其他职务而确定。</w:t>
      </w:r>
    </w:p>
    <w:p>
      <w:pPr>
        <w:pStyle w:val="Heading3"/>
        <w:spacing w:line="357" w:lineRule="auto"/>
        <w:ind w:left="138" w:right="219" w:firstLine="480"/>
        <w:jc w:val="both"/>
      </w:pPr>
      <w:r>
        <w:rPr/>
        <w:t>（2）在公司领取津贴的有董事刘小斌、刘浩军、何勤及监事杜学东、屠国良共</w:t>
      </w:r>
      <w:r>
        <w:rPr>
          <w:spacing w:val="2"/>
        </w:rPr>
        <w:t> </w:t>
      </w:r>
      <w:r>
        <w:rPr/>
        <w:t>五人，他们均在公司股东单位华立集团股份有限公司或其关联企业领取报酬。</w:t>
      </w:r>
    </w:p>
    <w:p>
      <w:pPr>
        <w:pStyle w:val="Heading3"/>
        <w:spacing w:line="357" w:lineRule="auto"/>
        <w:ind w:left="137" w:right="220" w:firstLine="480"/>
        <w:jc w:val="both"/>
      </w:pPr>
      <w:r>
        <w:rPr/>
        <w:t>（3）独立董事报酬按每月 5000</w:t>
      </w:r>
      <w:r>
        <w:rPr>
          <w:spacing w:val="-31"/>
        </w:rPr>
        <w:t> </w:t>
      </w:r>
      <w:r>
        <w:rPr>
          <w:spacing w:val="-6"/>
        </w:rPr>
        <w:t>元支付（税后），独立董事出席公司董事会和股</w:t>
      </w:r>
      <w:r>
        <w:rPr/>
        <w:t> 东大会的差旅费及按《公司章程》规定行使相关职权所需的合理费用据实报销。</w:t>
      </w:r>
    </w:p>
    <w:p>
      <w:pPr>
        <w:spacing w:before="36"/>
        <w:ind w:left="617" w:right="203" w:firstLine="0"/>
        <w:jc w:val="left"/>
        <w:rPr>
          <w:rFonts w:ascii="宋体" w:hAnsi="宋体" w:cs="宋体" w:eastAsia="宋体" w:hint="default"/>
          <w:sz w:val="24"/>
          <w:szCs w:val="24"/>
        </w:rPr>
      </w:pPr>
      <w:r>
        <w:rPr>
          <w:rFonts w:ascii="宋体" w:hAnsi="宋体" w:cs="宋体" w:eastAsia="宋体" w:hint="default"/>
          <w:b/>
          <w:bCs/>
          <w:sz w:val="24"/>
          <w:szCs w:val="24"/>
        </w:rPr>
        <w:t>（二）公司员工情况</w:t>
      </w:r>
      <w:r>
        <w:rPr>
          <w:rFonts w:ascii="宋体" w:hAnsi="宋体" w:cs="宋体" w:eastAsia="宋体" w:hint="default"/>
          <w:sz w:val="24"/>
          <w:szCs w:val="24"/>
        </w:rPr>
      </w:r>
    </w:p>
    <w:p>
      <w:pPr>
        <w:spacing w:line="240" w:lineRule="auto" w:before="6"/>
        <w:rPr>
          <w:rFonts w:ascii="宋体" w:hAnsi="宋体" w:cs="宋体" w:eastAsia="宋体" w:hint="default"/>
          <w:b/>
          <w:bCs/>
          <w:sz w:val="21"/>
          <w:szCs w:val="21"/>
        </w:rPr>
      </w:pPr>
    </w:p>
    <w:p>
      <w:pPr>
        <w:pStyle w:val="Heading3"/>
        <w:spacing w:line="240" w:lineRule="auto" w:before="0"/>
        <w:ind w:left="617" w:right="0"/>
        <w:jc w:val="left"/>
      </w:pPr>
      <w:r>
        <w:rPr/>
        <w:t>1、截止2009年12月31日公司（母公司）从业人员共计72人，公司无离退休职工。</w:t>
      </w:r>
    </w:p>
    <w:p>
      <w:pPr>
        <w:pStyle w:val="Heading3"/>
        <w:spacing w:line="350" w:lineRule="auto" w:before="146"/>
        <w:ind w:left="137" w:right="219" w:firstLine="480"/>
        <w:jc w:val="both"/>
      </w:pPr>
      <w:r>
        <w:rPr/>
        <w:t>2、员工的专业构成：财务人员9人、医药技术人员14人、辅助人员3人，管理人</w:t>
      </w:r>
      <w:r>
        <w:rPr>
          <w:spacing w:val="2"/>
        </w:rPr>
        <w:t> </w:t>
      </w:r>
      <w:r>
        <w:rPr/>
        <w:t>员23人，医药生产员工23人。</w:t>
      </w:r>
    </w:p>
    <w:p>
      <w:pPr>
        <w:pStyle w:val="Heading3"/>
        <w:spacing w:line="352" w:lineRule="auto" w:before="35"/>
        <w:ind w:left="137" w:right="217" w:firstLine="480"/>
        <w:jc w:val="both"/>
      </w:pPr>
      <w:r>
        <w:rPr/>
        <w:t>3、员工的教育程度构成：大专以上学历共计46人，占公司总人数的63.89%，其 中大学本科以上学历28人，占公司总人数的38.89%。</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76"/>
        <w:ind w:left="4451" w:right="4533" w:firstLine="0"/>
        <w:jc w:val="center"/>
        <w:rPr>
          <w:rFonts w:ascii="Times New Roman" w:hAnsi="Times New Roman" w:cs="Times New Roman" w:eastAsia="Times New Roman" w:hint="default"/>
          <w:sz w:val="18"/>
          <w:szCs w:val="18"/>
        </w:rPr>
      </w:pPr>
      <w:r>
        <w:rPr>
          <w:rFonts w:ascii="Times New Roman"/>
          <w:sz w:val="18"/>
        </w:rPr>
        <w:t>13</w:t>
      </w:r>
    </w:p>
    <w:p>
      <w:pPr>
        <w:spacing w:after="0"/>
        <w:jc w:val="center"/>
        <w:rPr>
          <w:rFonts w:ascii="Times New Roman" w:hAnsi="Times New Roman" w:cs="Times New Roman" w:eastAsia="Times New Roman" w:hint="default"/>
          <w:sz w:val="18"/>
          <w:szCs w:val="18"/>
        </w:rPr>
        <w:sectPr>
          <w:pgSz w:w="11910" w:h="16840"/>
          <w:pgMar w:top="640" w:bottom="280" w:left="1620" w:right="1080"/>
        </w:sectPr>
      </w:pPr>
    </w:p>
    <w:p>
      <w:pPr>
        <w:spacing w:line="240" w:lineRule="auto" w:before="11"/>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top="640" w:bottom="280" w:left="1160" w:right="1640"/>
        </w:sectPr>
      </w:pPr>
    </w:p>
    <w:p>
      <w:pPr>
        <w:spacing w:line="240" w:lineRule="auto" w:before="8"/>
        <w:rPr>
          <w:rFonts w:ascii="Times New Roman" w:hAnsi="Times New Roman" w:cs="Times New Roman" w:eastAsia="Times New Roman" w:hint="default"/>
          <w:sz w:val="41"/>
          <w:szCs w:val="41"/>
        </w:rPr>
      </w:pPr>
    </w:p>
    <w:p>
      <w:pPr>
        <w:pStyle w:val="Heading1"/>
        <w:spacing w:line="240" w:lineRule="auto"/>
        <w:ind w:left="706" w:right="0"/>
        <w:jc w:val="left"/>
        <w:rPr>
          <w:b w:val="0"/>
          <w:bCs w:val="0"/>
        </w:rPr>
      </w:pPr>
      <w:r>
        <w:rPr/>
        <w:pict>
          <v:shape style="position:absolute;margin-left:65.160004pt;margin-top:-35.428162pt;width:95.052pt;height:25.5pt;mso-position-horizontal-relative:page;mso-position-vertical-relative:paragraph;z-index:1840" type="#_x0000_t75" stroked="false">
            <v:imagedata r:id="rId5" o:title=""/>
          </v:shape>
        </w:pict>
      </w:r>
      <w:r>
        <w:rPr/>
        <w:pict>
          <v:group style="position:absolute;margin-left:63.720001pt;margin-top:-5.488147pt;width:427.2pt;height:.1pt;mso-position-horizontal-relative:page;mso-position-vertical-relative:paragraph;z-index:1864" coordorigin="1274,-110" coordsize="8544,2">
            <v:shape style="position:absolute;left:1274;top:-110;width:8544;height:2" coordorigin="1274,-110" coordsize="8544,0" path="m1274,-110l9818,-110e" filled="false" stroked="true" strokeweight=".71997pt" strokecolor="#000000">
              <v:path arrowok="t"/>
            </v:shape>
            <w10:wrap type="none"/>
          </v:group>
        </w:pict>
      </w:r>
      <w:bookmarkStart w:name="_TOC_250006" w:id="5"/>
      <w:r>
        <w:rPr>
          <w:w w:val="95"/>
        </w:rPr>
        <w:t>五、公司治理结构</w:t>
      </w:r>
      <w:bookmarkEnd w:id="5"/>
      <w:r>
        <w:rPr>
          <w:b w:val="0"/>
          <w:bCs w:val="0"/>
        </w:rPr>
      </w:r>
    </w:p>
    <w:p>
      <w:pPr>
        <w:pStyle w:val="Heading4"/>
        <w:tabs>
          <w:tab w:pos="3456" w:val="left" w:leader="none"/>
        </w:tabs>
        <w:spacing w:line="240" w:lineRule="auto"/>
        <w:ind w:left="143" w:right="0"/>
        <w:jc w:val="left"/>
        <w:rPr>
          <w:b w:val="0"/>
          <w:bCs w:val="0"/>
        </w:rPr>
      </w:pPr>
      <w:r>
        <w:rPr>
          <w:b w:val="0"/>
          <w:bCs w:val="0"/>
        </w:rPr>
        <w:br w:type="column"/>
      </w:r>
      <w:r>
        <w:rPr/>
        <w:t>2009</w:t>
      </w:r>
      <w:r>
        <w:rPr>
          <w:spacing w:val="-63"/>
        </w:rPr>
        <w:t> </w:t>
      </w:r>
      <w:r>
        <w:rPr/>
        <w:t>年年度报告正文</w:t>
        <w:tab/>
        <w:t>证券代码</w:t>
      </w:r>
      <w:r>
        <w:rPr>
          <w:spacing w:val="-63"/>
        </w:rPr>
        <w:t> </w:t>
      </w:r>
      <w:r>
        <w:rPr/>
        <w:t>000607</w:t>
      </w:r>
      <w:r>
        <w:rPr>
          <w:b w:val="0"/>
          <w:bCs w:val="0"/>
        </w:rPr>
      </w:r>
    </w:p>
    <w:p>
      <w:pPr>
        <w:spacing w:after="0" w:line="240" w:lineRule="auto"/>
        <w:jc w:val="left"/>
        <w:sectPr>
          <w:type w:val="continuous"/>
          <w:pgSz w:w="11910" w:h="16840"/>
          <w:pgMar w:top="780" w:bottom="280" w:left="1160" w:right="1640"/>
          <w:cols w:num="2" w:equalWidth="0">
            <w:col w:w="2948" w:space="566"/>
            <w:col w:w="5596"/>
          </w:cols>
        </w:sectPr>
      </w:pPr>
    </w:p>
    <w:p>
      <w:pPr>
        <w:spacing w:line="240" w:lineRule="auto" w:before="3"/>
        <w:rPr>
          <w:rFonts w:ascii="黑体" w:hAnsi="黑体" w:cs="黑体" w:eastAsia="黑体" w:hint="default"/>
          <w:b/>
          <w:bCs/>
          <w:sz w:val="12"/>
          <w:szCs w:val="12"/>
        </w:rPr>
      </w:pPr>
    </w:p>
    <w:p>
      <w:pPr>
        <w:spacing w:line="357" w:lineRule="auto" w:before="26"/>
        <w:ind w:left="624" w:right="108" w:firstLine="0"/>
        <w:jc w:val="left"/>
        <w:rPr>
          <w:rFonts w:ascii="宋体" w:hAnsi="宋体" w:cs="宋体" w:eastAsia="宋体" w:hint="default"/>
          <w:sz w:val="24"/>
          <w:szCs w:val="24"/>
        </w:rPr>
      </w:pPr>
      <w:r>
        <w:rPr>
          <w:rFonts w:ascii="宋体" w:hAnsi="宋体" w:cs="宋体" w:eastAsia="宋体" w:hint="default"/>
          <w:b/>
          <w:bCs/>
          <w:sz w:val="24"/>
          <w:szCs w:val="24"/>
        </w:rPr>
        <w:t>（一）公司治理状况</w:t>
      </w:r>
      <w:r>
        <w:rPr>
          <w:rFonts w:ascii="宋体" w:hAnsi="宋体" w:cs="宋体" w:eastAsia="宋体" w:hint="default"/>
          <w:b/>
          <w:bCs/>
          <w:w w:val="99"/>
          <w:sz w:val="24"/>
          <w:szCs w:val="24"/>
        </w:rPr>
        <w:t> </w:t>
      </w:r>
      <w:r>
        <w:rPr>
          <w:rFonts w:ascii="宋体" w:hAnsi="宋体" w:cs="宋体" w:eastAsia="宋体" w:hint="default"/>
          <w:spacing w:val="-8"/>
          <w:sz w:val="24"/>
          <w:szCs w:val="24"/>
        </w:rPr>
        <w:t>公司股东大会、董事会、监事会、经理层严格按照《公司法》、《证券法》、《上</w:t>
      </w:r>
    </w:p>
    <w:p>
      <w:pPr>
        <w:pStyle w:val="Heading3"/>
        <w:spacing w:line="357" w:lineRule="auto"/>
        <w:ind w:right="97"/>
        <w:jc w:val="left"/>
      </w:pPr>
      <w:r>
        <w:rPr>
          <w:spacing w:val="-1"/>
        </w:rPr>
        <w:t>市公司治理准则》等法律法规及相关规范性文件要求规范运作、不断完善公司治理结</w:t>
      </w:r>
      <w:r>
        <w:rPr/>
        <w:t> 构，建立健全内部管理和控制制度，持续深入开展公司治理活动。</w:t>
      </w:r>
    </w:p>
    <w:p>
      <w:pPr>
        <w:pStyle w:val="Heading3"/>
        <w:spacing w:line="357" w:lineRule="auto"/>
        <w:ind w:right="115" w:firstLine="480"/>
        <w:jc w:val="both"/>
      </w:pPr>
      <w:r>
        <w:rPr>
          <w:spacing w:val="-2"/>
        </w:rPr>
        <w:t>根据《深圳证券交易所股票上市规则》和《关于修改上市公司现金分红若干规定</w:t>
      </w:r>
      <w:r>
        <w:rPr/>
        <w:t> </w:t>
      </w:r>
      <w:r>
        <w:rPr>
          <w:spacing w:val="-4"/>
        </w:rPr>
        <w:t>的决定》（中国证监会令[2008]57</w:t>
      </w:r>
      <w:r>
        <w:rPr>
          <w:spacing w:val="-50"/>
        </w:rPr>
        <w:t> </w:t>
      </w:r>
      <w:r>
        <w:rPr>
          <w:spacing w:val="-12"/>
        </w:rPr>
        <w:t>号）的规定及要求，结合公司实际，报告期内对《公</w:t>
      </w:r>
      <w:r>
        <w:rPr/>
        <w:t> 司章程》进行了修订；根据中国证监会《关于做好上市公司 2009</w:t>
      </w:r>
      <w:r>
        <w:rPr>
          <w:spacing w:val="-36"/>
        </w:rPr>
        <w:t> </w:t>
      </w:r>
      <w:r>
        <w:rPr/>
        <w:t>年年度报告及相关</w:t>
      </w:r>
      <w:r>
        <w:rPr/>
        <w:t> </w:t>
      </w:r>
      <w:r>
        <w:rPr>
          <w:spacing w:val="-3"/>
        </w:rPr>
        <w:t>工作的公告》（[2009]34</w:t>
      </w:r>
      <w:r>
        <w:rPr>
          <w:spacing w:val="-40"/>
        </w:rPr>
        <w:t> </w:t>
      </w:r>
      <w:r>
        <w:rPr>
          <w:spacing w:val="-3"/>
        </w:rPr>
        <w:t>号）的要求，公司制定了《年报信息披露重大差错责任追究</w:t>
      </w:r>
      <w:r>
        <w:rPr>
          <w:spacing w:val="-117"/>
        </w:rPr>
        <w:t> </w:t>
      </w:r>
      <w:r>
        <w:rPr>
          <w:spacing w:val="-117"/>
        </w:rPr>
      </w:r>
      <w:r>
        <w:rPr>
          <w:spacing w:val="-2"/>
        </w:rPr>
        <w:t>制度》，并在此次年报的制作披露过程中严格执行。目前，公司的法人治理结构状况</w:t>
      </w:r>
      <w:r>
        <w:rPr>
          <w:spacing w:val="-116"/>
        </w:rPr>
        <w:t> </w:t>
      </w:r>
      <w:r>
        <w:rPr>
          <w:spacing w:val="-116"/>
        </w:rPr>
      </w:r>
      <w:r>
        <w:rPr/>
        <w:t>基本达到了中国证监会发布的上市公司治理规范性文件的要求。</w:t>
      </w:r>
    </w:p>
    <w:p>
      <w:pPr>
        <w:pStyle w:val="Heading3"/>
        <w:spacing w:line="357" w:lineRule="auto"/>
        <w:ind w:right="111" w:firstLine="480"/>
        <w:jc w:val="both"/>
      </w:pPr>
      <w:r>
        <w:rPr>
          <w:spacing w:val="-5"/>
        </w:rPr>
        <w:t>1、股东与股东大会：公司按照《公司章程》、《公司股东大会议事规则》和《上</w:t>
      </w:r>
      <w:r>
        <w:rPr>
          <w:spacing w:val="2"/>
        </w:rPr>
        <w:t> </w:t>
      </w:r>
      <w:r>
        <w:rPr>
          <w:spacing w:val="-2"/>
        </w:rPr>
        <w:t>市公司股东大会规范意见》的规定，召集、召开股东大会，平等对待所有股东，保障</w:t>
      </w:r>
      <w:r>
        <w:rPr>
          <w:spacing w:val="-86"/>
        </w:rPr>
        <w:t> </w:t>
      </w:r>
      <w:r>
        <w:rPr>
          <w:spacing w:val="-86"/>
        </w:rPr>
      </w:r>
      <w:r>
        <w:rPr/>
        <w:t>股东的权利。公司的关联交易公平合理，没有损害股东的利益。</w:t>
      </w:r>
    </w:p>
    <w:p>
      <w:pPr>
        <w:pStyle w:val="Heading3"/>
        <w:spacing w:line="357" w:lineRule="auto"/>
        <w:ind w:right="112" w:firstLine="480"/>
        <w:jc w:val="both"/>
      </w:pPr>
      <w:r>
        <w:rPr/>
        <w:t>2、控股股东与公司：公司独立开展生产经营活动，具有独立完整的业务及自主</w:t>
      </w:r>
      <w:r>
        <w:rPr>
          <w:spacing w:val="2"/>
        </w:rPr>
        <w:t> </w:t>
      </w:r>
      <w:r>
        <w:rPr>
          <w:spacing w:val="-2"/>
        </w:rPr>
        <w:t>经营能力。在人员、资产、财务、业务、机构等方面与控股股东做到了“五分开”，</w:t>
      </w:r>
      <w:r>
        <w:rPr>
          <w:spacing w:val="-97"/>
        </w:rPr>
        <w:t> </w:t>
      </w:r>
      <w:r>
        <w:rPr>
          <w:spacing w:val="-97"/>
        </w:rPr>
      </w:r>
      <w:r>
        <w:rPr>
          <w:spacing w:val="-2"/>
        </w:rPr>
        <w:t>独立核算，独立承担责任和风险。公司董事会、监事会、经理层及其它内部机构独立</w:t>
      </w:r>
      <w:r>
        <w:rPr>
          <w:spacing w:val="-85"/>
        </w:rPr>
        <w:t> </w:t>
      </w:r>
      <w:r>
        <w:rPr>
          <w:spacing w:val="-85"/>
        </w:rPr>
      </w:r>
      <w:r>
        <w:rPr/>
        <w:t>运作。控股股东能依法行使出资人权利，无干预上市公司决策和生产经营的行为。</w:t>
      </w:r>
    </w:p>
    <w:p>
      <w:pPr>
        <w:pStyle w:val="Heading3"/>
        <w:spacing w:line="357" w:lineRule="auto"/>
        <w:ind w:right="113" w:firstLine="480"/>
        <w:jc w:val="both"/>
      </w:pPr>
      <w:r>
        <w:rPr/>
        <w:t>3、董事与董事会：公司董事候选人的提名和选举程序符合《公司章程》和《公</w:t>
      </w:r>
      <w:r>
        <w:rPr>
          <w:spacing w:val="2"/>
        </w:rPr>
        <w:t> </w:t>
      </w:r>
      <w:r>
        <w:rPr>
          <w:spacing w:val="-2"/>
        </w:rPr>
        <w:t>司董事会议事规则》的规定。董事会的人数及人员构成符合法律、法规的要求。董事</w:t>
      </w:r>
      <w:r>
        <w:rPr>
          <w:spacing w:val="-84"/>
        </w:rPr>
        <w:t> </w:t>
      </w:r>
      <w:r>
        <w:rPr>
          <w:spacing w:val="-84"/>
        </w:rPr>
      </w:r>
      <w:r>
        <w:rPr/>
        <w:t>会运作规范，权责明确，董事诚信、勤勉地履行了职责。</w:t>
      </w:r>
    </w:p>
    <w:p>
      <w:pPr>
        <w:pStyle w:val="Heading3"/>
        <w:spacing w:line="357" w:lineRule="auto"/>
        <w:ind w:right="112" w:firstLine="480"/>
        <w:jc w:val="both"/>
      </w:pPr>
      <w:r>
        <w:rPr/>
        <w:t>4、监事与监事会：公司监事会的人数及人员构成符合相关法律法规的要求。公</w:t>
      </w:r>
      <w:r>
        <w:rPr>
          <w:spacing w:val="2"/>
        </w:rPr>
        <w:t> </w:t>
      </w:r>
      <w:r>
        <w:rPr>
          <w:spacing w:val="-8"/>
        </w:rPr>
        <w:t>司监事根据《公司章程》、《监事会议事规则》，认真履行职责，独立行使了监督、检</w:t>
      </w:r>
      <w:r>
        <w:rPr>
          <w:spacing w:val="-102"/>
        </w:rPr>
        <w:t> </w:t>
      </w:r>
      <w:r>
        <w:rPr>
          <w:spacing w:val="-102"/>
        </w:rPr>
      </w:r>
      <w:r>
        <w:rPr/>
        <w:t>查职能。</w:t>
      </w:r>
    </w:p>
    <w:p>
      <w:pPr>
        <w:pStyle w:val="Heading3"/>
        <w:spacing w:line="357" w:lineRule="auto"/>
        <w:ind w:right="113" w:firstLine="480"/>
        <w:jc w:val="both"/>
      </w:pPr>
      <w:r>
        <w:rPr/>
        <w:t>5、利益相关者：公司能够尊重和维护银行及其它债权人、员工、客户、社区等</w:t>
      </w:r>
      <w:r>
        <w:rPr>
          <w:spacing w:val="2"/>
        </w:rPr>
        <w:t> </w:t>
      </w:r>
      <w:r>
        <w:rPr/>
        <w:t>利益相关者的合法权益。</w:t>
      </w:r>
    </w:p>
    <w:p>
      <w:pPr>
        <w:pStyle w:val="Heading3"/>
        <w:spacing w:line="357" w:lineRule="auto"/>
        <w:ind w:right="113" w:firstLine="480"/>
        <w:jc w:val="both"/>
      </w:pPr>
      <w:r>
        <w:rPr/>
        <w:t>6、信息披露与透明度：公司能够按法律法规真实、准确、完整、及时地披露有</w:t>
      </w:r>
      <w:r>
        <w:rPr>
          <w:spacing w:val="2"/>
        </w:rPr>
        <w:t> </w:t>
      </w:r>
      <w:r>
        <w:rPr>
          <w:spacing w:val="-1"/>
        </w:rPr>
        <w:t>关信息，接待股东来访和咨询，做好投资者关系管理，使股东和社会公众有平等的机</w:t>
      </w:r>
      <w:r>
        <w:rPr/>
        <w:t> 会获得信息。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76"/>
        <w:ind w:left="4455" w:right="4429" w:firstLine="0"/>
        <w:jc w:val="center"/>
        <w:rPr>
          <w:rFonts w:ascii="Times New Roman" w:hAnsi="Times New Roman" w:cs="Times New Roman" w:eastAsia="Times New Roman" w:hint="default"/>
          <w:sz w:val="18"/>
          <w:szCs w:val="18"/>
        </w:rPr>
      </w:pPr>
      <w:r>
        <w:rPr>
          <w:rFonts w:ascii="Times New Roman"/>
          <w:sz w:val="18"/>
        </w:rPr>
        <w:t>14</w:t>
      </w:r>
    </w:p>
    <w:p>
      <w:pPr>
        <w:spacing w:after="0"/>
        <w:jc w:val="center"/>
        <w:rPr>
          <w:rFonts w:ascii="Times New Roman" w:hAnsi="Times New Roman" w:cs="Times New Roman" w:eastAsia="Times New Roman" w:hint="default"/>
          <w:sz w:val="18"/>
          <w:szCs w:val="18"/>
        </w:rPr>
        <w:sectPr>
          <w:type w:val="continuous"/>
          <w:pgSz w:w="11910" w:h="16840"/>
          <w:pgMar w:top="780" w:bottom="280" w:left="1160" w:right="1640"/>
        </w:sectPr>
      </w:pPr>
    </w:p>
    <w:p>
      <w:pPr>
        <w:spacing w:line="240" w:lineRule="auto" w:before="11"/>
        <w:rPr>
          <w:rFonts w:ascii="Times New Roman" w:hAnsi="Times New Roman" w:cs="Times New Roman" w:eastAsia="Times New Roman" w:hint="default"/>
          <w:sz w:val="26"/>
          <w:szCs w:val="26"/>
        </w:rPr>
      </w:pPr>
    </w:p>
    <w:p>
      <w:pPr>
        <w:pStyle w:val="Heading4"/>
        <w:tabs>
          <w:tab w:pos="6963" w:val="left" w:leader="none"/>
        </w:tabs>
        <w:spacing w:line="240" w:lineRule="auto"/>
        <w:ind w:left="3650" w:right="86"/>
        <w:jc w:val="left"/>
        <w:rPr>
          <w:b w:val="0"/>
          <w:bCs w:val="0"/>
        </w:rPr>
      </w:pPr>
      <w:r>
        <w:rPr/>
        <w:pict>
          <v:shape style="position:absolute;margin-left:87.900002pt;margin-top:-11.486023pt;width:95.033pt;height:25.5pt;mso-position-horizontal-relative:page;mso-position-vertical-relative:paragraph;z-index:1912"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5"/>
          <w:szCs w:val="5"/>
        </w:rPr>
      </w:pPr>
    </w:p>
    <w:p>
      <w:pPr>
        <w:spacing w:line="357" w:lineRule="auto" w:before="26"/>
        <w:ind w:left="617" w:right="86" w:firstLine="0"/>
        <w:jc w:val="left"/>
        <w:rPr>
          <w:rFonts w:ascii="宋体" w:hAnsi="宋体" w:cs="宋体" w:eastAsia="宋体" w:hint="default"/>
          <w:sz w:val="24"/>
          <w:szCs w:val="24"/>
        </w:rPr>
      </w:pPr>
      <w:r>
        <w:rPr>
          <w:rFonts w:ascii="宋体" w:hAnsi="宋体" w:cs="宋体" w:eastAsia="宋体" w:hint="default"/>
          <w:b/>
          <w:bCs/>
          <w:w w:val="95"/>
          <w:sz w:val="24"/>
          <w:szCs w:val="24"/>
        </w:rPr>
        <w:t>（二）独立董事履职情况以及独立董事相关工作制度的建立健全情况</w:t>
      </w:r>
      <w:r>
        <w:rPr>
          <w:rFonts w:ascii="宋体" w:hAnsi="宋体" w:cs="宋体" w:eastAsia="宋体" w:hint="default"/>
          <w:b/>
          <w:bCs/>
          <w:spacing w:val="104"/>
          <w:w w:val="95"/>
          <w:sz w:val="24"/>
          <w:szCs w:val="24"/>
        </w:rPr>
        <w:t> </w:t>
      </w:r>
      <w:r>
        <w:rPr>
          <w:rFonts w:ascii="宋体" w:hAnsi="宋体" w:cs="宋体" w:eastAsia="宋体" w:hint="default"/>
          <w:b/>
          <w:bCs/>
          <w:spacing w:val="104"/>
          <w:w w:val="95"/>
          <w:sz w:val="24"/>
          <w:szCs w:val="24"/>
        </w:rPr>
      </w:r>
      <w:r>
        <w:rPr>
          <w:rFonts w:ascii="宋体" w:hAnsi="宋体" w:cs="宋体" w:eastAsia="宋体" w:hint="default"/>
          <w:sz w:val="24"/>
          <w:szCs w:val="24"/>
        </w:rPr>
        <w:t>1、独立董事出席董事会的情况</w:t>
      </w:r>
    </w:p>
    <w:p>
      <w:pPr>
        <w:spacing w:line="240" w:lineRule="auto" w:before="10"/>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2056"/>
        <w:gridCol w:w="1733"/>
        <w:gridCol w:w="1298"/>
        <w:gridCol w:w="1300"/>
        <w:gridCol w:w="971"/>
        <w:gridCol w:w="1463"/>
      </w:tblGrid>
      <w:tr>
        <w:trPr>
          <w:trHeight w:val="773"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1"/>
              <w:jc w:val="center"/>
              <w:rPr>
                <w:rFonts w:ascii="宋体" w:hAnsi="宋体" w:cs="宋体" w:eastAsia="宋体" w:hint="default"/>
                <w:sz w:val="24"/>
                <w:szCs w:val="24"/>
              </w:rPr>
            </w:pPr>
            <w:r>
              <w:rPr>
                <w:rFonts w:ascii="宋体" w:hAnsi="宋体" w:cs="宋体" w:eastAsia="宋体" w:hint="default"/>
                <w:sz w:val="24"/>
                <w:szCs w:val="24"/>
              </w:rPr>
              <w:t>独董姓名</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60"/>
              <w:ind w:left="260" w:right="140" w:hanging="120"/>
              <w:jc w:val="left"/>
              <w:rPr>
                <w:rFonts w:ascii="宋体" w:hAnsi="宋体" w:cs="宋体" w:eastAsia="宋体" w:hint="default"/>
                <w:sz w:val="24"/>
                <w:szCs w:val="24"/>
              </w:rPr>
            </w:pPr>
            <w:r>
              <w:rPr>
                <w:rFonts w:ascii="宋体" w:hAnsi="宋体" w:cs="宋体" w:eastAsia="宋体" w:hint="default"/>
                <w:sz w:val="24"/>
                <w:szCs w:val="24"/>
              </w:rPr>
              <w:t>本年度应参加 董事会次数</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9"/>
              <w:ind w:right="0"/>
              <w:jc w:val="center"/>
              <w:rPr>
                <w:rFonts w:ascii="宋体" w:hAnsi="宋体" w:cs="宋体" w:eastAsia="宋体" w:hint="default"/>
                <w:sz w:val="24"/>
                <w:szCs w:val="24"/>
              </w:rPr>
            </w:pPr>
            <w:r>
              <w:rPr>
                <w:rFonts w:ascii="宋体" w:hAnsi="宋体" w:cs="宋体" w:eastAsia="宋体" w:hint="default"/>
                <w:sz w:val="24"/>
                <w:szCs w:val="24"/>
              </w:rPr>
              <w:t>亲自出席</w:t>
            </w:r>
          </w:p>
          <w:p>
            <w:pPr>
              <w:pStyle w:val="TableParagraph"/>
              <w:spacing w:line="313" w:lineRule="exact"/>
              <w:ind w:right="0"/>
              <w:jc w:val="center"/>
              <w:rPr>
                <w:rFonts w:ascii="宋体" w:hAnsi="宋体" w:cs="宋体" w:eastAsia="宋体" w:hint="default"/>
                <w:sz w:val="24"/>
                <w:szCs w:val="24"/>
              </w:rPr>
            </w:pPr>
            <w:r>
              <w:rPr>
                <w:rFonts w:ascii="宋体" w:hAnsi="宋体" w:cs="宋体" w:eastAsia="宋体" w:hint="default"/>
                <w:sz w:val="24"/>
                <w:szCs w:val="24"/>
              </w:rPr>
              <w:t>（次）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9"/>
              <w:ind w:right="1"/>
              <w:jc w:val="center"/>
              <w:rPr>
                <w:rFonts w:ascii="宋体" w:hAnsi="宋体" w:cs="宋体" w:eastAsia="宋体" w:hint="default"/>
                <w:sz w:val="24"/>
                <w:szCs w:val="24"/>
              </w:rPr>
            </w:pPr>
            <w:r>
              <w:rPr>
                <w:rFonts w:ascii="宋体" w:hAnsi="宋体" w:cs="宋体" w:eastAsia="宋体" w:hint="default"/>
                <w:sz w:val="24"/>
                <w:szCs w:val="24"/>
              </w:rPr>
              <w:t>委托出席</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（次）</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29"/>
              <w:ind w:right="1"/>
              <w:jc w:val="center"/>
              <w:rPr>
                <w:rFonts w:ascii="宋体" w:hAnsi="宋体" w:cs="宋体" w:eastAsia="宋体" w:hint="default"/>
                <w:sz w:val="24"/>
                <w:szCs w:val="24"/>
              </w:rPr>
            </w:pPr>
            <w:r>
              <w:rPr>
                <w:rFonts w:ascii="宋体" w:hAnsi="宋体" w:cs="宋体" w:eastAsia="宋体" w:hint="default"/>
                <w:sz w:val="24"/>
                <w:szCs w:val="24"/>
              </w:rPr>
              <w:t>缺席</w:t>
            </w:r>
          </w:p>
          <w:p>
            <w:pPr>
              <w:pStyle w:val="TableParagraph"/>
              <w:spacing w:line="313" w:lineRule="exact"/>
              <w:ind w:right="1"/>
              <w:jc w:val="center"/>
              <w:rPr>
                <w:rFonts w:ascii="宋体" w:hAnsi="宋体" w:cs="宋体" w:eastAsia="宋体" w:hint="default"/>
                <w:sz w:val="24"/>
                <w:szCs w:val="24"/>
              </w:rPr>
            </w:pPr>
            <w:r>
              <w:rPr>
                <w:rFonts w:ascii="宋体" w:hAnsi="宋体" w:cs="宋体" w:eastAsia="宋体" w:hint="default"/>
                <w:sz w:val="24"/>
                <w:szCs w:val="24"/>
              </w:rPr>
              <w:t>（次）</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60"/>
              <w:ind w:left="125" w:right="125" w:firstLine="120"/>
              <w:jc w:val="left"/>
              <w:rPr>
                <w:rFonts w:ascii="宋体" w:hAnsi="宋体" w:cs="宋体" w:eastAsia="宋体" w:hint="default"/>
                <w:sz w:val="24"/>
                <w:szCs w:val="24"/>
              </w:rPr>
            </w:pPr>
            <w:r>
              <w:rPr>
                <w:rFonts w:ascii="宋体" w:hAnsi="宋体" w:cs="宋体" w:eastAsia="宋体" w:hint="default"/>
                <w:sz w:val="24"/>
                <w:szCs w:val="24"/>
              </w:rPr>
              <w:t>发表独立 意见（次）</w:t>
            </w:r>
          </w:p>
        </w:tc>
      </w:tr>
      <w:tr>
        <w:trPr>
          <w:trHeight w:val="454"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辛金国</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4" w:right="0"/>
              <w:jc w:val="left"/>
              <w:rPr>
                <w:rFonts w:ascii="宋体" w:hAnsi="宋体" w:cs="宋体" w:eastAsia="宋体" w:hint="default"/>
                <w:sz w:val="24"/>
                <w:szCs w:val="24"/>
              </w:rPr>
            </w:pPr>
            <w:r>
              <w:rPr>
                <w:rFonts w:ascii="宋体"/>
                <w:sz w:val="24"/>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2</w:t>
            </w:r>
          </w:p>
        </w:tc>
      </w:tr>
      <w:tr>
        <w:trPr>
          <w:trHeight w:val="454"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甘为民</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4" w:right="0"/>
              <w:jc w:val="left"/>
              <w:rPr>
                <w:rFonts w:ascii="宋体" w:hAnsi="宋体" w:cs="宋体" w:eastAsia="宋体" w:hint="default"/>
                <w:sz w:val="24"/>
                <w:szCs w:val="24"/>
              </w:rPr>
            </w:pPr>
            <w:r>
              <w:rPr>
                <w:rFonts w:ascii="宋体"/>
                <w:sz w:val="24"/>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2</w:t>
            </w:r>
          </w:p>
        </w:tc>
      </w:tr>
      <w:tr>
        <w:trPr>
          <w:trHeight w:val="455"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张</w:t>
              <w:tab/>
              <w:t>鹏</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5</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4" w:right="0"/>
              <w:jc w:val="left"/>
              <w:rPr>
                <w:rFonts w:ascii="宋体" w:hAnsi="宋体" w:cs="宋体" w:eastAsia="宋体" w:hint="default"/>
                <w:sz w:val="24"/>
                <w:szCs w:val="24"/>
              </w:rPr>
            </w:pPr>
            <w:r>
              <w:rPr>
                <w:rFonts w:ascii="宋体"/>
                <w:sz w:val="24"/>
              </w:rPr>
              <w:t>1</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2</w:t>
            </w:r>
          </w:p>
        </w:tc>
      </w:tr>
      <w:tr>
        <w:trPr>
          <w:trHeight w:val="454"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0" w:right="0"/>
              <w:jc w:val="center"/>
              <w:rPr>
                <w:rFonts w:ascii="宋体" w:hAnsi="宋体" w:cs="宋体" w:eastAsia="宋体" w:hint="default"/>
                <w:sz w:val="24"/>
                <w:szCs w:val="24"/>
              </w:rPr>
            </w:pPr>
            <w:r>
              <w:rPr>
                <w:rFonts w:ascii="宋体" w:hAnsi="宋体" w:cs="宋体" w:eastAsia="宋体" w:hint="default"/>
                <w:sz w:val="24"/>
                <w:szCs w:val="24"/>
              </w:rPr>
              <w:t>吴晓求（已离任）</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4" w:right="0"/>
              <w:jc w:val="left"/>
              <w:rPr>
                <w:rFonts w:ascii="宋体" w:hAnsi="宋体" w:cs="宋体" w:eastAsia="宋体" w:hint="default"/>
                <w:sz w:val="24"/>
                <w:szCs w:val="24"/>
              </w:rPr>
            </w:pPr>
            <w:r>
              <w:rPr>
                <w:rFonts w:ascii="宋体"/>
                <w:sz w:val="24"/>
              </w:rPr>
              <w:t>0</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2</w:t>
            </w:r>
          </w:p>
        </w:tc>
      </w:tr>
      <w:tr>
        <w:trPr>
          <w:trHeight w:val="454"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0" w:right="0"/>
              <w:jc w:val="center"/>
              <w:rPr>
                <w:rFonts w:ascii="宋体" w:hAnsi="宋体" w:cs="宋体" w:eastAsia="宋体" w:hint="default"/>
                <w:sz w:val="24"/>
                <w:szCs w:val="24"/>
              </w:rPr>
            </w:pPr>
            <w:r>
              <w:rPr>
                <w:rFonts w:ascii="宋体" w:hAnsi="宋体" w:cs="宋体" w:eastAsia="宋体" w:hint="default"/>
                <w:sz w:val="24"/>
                <w:szCs w:val="24"/>
              </w:rPr>
              <w:t>钟朋荣（已离任）</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4" w:right="0"/>
              <w:jc w:val="left"/>
              <w:rPr>
                <w:rFonts w:ascii="宋体" w:hAnsi="宋体" w:cs="宋体" w:eastAsia="宋体" w:hint="default"/>
                <w:sz w:val="24"/>
                <w:szCs w:val="24"/>
              </w:rPr>
            </w:pPr>
            <w:r>
              <w:rPr>
                <w:rFonts w:ascii="宋体"/>
                <w:sz w:val="24"/>
              </w:rPr>
              <w:t>1</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2</w:t>
            </w:r>
          </w:p>
        </w:tc>
      </w:tr>
      <w:tr>
        <w:trPr>
          <w:trHeight w:val="455" w:hRule="exact"/>
        </w:trPr>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80" w:right="0"/>
              <w:jc w:val="center"/>
              <w:rPr>
                <w:rFonts w:ascii="宋体" w:hAnsi="宋体" w:cs="宋体" w:eastAsia="宋体" w:hint="default"/>
                <w:sz w:val="24"/>
                <w:szCs w:val="24"/>
              </w:rPr>
            </w:pPr>
            <w:r>
              <w:rPr>
                <w:rFonts w:ascii="宋体" w:hAnsi="宋体" w:cs="宋体" w:eastAsia="宋体" w:hint="default"/>
                <w:sz w:val="24"/>
                <w:szCs w:val="24"/>
              </w:rPr>
              <w:t>王瑞平（已离任）</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sz w:val="24"/>
              </w:rPr>
              <w:t>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584" w:right="0"/>
              <w:jc w:val="left"/>
              <w:rPr>
                <w:rFonts w:ascii="宋体" w:hAnsi="宋体" w:cs="宋体" w:eastAsia="宋体" w:hint="default"/>
                <w:sz w:val="24"/>
                <w:szCs w:val="24"/>
              </w:rPr>
            </w:pPr>
            <w:r>
              <w:rPr>
                <w:rFonts w:ascii="宋体"/>
                <w:sz w:val="24"/>
              </w:rPr>
              <w:t>1</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
              <w:jc w:val="center"/>
              <w:rPr>
                <w:rFonts w:ascii="宋体" w:hAnsi="宋体" w:cs="宋体" w:eastAsia="宋体" w:hint="default"/>
                <w:sz w:val="24"/>
                <w:szCs w:val="24"/>
              </w:rPr>
            </w:pPr>
            <w:r>
              <w:rPr>
                <w:rFonts w:ascii="宋体"/>
                <w:sz w:val="24"/>
              </w:rPr>
              <w:t>2</w:t>
            </w:r>
          </w:p>
        </w:tc>
      </w:tr>
    </w:tbl>
    <w:p>
      <w:pPr>
        <w:pStyle w:val="Heading3"/>
        <w:spacing w:line="357" w:lineRule="auto" w:before="81"/>
        <w:ind w:left="138" w:right="141" w:firstLine="480"/>
        <w:jc w:val="both"/>
      </w:pPr>
      <w:r>
        <w:rPr>
          <w:spacing w:val="-2"/>
        </w:rPr>
        <w:t>报告期内，公司独立董事按照《上市公司治理准则》以及公司《独立董事工作制</w:t>
      </w:r>
      <w:r>
        <w:rPr>
          <w:spacing w:val="-1"/>
        </w:rPr>
        <w:t> </w:t>
      </w:r>
      <w:r>
        <w:rPr>
          <w:spacing w:val="-2"/>
        </w:rPr>
        <w:t>度》的要求，出席了报告期内董事会会议，认真审议了董事会各项议题，诚信勤勉地</w:t>
      </w:r>
      <w:r>
        <w:rPr>
          <w:spacing w:val="-116"/>
        </w:rPr>
        <w:t> </w:t>
      </w:r>
      <w:r>
        <w:rPr>
          <w:spacing w:val="-116"/>
        </w:rPr>
      </w:r>
      <w:r>
        <w:rPr>
          <w:spacing w:val="-2"/>
        </w:rPr>
        <w:t>履行职责，对公司的关联交易、定期报告、重大事项、内部控制自我评价等发表了专</w:t>
      </w:r>
      <w:r>
        <w:rPr>
          <w:spacing w:val="-116"/>
        </w:rPr>
        <w:t> </w:t>
      </w:r>
      <w:r>
        <w:rPr>
          <w:spacing w:val="-116"/>
        </w:rPr>
      </w:r>
      <w:r>
        <w:rPr>
          <w:spacing w:val="-1"/>
        </w:rPr>
        <w:t>业意见，提高了董事会决策客观性，维护了公司及中小股东的合法权益，对公司的健</w:t>
      </w:r>
      <w:r>
        <w:rPr/>
        <w:t> 康发展起到了积极作用。</w:t>
      </w:r>
    </w:p>
    <w:p>
      <w:pPr>
        <w:pStyle w:val="Heading3"/>
        <w:spacing w:line="357" w:lineRule="auto"/>
        <w:ind w:left="618" w:right="86"/>
        <w:jc w:val="left"/>
      </w:pPr>
      <w:r>
        <w:rPr/>
        <w:t>2、独立董事在报告期内对公司有关事项提出异议的情况 </w:t>
      </w:r>
      <w:r>
        <w:rPr>
          <w:spacing w:val="-2"/>
        </w:rPr>
        <w:t>报告期内，公司各位独立董事没有对公司董事会议案及其他非董事会议案事项提</w:t>
      </w:r>
    </w:p>
    <w:p>
      <w:pPr>
        <w:pStyle w:val="Heading3"/>
        <w:spacing w:line="240" w:lineRule="auto"/>
        <w:ind w:left="138" w:right="0"/>
        <w:jc w:val="both"/>
      </w:pPr>
      <w:r>
        <w:rPr/>
        <w:t>出异议。</w:t>
      </w:r>
    </w:p>
    <w:p>
      <w:pPr>
        <w:pStyle w:val="Heading3"/>
        <w:spacing w:line="357" w:lineRule="auto" w:before="154"/>
        <w:ind w:left="618" w:right="86"/>
        <w:jc w:val="left"/>
      </w:pPr>
      <w:r>
        <w:rPr/>
        <w:t>3、独立董事相关工作制度的建立健全情况 公司已根据中国证监会颁布的《关于在上市公司建立独立董事制度的指导意见》</w:t>
      </w:r>
    </w:p>
    <w:p>
      <w:pPr>
        <w:pStyle w:val="Heading3"/>
        <w:spacing w:line="357" w:lineRule="auto"/>
        <w:ind w:left="138" w:right="140"/>
        <w:jc w:val="both"/>
      </w:pPr>
      <w:r>
        <w:rPr>
          <w:spacing w:val="-1"/>
        </w:rPr>
        <w:t>等有关规定，制定了公司《独立董事制度》、《独立董事年报工作制度》。现公司独</w:t>
      </w:r>
      <w:r>
        <w:rPr/>
        <w:t> </w:t>
      </w:r>
      <w:r>
        <w:rPr>
          <w:spacing w:val="-1"/>
        </w:rPr>
        <w:t>立董事的人员构成、任职资格等方面均符合中国证监会各项规定，各项制度均得以有</w:t>
      </w:r>
      <w:r>
        <w:rPr/>
        <w:t> 效执行。</w:t>
      </w:r>
    </w:p>
    <w:p>
      <w:pPr>
        <w:spacing w:line="357" w:lineRule="auto" w:before="36"/>
        <w:ind w:left="617" w:right="86" w:firstLine="0"/>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（三）公司与控股股东在业务、人员、资产、机构、财务上的分开情况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公司与控股股东在业务、人员、资产、机构、财务上已经做到“五分开”，不存</w:t>
      </w:r>
    </w:p>
    <w:p>
      <w:pPr>
        <w:pStyle w:val="Heading3"/>
        <w:spacing w:line="357" w:lineRule="auto"/>
        <w:ind w:left="617" w:right="447" w:hanging="480"/>
        <w:jc w:val="left"/>
      </w:pPr>
      <w:r>
        <w:rPr/>
        <w:t>在向控股股东报送未公开信息等有违公司治理准则的非规范行为。 1、业务方面：公司独立于控股股东，具有独立完整的业务及自主经营能力。</w:t>
      </w:r>
    </w:p>
    <w:p>
      <w:pPr>
        <w:pStyle w:val="Heading3"/>
        <w:spacing w:line="357" w:lineRule="auto"/>
        <w:ind w:left="137" w:right="139" w:firstLine="480"/>
        <w:jc w:val="both"/>
      </w:pPr>
      <w:r>
        <w:rPr/>
        <w:t>2、人员方面：公司在人事、薪酬管理方面进行独立管理；公司与所有员工均签</w:t>
      </w:r>
      <w:r>
        <w:rPr>
          <w:spacing w:val="2"/>
        </w:rPr>
        <w:t> </w:t>
      </w:r>
      <w:r>
        <w:rPr>
          <w:spacing w:val="-2"/>
        </w:rPr>
        <w:t>定了劳动合同，并在公司领取薪酬。公司总裁、副总裁、财务总监、董秘等高级管理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76"/>
        <w:ind w:left="4447" w:right="4449" w:firstLine="0"/>
        <w:jc w:val="center"/>
        <w:rPr>
          <w:rFonts w:ascii="Times New Roman" w:hAnsi="Times New Roman" w:cs="Times New Roman" w:eastAsia="Times New Roman" w:hint="default"/>
          <w:sz w:val="18"/>
          <w:szCs w:val="18"/>
        </w:rPr>
      </w:pPr>
      <w:r>
        <w:rPr>
          <w:rFonts w:ascii="Times New Roman"/>
          <w:sz w:val="18"/>
        </w:rPr>
        <w:t>15</w:t>
      </w:r>
    </w:p>
    <w:p>
      <w:pPr>
        <w:spacing w:after="0"/>
        <w:jc w:val="center"/>
        <w:rPr>
          <w:rFonts w:ascii="Times New Roman" w:hAnsi="Times New Roman" w:cs="Times New Roman" w:eastAsia="Times New Roman" w:hint="default"/>
          <w:sz w:val="18"/>
          <w:szCs w:val="18"/>
        </w:rPr>
        <w:sectPr>
          <w:pgSz w:w="11910" w:h="16840"/>
          <w:pgMar w:top="640" w:bottom="280" w:left="1620" w:right="1160"/>
        </w:sectPr>
      </w:pPr>
    </w:p>
    <w:p>
      <w:pPr>
        <w:spacing w:line="240" w:lineRule="auto" w:before="11"/>
        <w:rPr>
          <w:rFonts w:ascii="Times New Roman" w:hAnsi="Times New Roman" w:cs="Times New Roman" w:eastAsia="Times New Roman" w:hint="default"/>
          <w:sz w:val="26"/>
          <w:szCs w:val="26"/>
        </w:rPr>
      </w:pPr>
    </w:p>
    <w:p>
      <w:pPr>
        <w:pStyle w:val="Heading4"/>
        <w:tabs>
          <w:tab w:pos="6969" w:val="left" w:leader="none"/>
        </w:tabs>
        <w:spacing w:line="240" w:lineRule="auto"/>
        <w:ind w:left="3656" w:right="96"/>
        <w:jc w:val="left"/>
        <w:rPr>
          <w:b w:val="0"/>
          <w:bCs w:val="0"/>
        </w:rPr>
      </w:pPr>
      <w:r>
        <w:rPr/>
        <w:pict>
          <v:shape style="position:absolute;margin-left:65.160004pt;margin-top:-11.486023pt;width:95.052pt;height:25.5pt;mso-position-horizontal-relative:page;mso-position-vertical-relative:paragraph;z-index:1960"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7"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5"/>
          <w:szCs w:val="5"/>
        </w:rPr>
      </w:pPr>
    </w:p>
    <w:p>
      <w:pPr>
        <w:pStyle w:val="Heading3"/>
        <w:spacing w:line="357" w:lineRule="auto" w:before="26"/>
        <w:ind w:right="217"/>
        <w:jc w:val="left"/>
      </w:pPr>
      <w:r>
        <w:rPr>
          <w:spacing w:val="-1"/>
        </w:rPr>
        <w:t>人员专职在公司工作，均在公司领取报酬；控股股东推荐的董事、监事通过合法程序</w:t>
      </w:r>
      <w:r>
        <w:rPr/>
        <w:t> 任职，没有干预公司董事会和股东大会作出的人事任免决定的情况。</w:t>
      </w:r>
    </w:p>
    <w:p>
      <w:pPr>
        <w:pStyle w:val="Heading3"/>
        <w:spacing w:line="357" w:lineRule="auto"/>
        <w:ind w:right="96" w:firstLine="480"/>
        <w:jc w:val="left"/>
      </w:pPr>
      <w:r>
        <w:rPr>
          <w:spacing w:val="-1"/>
        </w:rPr>
        <w:t>3、资产方面：公司拥有独立于控股股东的生产系统、辅助生产系统和配套设施、</w:t>
      </w:r>
      <w:r>
        <w:rPr/>
        <w:t> 土地使用权等；公司拥有独立的采购和销售系统。</w:t>
      </w:r>
    </w:p>
    <w:p>
      <w:pPr>
        <w:pStyle w:val="Heading3"/>
        <w:spacing w:line="357" w:lineRule="auto"/>
        <w:ind w:right="96" w:firstLine="480"/>
        <w:jc w:val="left"/>
      </w:pPr>
      <w:r>
        <w:rPr>
          <w:spacing w:val="-2"/>
        </w:rPr>
        <w:t>4、机构方面：公司具有完整、独立的法人治理结构，公司的股东大会、董事会、</w:t>
      </w:r>
      <w:r>
        <w:rPr/>
        <w:t> 监事会、经营管理机构等均依法设立，并规范运作；不存在与控股股东合署办公的情 况。</w:t>
      </w:r>
    </w:p>
    <w:p>
      <w:pPr>
        <w:pStyle w:val="Heading3"/>
        <w:spacing w:line="357" w:lineRule="auto"/>
        <w:ind w:right="96" w:firstLine="480"/>
        <w:jc w:val="left"/>
      </w:pPr>
      <w:r>
        <w:rPr/>
        <w:t>5、财务方面：公司设有独立的财务部门，并建立了独立的会计核算体系和财务</w:t>
      </w:r>
      <w:r>
        <w:rPr>
          <w:spacing w:val="2"/>
        </w:rPr>
        <w:t> </w:t>
      </w:r>
      <w:r>
        <w:rPr/>
        <w:t>管理制度，开立了独立的银行帐户和税务登记号，独立经营纳税。</w:t>
      </w:r>
    </w:p>
    <w:p>
      <w:pPr>
        <w:spacing w:line="357" w:lineRule="auto" w:before="36"/>
        <w:ind w:left="677" w:right="5287" w:hanging="53"/>
        <w:jc w:val="left"/>
        <w:rPr>
          <w:rFonts w:ascii="宋体" w:hAnsi="宋体" w:cs="宋体" w:eastAsia="宋体" w:hint="default"/>
          <w:sz w:val="24"/>
          <w:szCs w:val="24"/>
        </w:rPr>
      </w:pPr>
      <w:r>
        <w:rPr>
          <w:rFonts w:ascii="宋体" w:hAnsi="宋体" w:cs="宋体" w:eastAsia="宋体" w:hint="default"/>
          <w:b/>
          <w:bCs/>
          <w:sz w:val="24"/>
          <w:szCs w:val="24"/>
        </w:rPr>
        <w:t>（四）公司内部控制自我评价</w:t>
      </w:r>
      <w:r>
        <w:rPr>
          <w:rFonts w:ascii="宋体" w:hAnsi="宋体" w:cs="宋体" w:eastAsia="宋体" w:hint="default"/>
          <w:b/>
          <w:bCs/>
          <w:w w:val="99"/>
          <w:sz w:val="24"/>
          <w:szCs w:val="24"/>
        </w:rPr>
        <w:t> </w:t>
      </w:r>
      <w:r>
        <w:rPr>
          <w:rFonts w:ascii="宋体" w:hAnsi="宋体" w:cs="宋体" w:eastAsia="宋体" w:hint="default"/>
          <w:sz w:val="24"/>
          <w:szCs w:val="24"/>
        </w:rPr>
        <w:t>1、公司内部控制自我评价报告</w:t>
      </w:r>
    </w:p>
    <w:p>
      <w:pPr>
        <w:pStyle w:val="Heading3"/>
        <w:spacing w:line="357" w:lineRule="auto"/>
        <w:ind w:right="96" w:firstLine="532"/>
        <w:jc w:val="left"/>
      </w:pPr>
      <w:r>
        <w:rPr/>
        <w:t>公司第六届董事会第八次会议审议通过了《公司 2009</w:t>
      </w:r>
      <w:r>
        <w:rPr>
          <w:spacing w:val="-90"/>
        </w:rPr>
        <w:t> </w:t>
      </w:r>
      <w:r>
        <w:rPr/>
        <w:t>年度内部控制自我评价报</w:t>
      </w:r>
      <w:r>
        <w:rPr/>
        <w:t> 告》，公司董事会认为：公司现有的内部控制体系已经基本健全，符合国家有关法律</w:t>
      </w:r>
      <w:r>
        <w:rPr>
          <w:spacing w:val="-1"/>
        </w:rPr>
        <w:t> </w:t>
      </w:r>
      <w:r>
        <w:rPr/>
        <w:t>法规和证券监管部门的要求，内部控制制度具有合法性、合理性、有效性和适用性，</w:t>
      </w:r>
      <w:r>
        <w:rPr/>
        <w:t> </w:t>
      </w:r>
      <w:r>
        <w:rPr>
          <w:spacing w:val="-5"/>
        </w:rPr>
        <w:t>能够适应公司管理的要求和发展的需要。公司内部控制活动涵盖法人治理、经营管理、</w:t>
      </w:r>
      <w:r>
        <w:rPr>
          <w:spacing w:val="-86"/>
        </w:rPr>
        <w:t> </w:t>
      </w:r>
      <w:r>
        <w:rPr>
          <w:spacing w:val="-86"/>
        </w:rPr>
      </w:r>
      <w:r>
        <w:rPr/>
        <w:t>生产活动等各个环节，具有较为科学合理的决策、执行和监督机制，并在生产经营活</w:t>
      </w:r>
      <w:r>
        <w:rPr/>
        <w:t> 动中得到严格遵循和实施，有利于公司规范运作和公司治理水平的提高。公司也将根 据公司发展需要和针对执行过程中发现的不足，不断对内控制度进行改进、充实和完 善，为公司健康、稳定的发展奠定坚实基础。</w:t>
      </w:r>
    </w:p>
    <w:p>
      <w:pPr>
        <w:pStyle w:val="Heading3"/>
        <w:spacing w:line="357" w:lineRule="auto"/>
        <w:ind w:left="677" w:right="217" w:hanging="53"/>
        <w:jc w:val="left"/>
      </w:pPr>
      <w:r>
        <w:rPr/>
        <w:t>2、公司监事会对公司内部控制自我评估的意见 公司第五届监事会第六次会议审议通过了《公司 2009</w:t>
      </w:r>
      <w:r>
        <w:rPr>
          <w:spacing w:val="-90"/>
        </w:rPr>
        <w:t> </w:t>
      </w:r>
      <w:r>
        <w:rPr/>
        <w:t>年度内部控制自我评价报</w:t>
      </w:r>
    </w:p>
    <w:p>
      <w:pPr>
        <w:pStyle w:val="Heading3"/>
        <w:spacing w:line="357" w:lineRule="auto"/>
        <w:ind w:left="677" w:right="96" w:hanging="533"/>
        <w:jc w:val="left"/>
      </w:pPr>
      <w:r>
        <w:rPr/>
        <w:t>告》，公司监事会对公司内部控制自我评价发表意见如下： 1）公司根据中国证监会、深圳证券交易所的有关规定，遵循内部控制的基本原</w:t>
      </w:r>
    </w:p>
    <w:p>
      <w:pPr>
        <w:pStyle w:val="Heading3"/>
        <w:spacing w:line="357" w:lineRule="auto"/>
        <w:ind w:right="217"/>
        <w:jc w:val="left"/>
      </w:pPr>
      <w:r>
        <w:rPr>
          <w:spacing w:val="-1"/>
        </w:rPr>
        <w:t>则，按照自身的实际情况，建立健全了覆盖公司各环节的内部控制制度，保证了公司</w:t>
      </w:r>
      <w:r>
        <w:rPr/>
        <w:t> 业务活动的正常进行，保护公司资产的安全和完整。</w:t>
      </w:r>
    </w:p>
    <w:p>
      <w:pPr>
        <w:pStyle w:val="Heading3"/>
        <w:spacing w:line="357" w:lineRule="auto"/>
        <w:ind w:right="96" w:firstLine="532"/>
        <w:jc w:val="left"/>
      </w:pPr>
      <w:r>
        <w:rPr/>
        <w:t>2）公司内部控制组织机构完整，内部审计部门及人员配备齐全到位，保证了公</w:t>
      </w:r>
      <w:r>
        <w:rPr>
          <w:spacing w:val="1"/>
        </w:rPr>
        <w:t> </w:t>
      </w:r>
      <w:r>
        <w:rPr/>
        <w:t>司内部控制重点活动的执行及监督充分有效。</w:t>
      </w:r>
    </w:p>
    <w:p>
      <w:pPr>
        <w:pStyle w:val="Heading3"/>
        <w:spacing w:line="357" w:lineRule="auto"/>
        <w:ind w:right="218" w:firstLine="532"/>
        <w:jc w:val="left"/>
      </w:pPr>
      <w:r>
        <w:rPr/>
        <w:t>3）自我评价真实、完整地反映了公司内部控制制度建立、健全和执行的现状，</w:t>
      </w:r>
      <w:r>
        <w:rPr>
          <w:spacing w:val="1"/>
        </w:rPr>
        <w:t> </w:t>
      </w:r>
      <w:r>
        <w:rPr>
          <w:spacing w:val="-3"/>
        </w:rPr>
        <w:t>符合公司内部控制的需要，对内部控制的总体评价是客观、准确的。2009</w:t>
      </w:r>
      <w:r>
        <w:rPr>
          <w:spacing w:val="-56"/>
        </w:rPr>
        <w:t> </w:t>
      </w:r>
      <w:r>
        <w:rPr/>
        <w:t>年公司没有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76"/>
        <w:ind w:left="4455" w:right="4548" w:firstLine="0"/>
        <w:jc w:val="center"/>
        <w:rPr>
          <w:rFonts w:ascii="Times New Roman" w:hAnsi="Times New Roman" w:cs="Times New Roman" w:eastAsia="Times New Roman" w:hint="default"/>
          <w:sz w:val="18"/>
          <w:szCs w:val="18"/>
        </w:rPr>
      </w:pPr>
      <w:r>
        <w:rPr>
          <w:rFonts w:ascii="Times New Roman"/>
          <w:sz w:val="18"/>
        </w:rPr>
        <w:t>16</w:t>
      </w:r>
    </w:p>
    <w:p>
      <w:pPr>
        <w:spacing w:after="0"/>
        <w:jc w:val="center"/>
        <w:rPr>
          <w:rFonts w:ascii="Times New Roman" w:hAnsi="Times New Roman" w:cs="Times New Roman" w:eastAsia="Times New Roman" w:hint="default"/>
          <w:sz w:val="18"/>
          <w:szCs w:val="18"/>
        </w:rPr>
        <w:sectPr>
          <w:pgSz w:w="11910" w:h="16840"/>
          <w:pgMar w:top="640" w:bottom="280" w:left="1160" w:right="1520"/>
        </w:sectPr>
      </w:pPr>
    </w:p>
    <w:p>
      <w:pPr>
        <w:spacing w:line="240" w:lineRule="auto" w:before="11"/>
        <w:rPr>
          <w:rFonts w:ascii="Times New Roman" w:hAnsi="Times New Roman" w:cs="Times New Roman" w:eastAsia="Times New Roman" w:hint="default"/>
          <w:sz w:val="26"/>
          <w:szCs w:val="26"/>
        </w:rPr>
      </w:pPr>
    </w:p>
    <w:p>
      <w:pPr>
        <w:pStyle w:val="Heading4"/>
        <w:tabs>
          <w:tab w:pos="6963" w:val="left" w:leader="none"/>
        </w:tabs>
        <w:spacing w:line="240" w:lineRule="auto"/>
        <w:ind w:left="3650" w:right="203"/>
        <w:jc w:val="left"/>
        <w:rPr>
          <w:b w:val="0"/>
          <w:bCs w:val="0"/>
        </w:rPr>
      </w:pPr>
      <w:r>
        <w:rPr/>
        <w:pict>
          <v:shape style="position:absolute;margin-left:87.900002pt;margin-top:-11.486023pt;width:95.033pt;height:25.5pt;mso-position-horizontal-relative:page;mso-position-vertical-relative:paragraph;z-index:2008"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5"/>
          <w:szCs w:val="5"/>
        </w:rPr>
      </w:pPr>
    </w:p>
    <w:p>
      <w:pPr>
        <w:pStyle w:val="Heading3"/>
        <w:spacing w:line="357" w:lineRule="auto" w:before="26"/>
        <w:ind w:left="670" w:right="219" w:hanging="533"/>
        <w:jc w:val="left"/>
      </w:pPr>
      <w:r>
        <w:rPr/>
        <w:t>违反深交所《上市公司内部控制指引》及公司内部控制制度的情形发生。 </w:t>
      </w:r>
      <w:r>
        <w:rPr>
          <w:spacing w:val="-3"/>
        </w:rPr>
        <w:t>综上所述，监事会认为，公司内部控制自我评价全面、真实、准确，反映了公司</w:t>
      </w:r>
    </w:p>
    <w:p>
      <w:pPr>
        <w:pStyle w:val="Heading3"/>
        <w:spacing w:line="357" w:lineRule="auto"/>
        <w:ind w:left="618" w:right="3406" w:hanging="480"/>
        <w:jc w:val="left"/>
      </w:pPr>
      <w:r>
        <w:rPr/>
        <w:t>内部控制的实际情况。 3、公司独立董事对公司内部控制自我评价的意见</w:t>
      </w:r>
    </w:p>
    <w:p>
      <w:pPr>
        <w:pStyle w:val="Heading3"/>
        <w:spacing w:line="357" w:lineRule="auto"/>
        <w:ind w:left="138" w:right="0" w:firstLine="480"/>
        <w:jc w:val="left"/>
      </w:pPr>
      <w:r>
        <w:rPr/>
        <w:t>2009 年，公司董事会根据中国证监会令[2008]57</w:t>
      </w:r>
      <w:r>
        <w:rPr>
          <w:spacing w:val="-36"/>
        </w:rPr>
        <w:t> </w:t>
      </w:r>
      <w:r>
        <w:rPr/>
        <w:t>号《关于修改上市公司现金分</w:t>
      </w:r>
      <w:r>
        <w:rPr/>
        <w:t> 红若干规定的决定》的要求，对《公司章程》进行了修订，公司内部控制制度进一步 健全完善。公司各项内部控制制度符合国家有关法律、法规和监管部门的要求。公司 内部控制重点活动均能按照公司内部控制各项制度的规定进行，公司对关联交易、对 外担保、信息披露的内部控制严格、充分、有效，保证了公司经营管理的正常进行， </w:t>
      </w:r>
      <w:r>
        <w:rPr>
          <w:spacing w:val="-5"/>
        </w:rPr>
        <w:t>具有合理性、完整性和有效性。公司内部控制自我评价符合公司内部控制的实际情况，</w:t>
      </w:r>
      <w:r>
        <w:rPr>
          <w:spacing w:val="-86"/>
        </w:rPr>
        <w:t> </w:t>
      </w:r>
      <w:r>
        <w:rPr>
          <w:spacing w:val="-86"/>
        </w:rPr>
      </w:r>
      <w:r>
        <w:rPr/>
        <w:t>同意公司内部控制自我评价报告。</w:t>
      </w:r>
    </w:p>
    <w:p>
      <w:pPr>
        <w:spacing w:line="357" w:lineRule="auto" w:before="36"/>
        <w:ind w:left="617" w:right="203" w:firstLine="0"/>
        <w:jc w:val="left"/>
        <w:rPr>
          <w:rFonts w:ascii="宋体" w:hAnsi="宋体" w:cs="宋体" w:eastAsia="宋体" w:hint="default"/>
          <w:sz w:val="24"/>
          <w:szCs w:val="24"/>
        </w:rPr>
      </w:pPr>
      <w:r>
        <w:rPr>
          <w:rFonts w:ascii="宋体" w:hAnsi="宋体" w:cs="宋体" w:eastAsia="宋体" w:hint="default"/>
          <w:b/>
          <w:bCs/>
          <w:sz w:val="24"/>
          <w:szCs w:val="24"/>
        </w:rPr>
        <w:t>（五）公司建立年报信息披露重大差错责任追究制度的情况</w:t>
      </w:r>
      <w:r>
        <w:rPr>
          <w:rFonts w:ascii="宋体" w:hAnsi="宋体" w:cs="宋体" w:eastAsia="宋体" w:hint="default"/>
          <w:b/>
          <w:bCs/>
          <w:w w:val="99"/>
          <w:sz w:val="24"/>
          <w:szCs w:val="24"/>
        </w:rPr>
        <w:t> </w:t>
      </w:r>
      <w:r>
        <w:rPr>
          <w:rFonts w:ascii="宋体" w:hAnsi="宋体" w:cs="宋体" w:eastAsia="宋体" w:hint="default"/>
          <w:spacing w:val="-2"/>
          <w:sz w:val="24"/>
          <w:szCs w:val="24"/>
        </w:rPr>
        <w:t>为提升公司经营管理水平和风险防范能力，依据中国证监会《关于做好上市公司</w:t>
      </w:r>
    </w:p>
    <w:p>
      <w:pPr>
        <w:pStyle w:val="Heading3"/>
        <w:spacing w:line="357" w:lineRule="auto"/>
        <w:ind w:left="137" w:right="203"/>
        <w:jc w:val="left"/>
      </w:pPr>
      <w:r>
        <w:rPr>
          <w:spacing w:val="-2"/>
        </w:rPr>
        <w:t>2009年年度报告及相关工作的公告》（[2009]34号）的要求，公司制定了《公司年报</w:t>
      </w:r>
      <w:r>
        <w:rPr>
          <w:spacing w:val="-110"/>
        </w:rPr>
        <w:t> </w:t>
      </w:r>
      <w:r>
        <w:rPr>
          <w:spacing w:val="-110"/>
        </w:rPr>
      </w:r>
      <w:r>
        <w:rPr>
          <w:spacing w:val="-4"/>
        </w:rPr>
        <w:t>信息披露重大差错责任追究制度》，并经公司第六届董事会第七次会议审议通过。</w:t>
      </w:r>
    </w:p>
    <w:p>
      <w:pPr>
        <w:spacing w:line="357" w:lineRule="auto" w:before="36"/>
        <w:ind w:left="617" w:right="203" w:firstLine="0"/>
        <w:jc w:val="left"/>
        <w:rPr>
          <w:rFonts w:ascii="宋体" w:hAnsi="宋体" w:cs="宋体" w:eastAsia="宋体" w:hint="default"/>
          <w:sz w:val="24"/>
          <w:szCs w:val="24"/>
        </w:rPr>
      </w:pPr>
      <w:r>
        <w:rPr>
          <w:rFonts w:ascii="宋体" w:hAnsi="宋体" w:cs="宋体" w:eastAsia="宋体" w:hint="default"/>
          <w:b/>
          <w:bCs/>
          <w:sz w:val="24"/>
          <w:szCs w:val="24"/>
        </w:rPr>
        <w:t>（六）公司对高级管理人员的考评及激励机制</w:t>
      </w:r>
      <w:r>
        <w:rPr>
          <w:rFonts w:ascii="宋体" w:hAnsi="宋体" w:cs="宋体" w:eastAsia="宋体" w:hint="default"/>
          <w:b/>
          <w:bCs/>
          <w:w w:val="99"/>
          <w:sz w:val="24"/>
          <w:szCs w:val="24"/>
        </w:rPr>
        <w:t> </w:t>
      </w:r>
      <w:r>
        <w:rPr>
          <w:rFonts w:ascii="宋体" w:hAnsi="宋体" w:cs="宋体" w:eastAsia="宋体" w:hint="default"/>
          <w:spacing w:val="-2"/>
          <w:sz w:val="24"/>
          <w:szCs w:val="24"/>
        </w:rPr>
        <w:t>公司建立了完善的考评和激励机制，公司董事会下设薪酬与考核委员会对高级管</w:t>
      </w:r>
    </w:p>
    <w:p>
      <w:pPr>
        <w:pStyle w:val="Heading3"/>
        <w:spacing w:line="357" w:lineRule="auto"/>
        <w:ind w:left="137" w:right="203"/>
        <w:jc w:val="left"/>
      </w:pPr>
      <w:r>
        <w:rPr>
          <w:spacing w:val="-2"/>
        </w:rPr>
        <w:t>理人员进行严格的考评，主要考评指标包括：经济责任指标、质量与安全指标、重点</w:t>
      </w:r>
      <w:r>
        <w:rPr>
          <w:spacing w:val="-85"/>
        </w:rPr>
        <w:t> </w:t>
      </w:r>
      <w:r>
        <w:rPr>
          <w:spacing w:val="-85"/>
        </w:rPr>
      </w:r>
      <w:r>
        <w:rPr/>
        <w:t>工作推进情况指标等。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76"/>
        <w:ind w:left="4451" w:right="4533" w:firstLine="0"/>
        <w:jc w:val="center"/>
        <w:rPr>
          <w:rFonts w:ascii="Times New Roman" w:hAnsi="Times New Roman" w:cs="Times New Roman" w:eastAsia="Times New Roman" w:hint="default"/>
          <w:sz w:val="18"/>
          <w:szCs w:val="18"/>
        </w:rPr>
      </w:pPr>
      <w:r>
        <w:rPr>
          <w:rFonts w:ascii="Times New Roman"/>
          <w:sz w:val="18"/>
        </w:rPr>
        <w:t>17</w:t>
      </w:r>
    </w:p>
    <w:p>
      <w:pPr>
        <w:spacing w:after="0"/>
        <w:jc w:val="center"/>
        <w:rPr>
          <w:rFonts w:ascii="Times New Roman" w:hAnsi="Times New Roman" w:cs="Times New Roman" w:eastAsia="Times New Roman" w:hint="default"/>
          <w:sz w:val="18"/>
          <w:szCs w:val="18"/>
        </w:rPr>
        <w:sectPr>
          <w:pgSz w:w="11910" w:h="16840"/>
          <w:pgMar w:top="640" w:bottom="280" w:left="1620" w:right="1080"/>
        </w:sectPr>
      </w:pPr>
    </w:p>
    <w:p>
      <w:pPr>
        <w:spacing w:line="240" w:lineRule="auto" w:before="11"/>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top="640" w:bottom="280" w:left="1160" w:right="1620"/>
        </w:sectPr>
      </w:pPr>
    </w:p>
    <w:p>
      <w:pPr>
        <w:spacing w:line="240" w:lineRule="auto" w:before="8"/>
        <w:rPr>
          <w:rFonts w:ascii="Times New Roman" w:hAnsi="Times New Roman" w:cs="Times New Roman" w:eastAsia="Times New Roman" w:hint="default"/>
          <w:sz w:val="41"/>
          <w:szCs w:val="41"/>
        </w:rPr>
      </w:pPr>
    </w:p>
    <w:p>
      <w:pPr>
        <w:pStyle w:val="Heading1"/>
        <w:spacing w:line="240" w:lineRule="auto"/>
        <w:ind w:left="706" w:right="0"/>
        <w:jc w:val="left"/>
        <w:rPr>
          <w:b w:val="0"/>
          <w:bCs w:val="0"/>
        </w:rPr>
      </w:pPr>
      <w:r>
        <w:rPr/>
        <w:pict>
          <v:shape style="position:absolute;margin-left:65.160004pt;margin-top:-35.428162pt;width:95.052pt;height:25.5pt;mso-position-horizontal-relative:page;mso-position-vertical-relative:paragraph;z-index:2032" type="#_x0000_t75" stroked="false">
            <v:imagedata r:id="rId5" o:title=""/>
          </v:shape>
        </w:pict>
      </w:r>
      <w:r>
        <w:rPr/>
        <w:pict>
          <v:group style="position:absolute;margin-left:63.720001pt;margin-top:-5.488147pt;width:427.2pt;height:.1pt;mso-position-horizontal-relative:page;mso-position-vertical-relative:paragraph;z-index:2056" coordorigin="1274,-110" coordsize="8544,2">
            <v:shape style="position:absolute;left:1274;top:-110;width:8544;height:2" coordorigin="1274,-110" coordsize="8544,0" path="m1274,-110l9818,-110e" filled="false" stroked="true" strokeweight=".71997pt" strokecolor="#000000">
              <v:path arrowok="t"/>
            </v:shape>
            <w10:wrap type="none"/>
          </v:group>
        </w:pict>
      </w:r>
      <w:bookmarkStart w:name="_TOC_250005" w:id="6"/>
      <w:r>
        <w:rPr>
          <w:w w:val="95"/>
        </w:rPr>
        <w:t>六、股东大会情况简介</w:t>
      </w:r>
      <w:bookmarkEnd w:id="6"/>
      <w:r>
        <w:rPr>
          <w:b w:val="0"/>
          <w:bCs w:val="0"/>
        </w:rPr>
      </w:r>
    </w:p>
    <w:p>
      <w:pPr>
        <w:pStyle w:val="Heading4"/>
        <w:tabs>
          <w:tab w:pos="3422" w:val="left" w:leader="none"/>
        </w:tabs>
        <w:spacing w:line="240" w:lineRule="auto"/>
        <w:ind w:left="109" w:right="0"/>
        <w:jc w:val="left"/>
        <w:rPr>
          <w:b w:val="0"/>
          <w:bCs w:val="0"/>
        </w:rPr>
      </w:pPr>
      <w:r>
        <w:rPr>
          <w:b w:val="0"/>
          <w:bCs w:val="0"/>
        </w:rPr>
        <w:br w:type="column"/>
      </w:r>
      <w:r>
        <w:rPr/>
        <w:t>2009</w:t>
      </w:r>
      <w:r>
        <w:rPr>
          <w:spacing w:val="-63"/>
        </w:rPr>
        <w:t> </w:t>
      </w:r>
      <w:r>
        <w:rPr/>
        <w:t>年年度报告正文</w:t>
        <w:tab/>
        <w:t>证券代码</w:t>
      </w:r>
      <w:r>
        <w:rPr>
          <w:spacing w:val="-63"/>
        </w:rPr>
        <w:t> </w:t>
      </w:r>
      <w:r>
        <w:rPr/>
        <w:t>000607</w:t>
      </w:r>
      <w:r>
        <w:rPr>
          <w:b w:val="0"/>
          <w:bCs w:val="0"/>
        </w:rPr>
      </w:r>
    </w:p>
    <w:p>
      <w:pPr>
        <w:spacing w:after="0" w:line="240" w:lineRule="auto"/>
        <w:jc w:val="left"/>
        <w:sectPr>
          <w:type w:val="continuous"/>
          <w:pgSz w:w="11910" w:h="16840"/>
          <w:pgMar w:top="780" w:bottom="280" w:left="1160" w:right="1620"/>
          <w:cols w:num="2" w:equalWidth="0">
            <w:col w:w="3508" w:space="40"/>
            <w:col w:w="5582"/>
          </w:cols>
        </w:sectPr>
      </w:pPr>
    </w:p>
    <w:p>
      <w:pPr>
        <w:spacing w:line="240" w:lineRule="auto" w:before="12"/>
        <w:rPr>
          <w:rFonts w:ascii="黑体" w:hAnsi="黑体" w:cs="黑体" w:eastAsia="黑体" w:hint="default"/>
          <w:b/>
          <w:bCs/>
          <w:sz w:val="21"/>
          <w:szCs w:val="21"/>
        </w:rPr>
      </w:pPr>
    </w:p>
    <w:p>
      <w:pPr>
        <w:pStyle w:val="Heading3"/>
        <w:spacing w:line="352" w:lineRule="auto" w:before="26"/>
        <w:ind w:left="624" w:right="4520"/>
        <w:jc w:val="left"/>
      </w:pPr>
      <w:r>
        <w:rPr/>
        <w:t>报告期内公司共召开了3次股东大会： 1、2009年第一次临时股东大会</w:t>
      </w:r>
    </w:p>
    <w:p>
      <w:pPr>
        <w:pStyle w:val="Heading3"/>
        <w:spacing w:line="352" w:lineRule="auto" w:before="32"/>
        <w:ind w:right="135" w:firstLine="480"/>
        <w:jc w:val="both"/>
      </w:pPr>
      <w:r>
        <w:rPr>
          <w:spacing w:val="-1"/>
        </w:rPr>
        <w:t>公司五届二十六次董事会审议通过了《关于召开2009年第一次临时股东大会的议</w:t>
      </w:r>
      <w:r>
        <w:rPr/>
        <w:t> </w:t>
      </w:r>
      <w:r>
        <w:rPr>
          <w:spacing w:val="-20"/>
        </w:rPr>
        <w:t>案》，并将股东大会会议通知公告在2009年3月11日的《中国证券报》、《证券时报》、《证</w:t>
      </w:r>
      <w:r>
        <w:rPr/>
        <w:t> 券日报》及《上海证券报》上。</w:t>
      </w:r>
    </w:p>
    <w:p>
      <w:pPr>
        <w:pStyle w:val="Heading3"/>
        <w:spacing w:line="350" w:lineRule="auto" w:before="32"/>
        <w:ind w:right="131" w:firstLine="480"/>
        <w:jc w:val="both"/>
      </w:pPr>
      <w:r>
        <w:rPr/>
        <w:t>2009年3月26日上午10时，2009年第一次临时股东大会在重庆市北碚区童家溪镇</w:t>
      </w:r>
      <w:r>
        <w:rPr>
          <w:spacing w:val="2"/>
        </w:rPr>
        <w:t> </w:t>
      </w:r>
      <w:r>
        <w:rPr>
          <w:spacing w:val="-1"/>
        </w:rPr>
        <w:t>同兴园区一路8号公司会议室召开。公司股东和股东授权代表共4人出席会议。代表股</w:t>
      </w:r>
      <w:r>
        <w:rPr>
          <w:spacing w:val="-118"/>
        </w:rPr>
        <w:t> </w:t>
      </w:r>
      <w:r>
        <w:rPr>
          <w:spacing w:val="-118"/>
        </w:rPr>
      </w:r>
      <w:r>
        <w:rPr>
          <w:spacing w:val="-1"/>
        </w:rPr>
        <w:t>份13734.6837万股，占总股本的28.16%。大会由董事周和平先生主持。到会股东审议</w:t>
      </w:r>
      <w:r>
        <w:rPr>
          <w:spacing w:val="-111"/>
        </w:rPr>
        <w:t> </w:t>
      </w:r>
      <w:r>
        <w:rPr>
          <w:spacing w:val="-111"/>
        </w:rPr>
      </w:r>
      <w:r>
        <w:rPr/>
        <w:t>通过如下议案：</w:t>
      </w:r>
    </w:p>
    <w:p>
      <w:pPr>
        <w:pStyle w:val="Heading3"/>
        <w:spacing w:line="352" w:lineRule="auto" w:before="35"/>
        <w:ind w:left="624" w:right="86"/>
        <w:jc w:val="left"/>
      </w:pPr>
      <w:r>
        <w:rPr>
          <w:spacing w:val="-11"/>
        </w:rPr>
        <w:t>（1）《关于转让子公司华立九州股权的议案》。</w:t>
      </w:r>
      <w:r>
        <w:rPr/>
        <w:t> </w:t>
      </w:r>
      <w:r>
        <w:rPr>
          <w:spacing w:val="-2"/>
        </w:rPr>
        <w:t>重庆源伟律师事务所对本次股东大会出具了法律意见书。经办律师程源伟先生认</w:t>
      </w:r>
    </w:p>
    <w:p>
      <w:pPr>
        <w:pStyle w:val="Heading3"/>
        <w:spacing w:line="350" w:lineRule="auto" w:before="32"/>
        <w:ind w:right="135"/>
        <w:jc w:val="both"/>
      </w:pPr>
      <w:r>
        <w:rPr>
          <w:spacing w:val="-1"/>
        </w:rPr>
        <w:t>为本次股东大会的召集、召开以及表决程序等相关事宜符合法律、法规以及公司章程</w:t>
      </w:r>
      <w:r>
        <w:rPr/>
        <w:t> 的规定，本次股东大会形成的决议合法有效。</w:t>
      </w:r>
    </w:p>
    <w:p>
      <w:pPr>
        <w:pStyle w:val="Heading3"/>
        <w:spacing w:line="350" w:lineRule="auto"/>
        <w:ind w:right="131" w:firstLine="480"/>
        <w:jc w:val="both"/>
      </w:pPr>
      <w:r>
        <w:rPr>
          <w:spacing w:val="-11"/>
        </w:rPr>
        <w:t>上述股东大会决议公告在2009年3月27日的《中国证券报》、《证券时报》、《证券</w:t>
      </w:r>
      <w:r>
        <w:rPr>
          <w:spacing w:val="2"/>
        </w:rPr>
        <w:t> </w:t>
      </w:r>
      <w:r>
        <w:rPr/>
        <w:t>日报》及《上海证券报》上。</w:t>
      </w:r>
    </w:p>
    <w:p>
      <w:pPr>
        <w:pStyle w:val="Heading3"/>
        <w:spacing w:line="352" w:lineRule="auto" w:before="35"/>
        <w:ind w:left="624" w:right="86"/>
        <w:jc w:val="left"/>
      </w:pPr>
      <w:r>
        <w:rPr/>
        <w:t>2、2008年度股东大会 </w:t>
      </w:r>
      <w:r>
        <w:rPr>
          <w:spacing w:val="-2"/>
        </w:rPr>
        <w:t>公司五届二十七次董事会审议通过了《关于召开2008年年度股东大会的议案》，</w:t>
      </w:r>
    </w:p>
    <w:p>
      <w:pPr>
        <w:pStyle w:val="Heading3"/>
        <w:spacing w:line="240" w:lineRule="auto" w:before="32"/>
        <w:ind w:right="0"/>
        <w:jc w:val="both"/>
      </w:pPr>
      <w:r>
        <w:rPr>
          <w:spacing w:val="2"/>
        </w:rPr>
        <w:t>并将会议通知刊登在</w:t>
      </w:r>
      <w:r>
        <w:rPr>
          <w:spacing w:val="1"/>
        </w:rPr>
        <w:t>2009年4月</w:t>
      </w:r>
      <w:r>
        <w:rPr>
          <w:spacing w:val="-1"/>
        </w:rPr>
        <w:t>1</w:t>
      </w:r>
      <w:r>
        <w:rPr>
          <w:spacing w:val="2"/>
        </w:rPr>
        <w:t>4日的《中国证券报</w:t>
      </w:r>
      <w:r>
        <w:rPr>
          <w:spacing w:val="-118"/>
        </w:rPr>
        <w:t>》、</w:t>
      </w:r>
      <w:r>
        <w:rPr>
          <w:spacing w:val="2"/>
        </w:rPr>
        <w:t>《证券时报</w:t>
      </w:r>
      <w:r>
        <w:rPr>
          <w:spacing w:val="-118"/>
        </w:rPr>
        <w:t>》</w:t>
      </w:r>
      <w:r>
        <w:rPr>
          <w:spacing w:val="-119"/>
        </w:rPr>
        <w:t>、</w:t>
      </w:r>
      <w:r>
        <w:rPr>
          <w:spacing w:val="2"/>
        </w:rPr>
        <w:t>《证券日报》及</w:t>
      </w:r>
      <w:r>
        <w:rPr/>
      </w:r>
    </w:p>
    <w:p>
      <w:pPr>
        <w:pStyle w:val="Heading3"/>
        <w:spacing w:line="352" w:lineRule="auto" w:before="145"/>
        <w:ind w:left="624" w:right="121" w:hanging="480"/>
        <w:jc w:val="left"/>
      </w:pPr>
      <w:r>
        <w:rPr/>
        <w:t>《上海证券报》上。 </w:t>
      </w:r>
      <w:r>
        <w:rPr>
          <w:spacing w:val="-1"/>
        </w:rPr>
        <w:t>2009年5月7日上午10时，2008年年度股东大会在杭州市余杭区中泰乡南湖村南湖</w:t>
      </w:r>
    </w:p>
    <w:p>
      <w:pPr>
        <w:pStyle w:val="Heading3"/>
        <w:spacing w:line="352" w:lineRule="auto" w:before="32"/>
        <w:ind w:right="117"/>
        <w:jc w:val="both"/>
      </w:pPr>
      <w:r>
        <w:rPr>
          <w:spacing w:val="15"/>
        </w:rPr>
        <w:t>花城四共学堂会议室召开。公司股东和股东授权代表共6人出席会议。代表股份</w:t>
      </w:r>
      <w:r>
        <w:rPr>
          <w:spacing w:val="-87"/>
        </w:rPr>
        <w:t> </w:t>
      </w:r>
      <w:r>
        <w:rPr>
          <w:spacing w:val="-87"/>
        </w:rPr>
      </w:r>
      <w:r>
        <w:rPr>
          <w:spacing w:val="-1"/>
        </w:rPr>
        <w:t>13516.1937万股，占总股本的27.71%。大会由董事周和平先生主持。到会股东审议通</w:t>
      </w:r>
      <w:r>
        <w:rPr>
          <w:spacing w:val="-111"/>
        </w:rPr>
        <w:t> </w:t>
      </w:r>
      <w:r>
        <w:rPr>
          <w:spacing w:val="-111"/>
        </w:rPr>
      </w:r>
      <w:r>
        <w:rPr/>
        <w:t>过如下议案：</w:t>
      </w:r>
    </w:p>
    <w:p>
      <w:pPr>
        <w:pStyle w:val="Heading3"/>
        <w:spacing w:line="240" w:lineRule="auto" w:before="32"/>
        <w:ind w:left="624" w:right="86"/>
        <w:jc w:val="left"/>
      </w:pPr>
      <w:r>
        <w:rPr/>
        <w:t>（1</w:t>
      </w:r>
      <w:r>
        <w:rPr>
          <w:spacing w:val="-120"/>
        </w:rPr>
        <w:t>）</w:t>
      </w:r>
      <w:r>
        <w:rPr/>
        <w:t>《2008年度董事会工作报告</w:t>
      </w:r>
      <w:r>
        <w:rPr>
          <w:spacing w:val="-120"/>
        </w:rPr>
        <w:t>》</w:t>
      </w:r>
      <w:r>
        <w:rPr/>
        <w:t>；</w:t>
      </w:r>
    </w:p>
    <w:p>
      <w:pPr>
        <w:pStyle w:val="Heading3"/>
        <w:spacing w:line="240" w:lineRule="auto" w:before="145"/>
        <w:ind w:left="624" w:right="86"/>
        <w:jc w:val="left"/>
      </w:pPr>
      <w:r>
        <w:rPr/>
        <w:t>（2</w:t>
      </w:r>
      <w:r>
        <w:rPr>
          <w:spacing w:val="-120"/>
        </w:rPr>
        <w:t>）</w:t>
      </w:r>
      <w:r>
        <w:rPr/>
        <w:t>《2008年度监事会工作报告</w:t>
      </w:r>
      <w:r>
        <w:rPr>
          <w:spacing w:val="-120"/>
        </w:rPr>
        <w:t>》</w:t>
      </w:r>
      <w:r>
        <w:rPr/>
        <w:t>；</w:t>
      </w:r>
    </w:p>
    <w:p>
      <w:pPr>
        <w:pStyle w:val="Heading3"/>
        <w:spacing w:line="240" w:lineRule="auto" w:before="146"/>
        <w:ind w:left="624" w:right="86"/>
        <w:jc w:val="left"/>
      </w:pPr>
      <w:r>
        <w:rPr/>
        <w:t>（3</w:t>
      </w:r>
      <w:r>
        <w:rPr>
          <w:spacing w:val="-120"/>
        </w:rPr>
        <w:t>）</w:t>
      </w:r>
      <w:r>
        <w:rPr/>
        <w:t>《2008年度财务决算报告</w:t>
      </w:r>
      <w:r>
        <w:rPr>
          <w:spacing w:val="-120"/>
        </w:rPr>
        <w:t>》</w:t>
      </w:r>
      <w:r>
        <w:rPr/>
        <w:t>；</w:t>
      </w:r>
    </w:p>
    <w:p>
      <w:pPr>
        <w:pStyle w:val="Heading3"/>
        <w:spacing w:line="240" w:lineRule="auto" w:before="145"/>
        <w:ind w:left="624" w:right="86"/>
        <w:jc w:val="left"/>
      </w:pPr>
      <w:r>
        <w:rPr/>
        <w:t>（4</w:t>
      </w:r>
      <w:r>
        <w:rPr>
          <w:spacing w:val="-120"/>
        </w:rPr>
        <w:t>）</w:t>
      </w:r>
      <w:r>
        <w:rPr/>
        <w:t>《2008年度报告及报告摘要</w:t>
      </w:r>
      <w:r>
        <w:rPr>
          <w:spacing w:val="-120"/>
        </w:rPr>
        <w:t>》</w:t>
      </w:r>
      <w:r>
        <w:rPr/>
        <w:t>；</w:t>
      </w:r>
    </w:p>
    <w:p>
      <w:pPr>
        <w:pStyle w:val="Heading3"/>
        <w:spacing w:line="240" w:lineRule="auto" w:before="145"/>
        <w:ind w:left="624" w:right="86"/>
        <w:jc w:val="left"/>
      </w:pPr>
      <w:r>
        <w:rPr/>
        <w:t>（5</w:t>
      </w:r>
      <w:r>
        <w:rPr>
          <w:spacing w:val="-120"/>
        </w:rPr>
        <w:t>）</w:t>
      </w:r>
      <w:r>
        <w:rPr/>
        <w:t>《2008年度利润分配预案</w:t>
      </w:r>
      <w:r>
        <w:rPr>
          <w:spacing w:val="-120"/>
        </w:rPr>
        <w:t>》</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76"/>
        <w:ind w:left="4451" w:right="4445" w:firstLine="0"/>
        <w:jc w:val="center"/>
        <w:rPr>
          <w:rFonts w:ascii="Times New Roman" w:hAnsi="Times New Roman" w:cs="Times New Roman" w:eastAsia="Times New Roman" w:hint="default"/>
          <w:sz w:val="18"/>
          <w:szCs w:val="18"/>
        </w:rPr>
      </w:pPr>
      <w:r>
        <w:rPr>
          <w:rFonts w:ascii="Times New Roman"/>
          <w:sz w:val="18"/>
        </w:rPr>
        <w:t>18</w:t>
      </w:r>
    </w:p>
    <w:p>
      <w:pPr>
        <w:spacing w:after="0"/>
        <w:jc w:val="center"/>
        <w:rPr>
          <w:rFonts w:ascii="Times New Roman" w:hAnsi="Times New Roman" w:cs="Times New Roman" w:eastAsia="Times New Roman" w:hint="default"/>
          <w:sz w:val="18"/>
          <w:szCs w:val="18"/>
        </w:rPr>
        <w:sectPr>
          <w:type w:val="continuous"/>
          <w:pgSz w:w="11910" w:h="16840"/>
          <w:pgMar w:top="780" w:bottom="280" w:left="1160" w:right="1620"/>
        </w:sectPr>
      </w:pPr>
    </w:p>
    <w:p>
      <w:pPr>
        <w:spacing w:line="240" w:lineRule="auto" w:before="11"/>
        <w:rPr>
          <w:rFonts w:ascii="Times New Roman" w:hAnsi="Times New Roman" w:cs="Times New Roman" w:eastAsia="Times New Roman" w:hint="default"/>
          <w:sz w:val="26"/>
          <w:szCs w:val="26"/>
        </w:rPr>
      </w:pPr>
    </w:p>
    <w:p>
      <w:pPr>
        <w:pStyle w:val="Heading4"/>
        <w:tabs>
          <w:tab w:pos="6963" w:val="left" w:leader="none"/>
        </w:tabs>
        <w:spacing w:line="240" w:lineRule="auto"/>
        <w:ind w:left="3650" w:right="203"/>
        <w:jc w:val="left"/>
        <w:rPr>
          <w:b w:val="0"/>
          <w:bCs w:val="0"/>
        </w:rPr>
      </w:pPr>
      <w:r>
        <w:rPr/>
        <w:pict>
          <v:shape style="position:absolute;margin-left:87.900002pt;margin-top:-11.486023pt;width:95.033pt;height:25.5pt;mso-position-horizontal-relative:page;mso-position-vertical-relative:paragraph;z-index:2104"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8"/>
        <w:rPr>
          <w:rFonts w:ascii="黑体" w:hAnsi="黑体" w:cs="黑体" w:eastAsia="黑体" w:hint="default"/>
          <w:b/>
          <w:bCs/>
          <w:sz w:val="15"/>
          <w:szCs w:val="15"/>
        </w:rPr>
      </w:pPr>
    </w:p>
    <w:p>
      <w:pPr>
        <w:pStyle w:val="Heading3"/>
        <w:spacing w:line="240" w:lineRule="auto" w:before="26"/>
        <w:ind w:left="618" w:right="203"/>
        <w:jc w:val="left"/>
      </w:pPr>
      <w:r>
        <w:rPr/>
        <w:t>（6</w:t>
      </w:r>
      <w:r>
        <w:rPr>
          <w:spacing w:val="-120"/>
        </w:rPr>
        <w:t>）</w:t>
      </w:r>
      <w:r>
        <w:rPr/>
        <w:t>《董事会换届选举议案</w:t>
      </w:r>
      <w:r>
        <w:rPr>
          <w:spacing w:val="-120"/>
        </w:rPr>
        <w:t>》</w:t>
      </w:r>
      <w:r>
        <w:rPr/>
        <w:t>；</w:t>
      </w:r>
    </w:p>
    <w:p>
      <w:pPr>
        <w:pStyle w:val="Heading3"/>
        <w:spacing w:line="240" w:lineRule="auto" w:before="146"/>
        <w:ind w:left="617" w:right="203"/>
        <w:jc w:val="left"/>
      </w:pPr>
      <w:r>
        <w:rPr/>
        <w:t>（7</w:t>
      </w:r>
      <w:r>
        <w:rPr>
          <w:spacing w:val="-120"/>
        </w:rPr>
        <w:t>）</w:t>
      </w:r>
      <w:r>
        <w:rPr/>
        <w:t>《监事会换届选举议案</w:t>
      </w:r>
      <w:r>
        <w:rPr>
          <w:spacing w:val="-120"/>
        </w:rPr>
        <w:t>》</w:t>
      </w:r>
      <w:r>
        <w:rPr/>
        <w:t>；</w:t>
      </w:r>
    </w:p>
    <w:p>
      <w:pPr>
        <w:pStyle w:val="Heading3"/>
        <w:spacing w:line="240" w:lineRule="auto" w:before="145"/>
        <w:ind w:left="617" w:right="203"/>
        <w:jc w:val="left"/>
      </w:pPr>
      <w:r>
        <w:rPr/>
        <w:t>（8</w:t>
      </w:r>
      <w:r>
        <w:rPr>
          <w:spacing w:val="-120"/>
        </w:rPr>
        <w:t>）</w:t>
      </w:r>
      <w:r>
        <w:rPr/>
        <w:t>《公司为控股子公司提供担保额度的议案</w:t>
      </w:r>
      <w:r>
        <w:rPr>
          <w:spacing w:val="-120"/>
        </w:rPr>
        <w:t>》</w:t>
      </w:r>
      <w:r>
        <w:rPr/>
        <w:t>；</w:t>
      </w:r>
    </w:p>
    <w:p>
      <w:pPr>
        <w:pStyle w:val="Heading3"/>
        <w:spacing w:line="240" w:lineRule="auto" w:before="145"/>
        <w:ind w:left="617" w:right="203"/>
        <w:jc w:val="left"/>
      </w:pPr>
      <w:r>
        <w:rPr/>
        <w:t>（9</w:t>
      </w:r>
      <w:r>
        <w:rPr>
          <w:spacing w:val="-120"/>
        </w:rPr>
        <w:t>）</w:t>
      </w:r>
      <w:r>
        <w:rPr/>
        <w:t>《公司子公司为华立产业集团有限公司及其子公司提供担保额度的议案</w:t>
      </w:r>
      <w:r>
        <w:rPr>
          <w:spacing w:val="-120"/>
        </w:rPr>
        <w:t>》</w:t>
      </w:r>
      <w:r>
        <w:rPr/>
        <w:t>；</w:t>
      </w:r>
    </w:p>
    <w:p>
      <w:pPr>
        <w:pStyle w:val="Heading3"/>
        <w:spacing w:line="240" w:lineRule="auto" w:before="146"/>
        <w:ind w:left="617" w:right="203"/>
        <w:jc w:val="left"/>
      </w:pPr>
      <w:r>
        <w:rPr/>
        <w:t>（10</w:t>
      </w:r>
      <w:r>
        <w:rPr>
          <w:spacing w:val="-120"/>
        </w:rPr>
        <w:t>）</w:t>
      </w:r>
      <w:r>
        <w:rPr/>
        <w:t>《关于授权公司向华立集团股份有限公司融资的议案</w:t>
      </w:r>
      <w:r>
        <w:rPr>
          <w:spacing w:val="-120"/>
        </w:rPr>
        <w:t>》</w:t>
      </w:r>
      <w:r>
        <w:rPr/>
        <w:t>；</w:t>
      </w:r>
    </w:p>
    <w:p>
      <w:pPr>
        <w:pStyle w:val="Heading3"/>
        <w:spacing w:line="240" w:lineRule="auto" w:before="145"/>
        <w:ind w:left="617" w:right="203"/>
        <w:jc w:val="left"/>
      </w:pPr>
      <w:r>
        <w:rPr/>
        <w:t>（11</w:t>
      </w:r>
      <w:r>
        <w:rPr>
          <w:spacing w:val="-120"/>
        </w:rPr>
        <w:t>）</w:t>
      </w:r>
      <w:r>
        <w:rPr/>
        <w:t>《关于聘请公司2009年度审计机构的议案</w:t>
      </w:r>
      <w:r>
        <w:rPr>
          <w:spacing w:val="-120"/>
        </w:rPr>
        <w:t>》</w:t>
      </w:r>
      <w:r>
        <w:rPr/>
        <w:t>；</w:t>
      </w:r>
    </w:p>
    <w:p>
      <w:pPr>
        <w:pStyle w:val="Heading3"/>
        <w:spacing w:line="352" w:lineRule="auto" w:before="145"/>
        <w:ind w:left="617" w:right="203"/>
        <w:jc w:val="left"/>
      </w:pPr>
      <w:r>
        <w:rPr>
          <w:spacing w:val="-12"/>
        </w:rPr>
        <w:t>（12）《关于修改&lt;公司章程&gt;的议案》。</w:t>
      </w:r>
      <w:r>
        <w:rPr/>
        <w:t> </w:t>
      </w:r>
      <w:r>
        <w:rPr>
          <w:spacing w:val="-2"/>
        </w:rPr>
        <w:t>重庆源伟律师事务所对本次股东大会出具了法律意见书。经办律师程源伟先生认</w:t>
      </w:r>
    </w:p>
    <w:p>
      <w:pPr>
        <w:pStyle w:val="Heading3"/>
        <w:spacing w:line="350" w:lineRule="auto" w:before="32"/>
        <w:ind w:left="137" w:right="204"/>
        <w:jc w:val="left"/>
      </w:pPr>
      <w:r>
        <w:rPr>
          <w:spacing w:val="-1"/>
        </w:rPr>
        <w:t>为本次股东大会的召集、召开以及表决程序等相关事宜符合法律、法规以及公司章程</w:t>
      </w:r>
      <w:r>
        <w:rPr/>
        <w:t> 的规定，本次股东大会形成的决议合法有效。</w:t>
      </w:r>
    </w:p>
    <w:p>
      <w:pPr>
        <w:pStyle w:val="Heading3"/>
        <w:spacing w:line="350" w:lineRule="auto"/>
        <w:ind w:left="137" w:right="207" w:firstLine="480"/>
        <w:jc w:val="left"/>
      </w:pPr>
      <w:r>
        <w:rPr>
          <w:spacing w:val="-13"/>
        </w:rPr>
        <w:t>上述股东大会决议公告刊登在2009年5月8日的《中国证券报》、《证券时报》、《证</w:t>
      </w:r>
      <w:r>
        <w:rPr/>
        <w:t> 券日报》及《上海证券报》上。</w:t>
      </w:r>
    </w:p>
    <w:p>
      <w:pPr>
        <w:pStyle w:val="Heading3"/>
        <w:spacing w:line="352" w:lineRule="auto" w:before="35"/>
        <w:ind w:left="617" w:right="0"/>
        <w:jc w:val="left"/>
      </w:pPr>
      <w:r>
        <w:rPr/>
        <w:t>3、2009年第二次临时股东大会 </w:t>
      </w:r>
      <w:r>
        <w:rPr>
          <w:spacing w:val="-5"/>
        </w:rPr>
        <w:t>公司六届二次董事会审议通过了《关于召开2009年第二次临时股东大会的议案》，</w:t>
      </w:r>
    </w:p>
    <w:p>
      <w:pPr>
        <w:pStyle w:val="Heading3"/>
        <w:spacing w:line="350" w:lineRule="auto" w:before="32"/>
        <w:ind w:left="137" w:right="203"/>
        <w:jc w:val="left"/>
      </w:pPr>
      <w:r>
        <w:rPr>
          <w:spacing w:val="-10"/>
        </w:rPr>
        <w:t>并将股东大会会议通知公告在2009年6月13日的《中国证券报》、《证券时报》、《证券</w:t>
      </w:r>
      <w:r>
        <w:rPr>
          <w:spacing w:val="-110"/>
        </w:rPr>
        <w:t> </w:t>
      </w:r>
      <w:r>
        <w:rPr>
          <w:spacing w:val="-110"/>
        </w:rPr>
      </w:r>
      <w:r>
        <w:rPr/>
        <w:t>日报》及《上海证券报》上。</w:t>
      </w:r>
    </w:p>
    <w:p>
      <w:pPr>
        <w:pStyle w:val="Heading3"/>
        <w:spacing w:line="350" w:lineRule="auto"/>
        <w:ind w:left="137" w:right="219" w:firstLine="480"/>
        <w:jc w:val="both"/>
      </w:pPr>
      <w:r>
        <w:rPr/>
        <w:t>2009年6月29日上午10时，2009年第二次临时股东大会在重庆市北碚区童家溪镇</w:t>
      </w:r>
      <w:r>
        <w:rPr>
          <w:spacing w:val="2"/>
        </w:rPr>
        <w:t> </w:t>
      </w:r>
      <w:r>
        <w:rPr>
          <w:spacing w:val="-1"/>
        </w:rPr>
        <w:t>同兴园区一路8号公司会议室召开。公司股东和股东授权代表共5人出席会议。代表股</w:t>
      </w:r>
      <w:r>
        <w:rPr>
          <w:spacing w:val="-118"/>
        </w:rPr>
        <w:t> </w:t>
      </w:r>
      <w:r>
        <w:rPr>
          <w:spacing w:val="-118"/>
        </w:rPr>
      </w:r>
      <w:r>
        <w:rPr>
          <w:spacing w:val="-1"/>
        </w:rPr>
        <w:t>份13126.7797万股，占总股本的26.91%。大会由董事周和平先生主持。到会股东审议</w:t>
      </w:r>
      <w:r>
        <w:rPr>
          <w:spacing w:val="-111"/>
        </w:rPr>
        <w:t> </w:t>
      </w:r>
      <w:r>
        <w:rPr>
          <w:spacing w:val="-111"/>
        </w:rPr>
      </w:r>
      <w:r>
        <w:rPr/>
        <w:t>通过如下议案：</w:t>
      </w:r>
    </w:p>
    <w:p>
      <w:pPr>
        <w:pStyle w:val="Heading3"/>
        <w:spacing w:line="240" w:lineRule="auto" w:before="35"/>
        <w:ind w:left="617" w:right="203"/>
        <w:jc w:val="left"/>
      </w:pPr>
      <w:r>
        <w:rPr/>
        <w:t>（1</w:t>
      </w:r>
      <w:r>
        <w:rPr>
          <w:spacing w:val="-120"/>
        </w:rPr>
        <w:t>）</w:t>
      </w:r>
      <w:r>
        <w:rPr/>
        <w:t>《关于再次对子公司华立科泰增资的议案</w:t>
      </w:r>
      <w:r>
        <w:rPr>
          <w:spacing w:val="-120"/>
        </w:rPr>
        <w:t>》</w:t>
      </w:r>
      <w:r>
        <w:rPr/>
        <w:t>；</w:t>
      </w:r>
    </w:p>
    <w:p>
      <w:pPr>
        <w:pStyle w:val="Heading3"/>
        <w:spacing w:line="352" w:lineRule="auto" w:before="145"/>
        <w:ind w:left="617" w:right="203"/>
        <w:jc w:val="left"/>
      </w:pPr>
      <w:r>
        <w:rPr>
          <w:spacing w:val="-15"/>
        </w:rPr>
        <w:t>（2）《董事、监事薪酬津贴议案》。</w:t>
      </w:r>
      <w:r>
        <w:rPr>
          <w:spacing w:val="-105"/>
        </w:rPr>
        <w:t> </w:t>
      </w:r>
      <w:r>
        <w:rPr>
          <w:spacing w:val="-105"/>
        </w:rPr>
      </w:r>
      <w:r>
        <w:rPr>
          <w:spacing w:val="-2"/>
        </w:rPr>
        <w:t>重庆源伟律师事务所对本次股东大会出具了法律意见书。经办律师程源伟先生认</w:t>
      </w:r>
    </w:p>
    <w:p>
      <w:pPr>
        <w:pStyle w:val="Heading3"/>
        <w:spacing w:line="350" w:lineRule="auto" w:before="32"/>
        <w:ind w:left="137" w:right="204"/>
        <w:jc w:val="left"/>
      </w:pPr>
      <w:r>
        <w:rPr>
          <w:spacing w:val="-1"/>
        </w:rPr>
        <w:t>为本次股东大会的召集、召开以及表决程序等相关事宜符合法律、法规以及公司章程</w:t>
      </w:r>
      <w:r>
        <w:rPr/>
        <w:t> 的规定，本次股东大会形成的决议合法有效。</w:t>
      </w:r>
    </w:p>
    <w:p>
      <w:pPr>
        <w:pStyle w:val="Heading3"/>
        <w:spacing w:line="350" w:lineRule="auto"/>
        <w:ind w:left="137" w:right="203" w:firstLine="480"/>
        <w:jc w:val="left"/>
      </w:pPr>
      <w:r>
        <w:rPr>
          <w:spacing w:val="-11"/>
        </w:rPr>
        <w:t>上述股东大会决议公告在2009年6月30日的《中国证券报》、《证券时报》、《证券</w:t>
      </w:r>
      <w:r>
        <w:rPr>
          <w:spacing w:val="2"/>
        </w:rPr>
        <w:t> </w:t>
      </w:r>
      <w:r>
        <w:rPr/>
        <w:t>日报》及《上海证券报》上。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76"/>
        <w:ind w:left="4451" w:right="4533" w:firstLine="0"/>
        <w:jc w:val="center"/>
        <w:rPr>
          <w:rFonts w:ascii="Times New Roman" w:hAnsi="Times New Roman" w:cs="Times New Roman" w:eastAsia="Times New Roman" w:hint="default"/>
          <w:sz w:val="18"/>
          <w:szCs w:val="18"/>
        </w:rPr>
      </w:pPr>
      <w:r>
        <w:rPr>
          <w:rFonts w:ascii="Times New Roman"/>
          <w:sz w:val="18"/>
        </w:rPr>
        <w:t>19</w:t>
      </w:r>
    </w:p>
    <w:p>
      <w:pPr>
        <w:spacing w:after="0"/>
        <w:jc w:val="center"/>
        <w:rPr>
          <w:rFonts w:ascii="Times New Roman" w:hAnsi="Times New Roman" w:cs="Times New Roman" w:eastAsia="Times New Roman" w:hint="default"/>
          <w:sz w:val="18"/>
          <w:szCs w:val="18"/>
        </w:rPr>
        <w:sectPr>
          <w:pgSz w:w="11910" w:h="16840"/>
          <w:pgMar w:top="640" w:bottom="280" w:left="1620" w:right="1080"/>
        </w:sectPr>
      </w:pPr>
    </w:p>
    <w:p>
      <w:pPr>
        <w:spacing w:line="240" w:lineRule="auto" w:before="11"/>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top="640" w:bottom="280" w:left="1160" w:right="1520"/>
        </w:sectPr>
      </w:pPr>
    </w:p>
    <w:p>
      <w:pPr>
        <w:spacing w:line="240" w:lineRule="auto" w:before="8"/>
        <w:rPr>
          <w:rFonts w:ascii="Times New Roman" w:hAnsi="Times New Roman" w:cs="Times New Roman" w:eastAsia="Times New Roman" w:hint="default"/>
          <w:sz w:val="41"/>
          <w:szCs w:val="41"/>
        </w:rPr>
      </w:pPr>
    </w:p>
    <w:p>
      <w:pPr>
        <w:pStyle w:val="Heading1"/>
        <w:spacing w:line="240" w:lineRule="auto"/>
        <w:ind w:left="626" w:right="0"/>
        <w:jc w:val="left"/>
        <w:rPr>
          <w:b w:val="0"/>
          <w:bCs w:val="0"/>
        </w:rPr>
      </w:pPr>
      <w:r>
        <w:rPr/>
        <w:pict>
          <v:shape style="position:absolute;margin-left:65.160004pt;margin-top:-35.428162pt;width:95.052pt;height:25.5pt;mso-position-horizontal-relative:page;mso-position-vertical-relative:paragraph;z-index:2128" type="#_x0000_t75" stroked="false">
            <v:imagedata r:id="rId5" o:title=""/>
          </v:shape>
        </w:pict>
      </w:r>
      <w:r>
        <w:rPr/>
        <w:pict>
          <v:group style="position:absolute;margin-left:63.720001pt;margin-top:-5.488147pt;width:427.2pt;height:.1pt;mso-position-horizontal-relative:page;mso-position-vertical-relative:paragraph;z-index:2152" coordorigin="1274,-110" coordsize="8544,2">
            <v:shape style="position:absolute;left:1274;top:-110;width:8544;height:2" coordorigin="1274,-110" coordsize="8544,0" path="m1274,-110l9818,-110e" filled="false" stroked="true" strokeweight=".71997pt" strokecolor="#000000">
              <v:path arrowok="t"/>
            </v:shape>
            <w10:wrap type="none"/>
          </v:group>
        </w:pict>
      </w:r>
      <w:bookmarkStart w:name="_TOC_250004" w:id="7"/>
      <w:r>
        <w:rPr>
          <w:w w:val="95"/>
        </w:rPr>
        <w:t>七、董事会报告</w:t>
      </w:r>
      <w:bookmarkEnd w:id="7"/>
      <w:r>
        <w:rPr>
          <w:b w:val="0"/>
          <w:bCs w:val="0"/>
        </w:rPr>
      </w:r>
    </w:p>
    <w:p>
      <w:pPr>
        <w:pStyle w:val="Heading4"/>
        <w:tabs>
          <w:tab w:pos="3456" w:val="left" w:leader="none"/>
        </w:tabs>
        <w:spacing w:line="240" w:lineRule="auto"/>
        <w:ind w:left="143" w:right="0"/>
        <w:jc w:val="left"/>
        <w:rPr>
          <w:b w:val="0"/>
          <w:bCs w:val="0"/>
        </w:rPr>
      </w:pPr>
      <w:r>
        <w:rPr>
          <w:b w:val="0"/>
          <w:bCs w:val="0"/>
        </w:rPr>
        <w:br w:type="column"/>
      </w:r>
      <w:r>
        <w:rPr/>
        <w:t>2009</w:t>
      </w:r>
      <w:r>
        <w:rPr>
          <w:spacing w:val="-63"/>
        </w:rPr>
        <w:t> </w:t>
      </w:r>
      <w:r>
        <w:rPr/>
        <w:t>年年度报告正文</w:t>
        <w:tab/>
        <w:t>证券代码</w:t>
      </w:r>
      <w:r>
        <w:rPr>
          <w:spacing w:val="-63"/>
        </w:rPr>
        <w:t> </w:t>
      </w:r>
      <w:r>
        <w:rPr/>
        <w:t>000607</w:t>
      </w:r>
      <w:r>
        <w:rPr>
          <w:b w:val="0"/>
          <w:bCs w:val="0"/>
        </w:rPr>
      </w:r>
    </w:p>
    <w:p>
      <w:pPr>
        <w:spacing w:after="0" w:line="240" w:lineRule="auto"/>
        <w:jc w:val="left"/>
        <w:sectPr>
          <w:type w:val="continuous"/>
          <w:pgSz w:w="11910" w:h="16840"/>
          <w:pgMar w:top="780" w:bottom="280" w:left="1160" w:right="1520"/>
          <w:cols w:num="2" w:equalWidth="0">
            <w:col w:w="2591" w:space="923"/>
            <w:col w:w="5716"/>
          </w:cols>
        </w:sectPr>
      </w:pPr>
    </w:p>
    <w:p>
      <w:pPr>
        <w:spacing w:line="240" w:lineRule="auto" w:before="3"/>
        <w:rPr>
          <w:rFonts w:ascii="黑体" w:hAnsi="黑体" w:cs="黑体" w:eastAsia="黑体" w:hint="default"/>
          <w:b/>
          <w:bCs/>
          <w:sz w:val="12"/>
          <w:szCs w:val="12"/>
        </w:rPr>
      </w:pPr>
    </w:p>
    <w:p>
      <w:pPr>
        <w:spacing w:line="357" w:lineRule="auto" w:before="26"/>
        <w:ind w:left="624" w:right="5098" w:firstLine="2"/>
        <w:jc w:val="left"/>
        <w:rPr>
          <w:rFonts w:ascii="宋体" w:hAnsi="宋体" w:cs="宋体" w:eastAsia="宋体" w:hint="default"/>
          <w:sz w:val="24"/>
          <w:szCs w:val="24"/>
        </w:rPr>
      </w:pPr>
      <w:r>
        <w:rPr>
          <w:rFonts w:ascii="宋体" w:hAnsi="宋体" w:cs="宋体" w:eastAsia="宋体" w:hint="default"/>
          <w:b/>
          <w:bCs/>
          <w:w w:val="95"/>
          <w:sz w:val="24"/>
          <w:szCs w:val="24"/>
        </w:rPr>
        <w:t>（一）公司经营情况的分析与讨论</w:t>
      </w:r>
      <w:r>
        <w:rPr>
          <w:rFonts w:ascii="宋体" w:hAnsi="宋体" w:cs="宋体" w:eastAsia="宋体" w:hint="default"/>
          <w:b/>
          <w:bCs/>
          <w:spacing w:val="49"/>
          <w:w w:val="95"/>
          <w:sz w:val="24"/>
          <w:szCs w:val="24"/>
        </w:rPr>
        <w:t> </w:t>
      </w:r>
      <w:r>
        <w:rPr>
          <w:rFonts w:ascii="宋体" w:hAnsi="宋体" w:cs="宋体" w:eastAsia="宋体" w:hint="default"/>
          <w:sz w:val="24"/>
          <w:szCs w:val="24"/>
        </w:rPr>
        <w:t>1、报告期内公司经营情况</w:t>
      </w:r>
    </w:p>
    <w:p>
      <w:pPr>
        <w:pStyle w:val="Heading3"/>
        <w:spacing w:line="357" w:lineRule="auto"/>
        <w:ind w:right="235" w:firstLine="540"/>
        <w:jc w:val="both"/>
      </w:pPr>
      <w:r>
        <w:rPr/>
        <w:t>在 2009</w:t>
      </w:r>
      <w:r>
        <w:rPr>
          <w:spacing w:val="-96"/>
        </w:rPr>
        <w:t> </w:t>
      </w:r>
      <w:r>
        <w:rPr/>
        <w:t>年度，公司下属的仪器仪表产业盈利情况继续向好，而医药产业方面面</w:t>
      </w:r>
      <w:r>
        <w:rPr/>
        <w:t> 临很大的困难，造成了公司总体较大额度的亏损。</w:t>
      </w:r>
    </w:p>
    <w:p>
      <w:pPr>
        <w:pStyle w:val="Heading3"/>
        <w:spacing w:line="357" w:lineRule="auto"/>
        <w:ind w:right="96" w:firstLine="540"/>
        <w:jc w:val="left"/>
      </w:pPr>
      <w:r>
        <w:rPr>
          <w:spacing w:val="-3"/>
        </w:rPr>
        <w:t>在医药产业方面，公司继续对下属各医药类公司进一步进行整合和清理。报告期</w:t>
      </w:r>
      <w:r>
        <w:rPr/>
        <w:t> 内，公司出售了从事医药流通的北京华立九州医药有限公司和广州美康万特医药有限 公司，彻底退出了医药流通产业；公司还出售了持有的四川同人泰药业有限公司的股 </w:t>
      </w:r>
      <w:r>
        <w:rPr>
          <w:spacing w:val="-5"/>
        </w:rPr>
        <w:t>权。通过一系列的资产和股权出售，公司退出了不擅长的业务领域，缩短了业务战线，</w:t>
      </w:r>
      <w:r>
        <w:rPr>
          <w:spacing w:val="-86"/>
        </w:rPr>
        <w:t> </w:t>
      </w:r>
      <w:r>
        <w:rPr>
          <w:spacing w:val="-86"/>
        </w:rPr>
      </w:r>
      <w:r>
        <w:rPr/>
        <w:t>将回收的资金用于支持优势领域的发展，提高了资源的使用效率。此举虽然使得公司</w:t>
      </w:r>
      <w:r>
        <w:rPr/>
        <w:t> 蒙受了一定的投资损失，但为公司后续的健康发展打下基础。</w:t>
      </w:r>
    </w:p>
    <w:p>
      <w:pPr>
        <w:pStyle w:val="Heading3"/>
        <w:spacing w:line="357" w:lineRule="auto"/>
        <w:ind w:right="199" w:firstLine="540"/>
        <w:jc w:val="both"/>
      </w:pPr>
      <w:r>
        <w:rPr/>
        <w:t>在青蒿素领域，虽然青蒿素原料药的售价较 06、07</w:t>
      </w:r>
      <w:r>
        <w:rPr>
          <w:spacing w:val="-96"/>
        </w:rPr>
        <w:t> </w:t>
      </w:r>
      <w:r>
        <w:rPr/>
        <w:t>年的低谷有了一定程度的回</w:t>
      </w:r>
      <w:r>
        <w:rPr/>
        <w:t> 升，但总体的市场格局未发生实质性的改变，预计市场环境在短期内难有大的改善。 </w:t>
      </w:r>
      <w:r>
        <w:rPr>
          <w:spacing w:val="-1"/>
        </w:rPr>
        <w:t>公司的青蒿素复方制剂的国际认证工作尚未完成，公立市场未能有效打开，而在私立</w:t>
      </w:r>
      <w:r>
        <w:rPr/>
        <w:t> 市场，复方青蒿素产品继续面临廉价化学制剂的竞争，销量增幅有限。</w:t>
      </w:r>
    </w:p>
    <w:p>
      <w:pPr>
        <w:pStyle w:val="Heading3"/>
        <w:spacing w:line="357" w:lineRule="auto"/>
        <w:ind w:right="235" w:firstLine="540"/>
        <w:jc w:val="both"/>
      </w:pPr>
      <w:r>
        <w:rPr>
          <w:spacing w:val="-3"/>
        </w:rPr>
        <w:t>仪器仪表方面，子公司华立仪表集团股份有限公司在年内启动了第一期管理层和</w:t>
      </w:r>
      <w:r>
        <w:rPr/>
        <w:t> </w:t>
      </w:r>
      <w:r>
        <w:rPr>
          <w:spacing w:val="-1"/>
        </w:rPr>
        <w:t>骨干员工持股计划，把核心人员和专业技术人才的个人利益与公司利益高度整合。以</w:t>
      </w:r>
      <w:r>
        <w:rPr/>
        <w:t> </w:t>
      </w:r>
      <w:r>
        <w:rPr>
          <w:spacing w:val="-1"/>
        </w:rPr>
        <w:t>此为契机，华立仪表集团在内控挖潜和开拓市场两方面努力，实现了成本压缩和人均</w:t>
      </w:r>
      <w:r>
        <w:rPr/>
        <w:t> </w:t>
      </w:r>
      <w:r>
        <w:rPr>
          <w:spacing w:val="-1"/>
        </w:rPr>
        <w:t>效益提高的年初目标，盈利水平保持了良好的上升势头。受益于国家加大投资拉动内</w:t>
      </w:r>
      <w:r>
        <w:rPr/>
        <w:t> 需的宏观经济环境，子公司华立仪表集团销售额同比增长</w:t>
      </w:r>
      <w:r>
        <w:rPr>
          <w:spacing w:val="-36"/>
        </w:rPr>
        <w:t> </w:t>
      </w:r>
      <w:r>
        <w:rPr/>
        <w:t>17%，而营业成本同比增长</w:t>
      </w:r>
      <w:r>
        <w:rPr/>
        <w:t> 为</w:t>
      </w:r>
      <w:r>
        <w:rPr>
          <w:spacing w:val="-69"/>
        </w:rPr>
        <w:t> </w:t>
      </w:r>
      <w:r>
        <w:rPr/>
        <w:t>8%，毛利率较上年同期增长达到</w:t>
      </w:r>
      <w:r>
        <w:rPr>
          <w:spacing w:val="-69"/>
        </w:rPr>
        <w:t> </w:t>
      </w:r>
      <w:r>
        <w:rPr/>
        <w:t>5</w:t>
      </w:r>
      <w:r>
        <w:rPr>
          <w:spacing w:val="-69"/>
        </w:rPr>
        <w:t> </w:t>
      </w:r>
      <w:r>
        <w:rPr/>
        <w:t>个百分点。利润同比增幅达</w:t>
      </w:r>
      <w:r>
        <w:rPr>
          <w:spacing w:val="-69"/>
        </w:rPr>
        <w:t> </w:t>
      </w:r>
      <w:r>
        <w:rPr/>
        <w:t>70%。子公司华立仪</w:t>
      </w:r>
      <w:r>
        <w:rPr/>
        <w:t> 表在 09</w:t>
      </w:r>
      <w:r>
        <w:rPr>
          <w:spacing w:val="-36"/>
        </w:rPr>
        <w:t> </w:t>
      </w:r>
      <w:r>
        <w:rPr/>
        <w:t>年加强了国内销售网络的建设力度，对传统优势市场进行深度的市场开发，</w:t>
      </w:r>
    </w:p>
    <w:p>
      <w:pPr>
        <w:pStyle w:val="Heading3"/>
        <w:spacing w:line="357" w:lineRule="auto"/>
        <w:ind w:right="235"/>
        <w:jc w:val="both"/>
      </w:pPr>
      <w:r>
        <w:rPr/>
        <w:t>对传统的市场空白点寻求重点突破。预计这些举措将进一步提升华立仪表的 2010</w:t>
      </w:r>
      <w:r>
        <w:rPr>
          <w:spacing w:val="-36"/>
        </w:rPr>
        <w:t> </w:t>
      </w:r>
      <w:r>
        <w:rPr/>
        <w:t>年</w:t>
      </w:r>
      <w:r>
        <w:rPr/>
        <w:t> </w:t>
      </w:r>
      <w:r>
        <w:rPr>
          <w:spacing w:val="-1"/>
        </w:rPr>
        <w:t>度营业收入和盈利预期。在仪器仪表的海外销售方面，受人民币持续坚挺和国际金融</w:t>
      </w:r>
      <w:r>
        <w:rPr/>
        <w:t> </w:t>
      </w:r>
      <w:r>
        <w:rPr>
          <w:spacing w:val="-1"/>
        </w:rPr>
        <w:t>危机的双重影响，华立仪表集团的出口业务出现萎缩。随着公司新产品的海外市场拓</w:t>
      </w:r>
      <w:r>
        <w:rPr/>
        <w:t> 展逐渐显现成效及国际经济环境趋于稳定，预计华立仪表集团在 2010</w:t>
      </w:r>
      <w:r>
        <w:rPr>
          <w:spacing w:val="-36"/>
        </w:rPr>
        <w:t> </w:t>
      </w:r>
      <w:r>
        <w:rPr/>
        <w:t>年度的出口业</w:t>
      </w:r>
    </w:p>
    <w:p>
      <w:pPr>
        <w:pStyle w:val="Heading3"/>
        <w:spacing w:line="357" w:lineRule="auto"/>
        <w:ind w:left="626" w:right="5098" w:hanging="483"/>
        <w:jc w:val="left"/>
      </w:pPr>
      <w:r>
        <w:rPr/>
        <w:t>务可能恢复到</w:t>
      </w:r>
      <w:r>
        <w:rPr>
          <w:spacing w:val="-60"/>
        </w:rPr>
        <w:t> </w:t>
      </w:r>
      <w:r>
        <w:rPr/>
        <w:t>08</w:t>
      </w:r>
      <w:r>
        <w:rPr>
          <w:spacing w:val="-60"/>
        </w:rPr>
        <w:t> </w:t>
      </w:r>
      <w:r>
        <w:rPr/>
        <w:t>年水平。</w:t>
      </w:r>
      <w:r>
        <w:rPr/>
        <w:t> 2、公司主营业务范围及经营状况</w:t>
      </w:r>
    </w:p>
    <w:p>
      <w:pPr>
        <w:pStyle w:val="Heading3"/>
        <w:spacing w:line="240" w:lineRule="auto"/>
        <w:ind w:left="626" w:right="96"/>
        <w:jc w:val="left"/>
      </w:pPr>
      <w:r>
        <w:rPr/>
        <w:t>（1）公司主营业务范围：制药、制造、销售仪器仪表及原材料等。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spacing w:before="76"/>
        <w:ind w:left="4455" w:right="4548" w:firstLine="0"/>
        <w:jc w:val="center"/>
        <w:rPr>
          <w:rFonts w:ascii="Times New Roman" w:hAnsi="Times New Roman" w:cs="Times New Roman" w:eastAsia="Times New Roman" w:hint="default"/>
          <w:sz w:val="18"/>
          <w:szCs w:val="18"/>
        </w:rPr>
      </w:pPr>
      <w:r>
        <w:rPr>
          <w:rFonts w:ascii="Times New Roman"/>
          <w:sz w:val="18"/>
        </w:rPr>
        <w:t>20</w:t>
      </w:r>
    </w:p>
    <w:p>
      <w:pPr>
        <w:spacing w:after="0"/>
        <w:jc w:val="center"/>
        <w:rPr>
          <w:rFonts w:ascii="Times New Roman" w:hAnsi="Times New Roman" w:cs="Times New Roman" w:eastAsia="Times New Roman" w:hint="default"/>
          <w:sz w:val="18"/>
          <w:szCs w:val="18"/>
        </w:rPr>
        <w:sectPr>
          <w:type w:val="continuous"/>
          <w:pgSz w:w="11910" w:h="16840"/>
          <w:pgMar w:top="780" w:bottom="280" w:left="1160" w:right="1520"/>
        </w:sectPr>
      </w:pPr>
    </w:p>
    <w:p>
      <w:pPr>
        <w:spacing w:line="240" w:lineRule="auto" w:before="11"/>
        <w:rPr>
          <w:rFonts w:ascii="Times New Roman" w:hAnsi="Times New Roman" w:cs="Times New Roman" w:eastAsia="Times New Roman" w:hint="default"/>
          <w:sz w:val="26"/>
          <w:szCs w:val="26"/>
        </w:rPr>
      </w:pPr>
    </w:p>
    <w:p>
      <w:pPr>
        <w:pStyle w:val="Heading4"/>
        <w:tabs>
          <w:tab w:pos="6963" w:val="left" w:leader="none"/>
        </w:tabs>
        <w:spacing w:line="240" w:lineRule="auto"/>
        <w:ind w:left="3650" w:right="0"/>
        <w:jc w:val="left"/>
        <w:rPr>
          <w:b w:val="0"/>
          <w:bCs w:val="0"/>
        </w:rPr>
      </w:pPr>
      <w:r>
        <w:rPr/>
        <w:pict>
          <v:shape style="position:absolute;margin-left:87.900002pt;margin-top:-11.486023pt;width:95.033pt;height:25.5pt;mso-position-horizontal-relative:page;mso-position-vertical-relative:paragraph;z-index:2200"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5"/>
          <w:szCs w:val="5"/>
        </w:rPr>
      </w:pPr>
    </w:p>
    <w:p>
      <w:pPr>
        <w:pStyle w:val="Heading3"/>
        <w:spacing w:line="357" w:lineRule="auto" w:before="26"/>
        <w:ind w:left="137" w:right="939" w:firstLine="482"/>
        <w:jc w:val="both"/>
      </w:pPr>
      <w:r>
        <w:rPr/>
        <w:t>（2）公司生产经营的主要产品为青蒿素类抗疟疾药物等药品、华立（HOLLEY） 牌系列电能表，同时公司还从事医药流通产业的经营。全年实现营业总收入</w:t>
      </w:r>
      <w:r>
        <w:rPr>
          <w:spacing w:val="-77"/>
        </w:rPr>
        <w:t> </w:t>
      </w:r>
      <w:r>
        <w:rPr/>
        <w:t>19.56</w:t>
      </w:r>
      <w:r>
        <w:rPr>
          <w:spacing w:val="-77"/>
        </w:rPr>
        <w:t> </w:t>
      </w:r>
      <w:r>
        <w:rPr/>
        <w:t>亿</w:t>
      </w:r>
      <w:r>
        <w:rPr/>
        <w:t> 元，较去年同期下降</w:t>
      </w:r>
      <w:r>
        <w:rPr>
          <w:spacing w:val="-60"/>
        </w:rPr>
        <w:t> </w:t>
      </w:r>
      <w:r>
        <w:rPr/>
        <w:t>31.68%，归属于母公司所有者的净利润为-8,289.01</w:t>
      </w:r>
      <w:r>
        <w:rPr>
          <w:spacing w:val="-60"/>
        </w:rPr>
        <w:t> </w:t>
      </w:r>
      <w:r>
        <w:rPr/>
        <w:t>万元。</w:t>
      </w:r>
    </w:p>
    <w:p>
      <w:pPr>
        <w:pStyle w:val="Heading3"/>
        <w:tabs>
          <w:tab w:pos="5540" w:val="left" w:leader="none"/>
        </w:tabs>
        <w:spacing w:line="240" w:lineRule="auto"/>
        <w:ind w:left="620" w:right="0"/>
        <w:jc w:val="left"/>
      </w:pPr>
      <w:r>
        <w:rPr/>
        <w:t>报告期内主营业务分行业、分产品构成情况</w:t>
        <w:tab/>
        <w:t>（单位：人民币万元）</w:t>
      </w:r>
    </w:p>
    <w:p>
      <w:pPr>
        <w:spacing w:line="240" w:lineRule="auto" w:before="10"/>
        <w:rPr>
          <w:rFonts w:ascii="宋体" w:hAnsi="宋体" w:cs="宋体" w:eastAsia="宋体"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2401"/>
        <w:gridCol w:w="1169"/>
        <w:gridCol w:w="1156"/>
        <w:gridCol w:w="840"/>
        <w:gridCol w:w="1260"/>
        <w:gridCol w:w="1260"/>
        <w:gridCol w:w="1154"/>
      </w:tblGrid>
      <w:tr>
        <w:trPr>
          <w:trHeight w:val="397" w:hRule="exact"/>
        </w:trPr>
        <w:tc>
          <w:tcPr>
            <w:tcW w:w="92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691"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452"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5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5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3"/>
              <w:ind w:left="9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51" w:right="0"/>
              <w:jc w:val="left"/>
              <w:rPr>
                <w:rFonts w:ascii="宋体" w:hAnsi="宋体" w:cs="宋体" w:eastAsia="宋体" w:hint="default"/>
                <w:sz w:val="21"/>
                <w:szCs w:val="21"/>
              </w:rPr>
            </w:pPr>
            <w:r>
              <w:rPr>
                <w:rFonts w:ascii="宋体" w:hAnsi="宋体" w:cs="宋体" w:eastAsia="宋体" w:hint="default"/>
                <w:sz w:val="21"/>
                <w:szCs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33" w:firstLine="76"/>
              <w:jc w:val="left"/>
              <w:rPr>
                <w:rFonts w:ascii="宋体" w:hAnsi="宋体" w:cs="宋体" w:eastAsia="宋体" w:hint="default"/>
                <w:sz w:val="21"/>
                <w:szCs w:val="21"/>
              </w:rPr>
            </w:pPr>
            <w:r>
              <w:rPr>
                <w:rFonts w:ascii="宋体" w:hAnsi="宋体" w:cs="宋体" w:eastAsia="宋体" w:hint="default"/>
                <w:sz w:val="21"/>
                <w:szCs w:val="21"/>
              </w:rPr>
              <w:t>营业收入比 </w:t>
            </w:r>
            <w:r>
              <w:rPr>
                <w:rFonts w:ascii="宋体" w:hAnsi="宋体" w:cs="宋体" w:eastAsia="宋体" w:hint="default"/>
                <w:spacing w:val="-16"/>
                <w:sz w:val="21"/>
                <w:szCs w:val="21"/>
              </w:rPr>
              <w:t>上年增减（%）</w:t>
            </w:r>
            <w:r>
              <w:rPr>
                <w:rFonts w:ascii="宋体" w:hAnsi="宋体" w:cs="宋体" w:eastAsia="宋体"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33" w:firstLine="76"/>
              <w:jc w:val="left"/>
              <w:rPr>
                <w:rFonts w:ascii="宋体" w:hAnsi="宋体" w:cs="宋体" w:eastAsia="宋体" w:hint="default"/>
                <w:sz w:val="21"/>
                <w:szCs w:val="21"/>
              </w:rPr>
            </w:pPr>
            <w:r>
              <w:rPr>
                <w:rFonts w:ascii="宋体" w:hAnsi="宋体" w:cs="宋体" w:eastAsia="宋体" w:hint="default"/>
                <w:sz w:val="21"/>
                <w:szCs w:val="21"/>
              </w:rPr>
              <w:t>营业成本比 </w:t>
            </w:r>
            <w:r>
              <w:rPr>
                <w:rFonts w:ascii="宋体" w:hAnsi="宋体" w:cs="宋体" w:eastAsia="宋体" w:hint="default"/>
                <w:spacing w:val="-16"/>
                <w:sz w:val="21"/>
                <w:szCs w:val="21"/>
              </w:rPr>
              <w:t>上年增减（%）</w:t>
            </w:r>
            <w:r>
              <w:rPr>
                <w:rFonts w:ascii="宋体" w:hAnsi="宋体" w:cs="宋体" w:eastAsia="宋体" w:hint="default"/>
                <w:sz w:val="21"/>
                <w:szCs w:val="21"/>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2" w:right="-34" w:firstLine="24"/>
              <w:jc w:val="left"/>
              <w:rPr>
                <w:rFonts w:ascii="宋体" w:hAnsi="宋体" w:cs="宋体" w:eastAsia="宋体" w:hint="default"/>
                <w:sz w:val="21"/>
                <w:szCs w:val="21"/>
              </w:rPr>
            </w:pPr>
            <w:r>
              <w:rPr>
                <w:rFonts w:ascii="宋体" w:hAnsi="宋体" w:cs="宋体" w:eastAsia="宋体" w:hint="default"/>
                <w:sz w:val="21"/>
                <w:szCs w:val="21"/>
              </w:rPr>
              <w:t>毛利率比上 年增减（%）</w:t>
            </w:r>
          </w:p>
        </w:tc>
      </w:tr>
      <w:tr>
        <w:trPr>
          <w:trHeight w:val="397"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仪表行业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7" w:right="0"/>
              <w:jc w:val="left"/>
              <w:rPr>
                <w:rFonts w:ascii="宋体" w:hAnsi="宋体" w:cs="宋体" w:eastAsia="宋体" w:hint="default"/>
                <w:sz w:val="21"/>
                <w:szCs w:val="21"/>
              </w:rPr>
            </w:pPr>
            <w:r>
              <w:rPr>
                <w:rFonts w:ascii="宋体"/>
                <w:sz w:val="21"/>
              </w:rPr>
              <w:t>102,505.78</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pacing w:val="-1"/>
                <w:sz w:val="21"/>
              </w:rPr>
              <w:t>66,703.35</w:t>
            </w:r>
            <w:r>
              <w:rPr>
                <w:rFonts w:ascii="宋体"/>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21"/>
                <w:szCs w:val="21"/>
              </w:rPr>
            </w:pPr>
            <w:r>
              <w:rPr>
                <w:rFonts w:ascii="宋体"/>
                <w:spacing w:val="-1"/>
                <w:sz w:val="21"/>
              </w:rPr>
              <w:t>34.93%</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pacing w:val="-1"/>
                <w:sz w:val="21"/>
              </w:rPr>
              <w:t>19.72%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z w:val="21"/>
              </w:rPr>
              <w:t>11.40%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4.86%</w:t>
            </w:r>
          </w:p>
        </w:tc>
      </w:tr>
      <w:tr>
        <w:trPr>
          <w:trHeight w:val="397"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青蒿素行业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9,691.02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pacing w:val="-1"/>
                <w:sz w:val="21"/>
              </w:rPr>
              <w:t>6,523.85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z w:val="21"/>
              </w:rPr>
              <w:t>32.68%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-31.90%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21"/>
                <w:szCs w:val="21"/>
              </w:rPr>
            </w:pPr>
            <w:r>
              <w:rPr>
                <w:rFonts w:ascii="宋体"/>
                <w:sz w:val="21"/>
              </w:rPr>
              <w:t>-39.51%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8.47%</w:t>
            </w:r>
          </w:p>
        </w:tc>
      </w:tr>
      <w:tr>
        <w:trPr>
          <w:trHeight w:val="397"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紫杉醇行业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1,673.81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pacing w:val="-1"/>
                <w:sz w:val="21"/>
              </w:rPr>
              <w:t>1,238.50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21"/>
                <w:szCs w:val="21"/>
              </w:rPr>
            </w:pPr>
            <w:r>
              <w:rPr>
                <w:rFonts w:ascii="宋体"/>
                <w:sz w:val="21"/>
              </w:rPr>
              <w:t>26.01%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pacing w:val="-1"/>
                <w:sz w:val="21"/>
              </w:rPr>
              <w:t>16.30%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z w:val="21"/>
              </w:rPr>
              <w:t>15.37%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0.59%</w:t>
            </w:r>
          </w:p>
        </w:tc>
      </w:tr>
      <w:tr>
        <w:trPr>
          <w:trHeight w:val="396"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其他药品销售</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9,141.13</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pacing w:val="-1"/>
                <w:sz w:val="21"/>
              </w:rPr>
              <w:t>6,554.52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21"/>
                <w:szCs w:val="21"/>
              </w:rPr>
            </w:pPr>
            <w:r>
              <w:rPr>
                <w:rFonts w:ascii="宋体"/>
                <w:sz w:val="21"/>
              </w:rPr>
              <w:t>28.30%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pacing w:val="-1"/>
                <w:sz w:val="21"/>
              </w:rPr>
              <w:t>28.69%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z w:val="21"/>
              </w:rPr>
              <w:t>25.02%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2.10%</w:t>
            </w:r>
          </w:p>
        </w:tc>
      </w:tr>
      <w:tr>
        <w:trPr>
          <w:trHeight w:val="397" w:hRule="exact"/>
        </w:trPr>
        <w:tc>
          <w:tcPr>
            <w:tcW w:w="92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397"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电力仪器仪表销售</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87" w:right="0"/>
              <w:jc w:val="left"/>
              <w:rPr>
                <w:rFonts w:ascii="宋体" w:hAnsi="宋体" w:cs="宋体" w:eastAsia="宋体" w:hint="default"/>
                <w:sz w:val="21"/>
                <w:szCs w:val="21"/>
              </w:rPr>
            </w:pPr>
            <w:r>
              <w:rPr>
                <w:rFonts w:ascii="宋体"/>
                <w:sz w:val="21"/>
              </w:rPr>
              <w:t>101,202.19</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pacing w:val="-1"/>
                <w:sz w:val="21"/>
              </w:rPr>
              <w:t>65,785.79</w:t>
            </w:r>
            <w:r>
              <w:rPr>
                <w:rFonts w:ascii="宋体"/>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3"/>
              <w:jc w:val="right"/>
              <w:rPr>
                <w:rFonts w:ascii="宋体" w:hAnsi="宋体" w:cs="宋体" w:eastAsia="宋体" w:hint="default"/>
                <w:sz w:val="21"/>
                <w:szCs w:val="21"/>
              </w:rPr>
            </w:pPr>
            <w:r>
              <w:rPr>
                <w:rFonts w:ascii="宋体"/>
                <w:spacing w:val="-1"/>
                <w:sz w:val="21"/>
              </w:rPr>
              <w:t>35.00%</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pacing w:val="-1"/>
                <w:sz w:val="21"/>
              </w:rPr>
              <w:t>19.47%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z w:val="21"/>
              </w:rPr>
              <w:t>11.02%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4.95%</w:t>
            </w:r>
          </w:p>
        </w:tc>
      </w:tr>
      <w:tr>
        <w:trPr>
          <w:trHeight w:val="397"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青蒿素及其相关产品销售</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9,691.02</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pacing w:val="-1"/>
                <w:sz w:val="21"/>
              </w:rPr>
              <w:t>6,523.85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z w:val="21"/>
              </w:rPr>
              <w:t>32.68%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-31.90%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21"/>
                <w:szCs w:val="21"/>
              </w:rPr>
            </w:pPr>
            <w:r>
              <w:rPr>
                <w:rFonts w:ascii="宋体"/>
                <w:sz w:val="21"/>
              </w:rPr>
              <w:t>-39.51%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8.47%</w:t>
            </w:r>
          </w:p>
        </w:tc>
      </w:tr>
      <w:tr>
        <w:trPr>
          <w:trHeight w:val="397"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燃气表、水热表销售</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1,303.59</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pacing w:val="-1"/>
                <w:sz w:val="21"/>
              </w:rPr>
              <w:t>917.56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21"/>
                <w:szCs w:val="21"/>
              </w:rPr>
            </w:pPr>
            <w:r>
              <w:rPr>
                <w:rFonts w:ascii="宋体"/>
                <w:sz w:val="21"/>
              </w:rPr>
              <w:t>29.61%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42.16%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21"/>
                <w:szCs w:val="21"/>
              </w:rPr>
            </w:pPr>
            <w:r>
              <w:rPr>
                <w:rFonts w:ascii="宋体"/>
                <w:sz w:val="21"/>
              </w:rPr>
              <w:t>47.58%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-2.59%</w:t>
            </w:r>
          </w:p>
        </w:tc>
      </w:tr>
      <w:tr>
        <w:trPr>
          <w:trHeight w:val="397" w:hRule="exact"/>
        </w:trPr>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紫杉醇及其相关产品</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1,673.81</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pacing w:val="-1"/>
                <w:sz w:val="21"/>
              </w:rPr>
              <w:t>1,238.50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1"/>
              <w:jc w:val="right"/>
              <w:rPr>
                <w:rFonts w:ascii="宋体" w:hAnsi="宋体" w:cs="宋体" w:eastAsia="宋体" w:hint="default"/>
                <w:sz w:val="21"/>
                <w:szCs w:val="21"/>
              </w:rPr>
            </w:pPr>
            <w:r>
              <w:rPr>
                <w:rFonts w:ascii="宋体"/>
                <w:sz w:val="21"/>
              </w:rPr>
              <w:t>26.01%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pacing w:val="-1"/>
                <w:sz w:val="21"/>
              </w:rPr>
              <w:t>16.30%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2"/>
              <w:jc w:val="right"/>
              <w:rPr>
                <w:rFonts w:ascii="宋体" w:hAnsi="宋体" w:cs="宋体" w:eastAsia="宋体" w:hint="default"/>
                <w:sz w:val="21"/>
                <w:szCs w:val="21"/>
              </w:rPr>
            </w:pPr>
            <w:r>
              <w:rPr>
                <w:rFonts w:ascii="宋体"/>
                <w:sz w:val="21"/>
              </w:rPr>
              <w:t>15.37%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20"/>
              <w:jc w:val="right"/>
              <w:rPr>
                <w:rFonts w:ascii="宋体" w:hAnsi="宋体" w:cs="宋体" w:eastAsia="宋体" w:hint="default"/>
                <w:sz w:val="21"/>
                <w:szCs w:val="21"/>
              </w:rPr>
            </w:pPr>
            <w:r>
              <w:rPr>
                <w:rFonts w:ascii="宋体"/>
                <w:sz w:val="21"/>
              </w:rPr>
              <w:t>0.59%</w:t>
            </w:r>
          </w:p>
        </w:tc>
      </w:tr>
    </w:tbl>
    <w:p>
      <w:pPr>
        <w:pStyle w:val="Heading3"/>
        <w:spacing w:line="240" w:lineRule="auto" w:before="81"/>
        <w:ind w:left="620" w:right="0"/>
        <w:jc w:val="left"/>
      </w:pPr>
      <w:r>
        <w:rPr/>
        <w:t>（3）占营业收入或营业利润10%以上的产品 （单位：人民币万元）</w:t>
      </w:r>
    </w:p>
    <w:p>
      <w:pPr>
        <w:spacing w:line="240" w:lineRule="auto" w:before="12"/>
        <w:rPr>
          <w:rFonts w:ascii="宋体" w:hAnsi="宋体" w:cs="宋体" w:eastAsia="宋体" w:hint="default"/>
          <w:sz w:val="23"/>
          <w:szCs w:val="23"/>
        </w:rPr>
      </w:pPr>
    </w:p>
    <w:tbl>
      <w:tblPr>
        <w:tblW w:w="0" w:type="auto"/>
        <w:jc w:val="left"/>
        <w:tblInd w:w="133" w:type="dxa"/>
        <w:tblLayout w:type="fixed"/>
        <w:tblCellMar>
          <w:top w:w="0" w:type="dxa"/>
          <w:left w:w="0" w:type="dxa"/>
          <w:bottom w:w="0" w:type="dxa"/>
          <w:right w:w="0" w:type="dxa"/>
        </w:tblCellMar>
        <w:tblLook w:val="01E0"/>
      </w:tblPr>
      <w:tblGrid>
        <w:gridCol w:w="2386"/>
        <w:gridCol w:w="1156"/>
        <w:gridCol w:w="1079"/>
        <w:gridCol w:w="840"/>
        <w:gridCol w:w="1366"/>
        <w:gridCol w:w="1364"/>
        <w:gridCol w:w="1470"/>
      </w:tblGrid>
      <w:tr>
        <w:trPr>
          <w:trHeight w:val="689"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452" w:right="0"/>
              <w:jc w:val="left"/>
              <w:rPr>
                <w:rFonts w:ascii="宋体" w:hAnsi="宋体" w:cs="宋体" w:eastAsia="宋体" w:hint="default"/>
                <w:sz w:val="21"/>
                <w:szCs w:val="21"/>
              </w:rPr>
            </w:pPr>
            <w:r>
              <w:rPr>
                <w:rFonts w:ascii="宋体" w:hAnsi="宋体" w:cs="宋体" w:eastAsia="宋体" w:hint="default"/>
                <w:sz w:val="21"/>
                <w:szCs w:val="21"/>
              </w:rPr>
              <w:t>分行业或分产品</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5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1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9"/>
              <w:ind w:left="46" w:right="47" w:firstLine="52"/>
              <w:jc w:val="left"/>
              <w:rPr>
                <w:rFonts w:ascii="宋体" w:hAnsi="宋体" w:cs="宋体" w:eastAsia="宋体" w:hint="default"/>
                <w:sz w:val="21"/>
                <w:szCs w:val="21"/>
              </w:rPr>
            </w:pPr>
            <w:r>
              <w:rPr>
                <w:rFonts w:ascii="宋体" w:hAnsi="宋体" w:cs="宋体" w:eastAsia="宋体" w:hint="default"/>
                <w:sz w:val="21"/>
                <w:szCs w:val="21"/>
              </w:rPr>
              <w:t>营业利 润率(%)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9"/>
              <w:ind w:left="99" w:right="47" w:hanging="53"/>
              <w:jc w:val="left"/>
              <w:rPr>
                <w:rFonts w:ascii="宋体" w:hAnsi="宋体" w:cs="宋体" w:eastAsia="宋体" w:hint="default"/>
                <w:sz w:val="21"/>
                <w:szCs w:val="21"/>
              </w:rPr>
            </w:pPr>
            <w:r>
              <w:rPr>
                <w:rFonts w:ascii="宋体" w:hAnsi="宋体" w:cs="宋体" w:eastAsia="宋体" w:hint="default"/>
                <w:sz w:val="21"/>
                <w:szCs w:val="21"/>
              </w:rPr>
              <w:t>营业收入比上 年增减（%）</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9"/>
              <w:ind w:left="99" w:right="47" w:hanging="53"/>
              <w:jc w:val="left"/>
              <w:rPr>
                <w:rFonts w:ascii="宋体" w:hAnsi="宋体" w:cs="宋体" w:eastAsia="宋体" w:hint="default"/>
                <w:sz w:val="21"/>
                <w:szCs w:val="21"/>
              </w:rPr>
            </w:pPr>
            <w:r>
              <w:rPr>
                <w:rFonts w:ascii="宋体" w:hAnsi="宋体" w:cs="宋体" w:eastAsia="宋体" w:hint="default"/>
                <w:sz w:val="21"/>
                <w:szCs w:val="21"/>
              </w:rPr>
              <w:t>营业成本比上 年增减（%）</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9"/>
              <w:ind w:left="46" w:right="47" w:firstLine="52"/>
              <w:jc w:val="left"/>
              <w:rPr>
                <w:rFonts w:ascii="宋体" w:hAnsi="宋体" w:cs="宋体" w:eastAsia="宋体" w:hint="default"/>
                <w:sz w:val="21"/>
                <w:szCs w:val="21"/>
              </w:rPr>
            </w:pPr>
            <w:r>
              <w:rPr>
                <w:rFonts w:ascii="宋体" w:hAnsi="宋体" w:cs="宋体" w:eastAsia="宋体" w:hint="default"/>
                <w:sz w:val="21"/>
                <w:szCs w:val="21"/>
              </w:rPr>
              <w:t>营业利润率比 上年增减（%）</w:t>
            </w:r>
          </w:p>
        </w:tc>
      </w:tr>
      <w:tr>
        <w:trPr>
          <w:trHeight w:val="577"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电力仪器仪表销售</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8"/>
              <w:jc w:val="right"/>
              <w:rPr>
                <w:rFonts w:ascii="宋体" w:hAnsi="宋体" w:cs="宋体" w:eastAsia="宋体" w:hint="default"/>
                <w:sz w:val="21"/>
                <w:szCs w:val="21"/>
              </w:rPr>
            </w:pPr>
            <w:r>
              <w:rPr>
                <w:rFonts w:ascii="宋体"/>
                <w:sz w:val="21"/>
              </w:rPr>
              <w:t>101,202.19</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65,785.79</w:t>
            </w:r>
            <w:r>
              <w:rPr>
                <w:rFonts w:ascii="宋体"/>
                <w:sz w:val="21"/>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3"/>
              <w:jc w:val="right"/>
              <w:rPr>
                <w:rFonts w:ascii="宋体" w:hAnsi="宋体" w:cs="宋体" w:eastAsia="宋体" w:hint="default"/>
                <w:sz w:val="21"/>
                <w:szCs w:val="21"/>
              </w:rPr>
            </w:pPr>
            <w:r>
              <w:rPr>
                <w:rFonts w:ascii="宋体"/>
                <w:spacing w:val="-1"/>
                <w:sz w:val="21"/>
              </w:rPr>
              <w:t>35.00%</w:t>
            </w:r>
            <w:r>
              <w:rPr>
                <w:rFonts w:ascii="宋体"/>
                <w:sz w:val="21"/>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19.47%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11.02%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4.95%</w:t>
            </w:r>
          </w:p>
        </w:tc>
      </w:tr>
      <w:tr>
        <w:trPr>
          <w:trHeight w:val="577"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青蒿素及其相关产品销售</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z w:val="21"/>
              </w:rPr>
              <w:t>9,691.02</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6,523.85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z w:val="21"/>
              </w:rPr>
              <w:t>32.68%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-31.90%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z w:val="21"/>
              </w:rPr>
              <w:t>-39.51%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z w:val="21"/>
              </w:rPr>
              <w:t>8.47%</w:t>
            </w:r>
          </w:p>
        </w:tc>
      </w:tr>
      <w:tr>
        <w:trPr>
          <w:trHeight w:val="577"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2" w:right="0"/>
              <w:jc w:val="left"/>
              <w:rPr>
                <w:rFonts w:ascii="宋体" w:hAnsi="宋体" w:cs="宋体" w:eastAsia="宋体" w:hint="default"/>
                <w:sz w:val="21"/>
                <w:szCs w:val="21"/>
              </w:rPr>
            </w:pPr>
            <w:r>
              <w:rPr>
                <w:rFonts w:ascii="宋体" w:hAnsi="宋体" w:cs="宋体" w:eastAsia="宋体" w:hint="default"/>
                <w:sz w:val="21"/>
                <w:szCs w:val="21"/>
              </w:rPr>
              <w:t>其他药品销售</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0"/>
              <w:jc w:val="right"/>
              <w:rPr>
                <w:rFonts w:ascii="宋体" w:hAnsi="宋体" w:cs="宋体" w:eastAsia="宋体" w:hint="default"/>
                <w:sz w:val="21"/>
                <w:szCs w:val="21"/>
              </w:rPr>
            </w:pPr>
            <w:r>
              <w:rPr>
                <w:rFonts w:ascii="宋体"/>
                <w:sz w:val="21"/>
              </w:rPr>
              <w:t>9,141.13</w:t>
            </w: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6,554.52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28.30%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2"/>
              <w:jc w:val="right"/>
              <w:rPr>
                <w:rFonts w:ascii="宋体" w:hAnsi="宋体" w:cs="宋体" w:eastAsia="宋体" w:hint="default"/>
                <w:sz w:val="21"/>
                <w:szCs w:val="21"/>
              </w:rPr>
            </w:pPr>
            <w:r>
              <w:rPr>
                <w:rFonts w:ascii="宋体"/>
                <w:spacing w:val="-1"/>
                <w:sz w:val="21"/>
              </w:rPr>
              <w:t>28.69%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25.02%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宋体" w:hAnsi="宋体" w:cs="宋体" w:eastAsia="宋体" w:hint="default"/>
                <w:sz w:val="21"/>
                <w:szCs w:val="21"/>
              </w:rPr>
            </w:pPr>
            <w:r>
              <w:rPr>
                <w:rFonts w:ascii="宋体"/>
                <w:sz w:val="21"/>
              </w:rPr>
              <w:t>2.10%</w:t>
            </w:r>
          </w:p>
        </w:tc>
      </w:tr>
    </w:tbl>
    <w:p>
      <w:pPr>
        <w:pStyle w:val="BodyText"/>
        <w:tabs>
          <w:tab w:pos="3977" w:val="left" w:leader="none"/>
        </w:tabs>
        <w:spacing w:line="240" w:lineRule="auto" w:before="81"/>
        <w:ind w:left="618" w:right="0"/>
        <w:jc w:val="left"/>
      </w:pPr>
      <w:r>
        <w:rPr>
          <w:sz w:val="24"/>
          <w:szCs w:val="24"/>
        </w:rPr>
        <w:t>（4）主</w:t>
      </w:r>
      <w:r>
        <w:rPr/>
        <w:t>营业务分地区情况</w:t>
        <w:tab/>
        <w:t>（单位：人民币万元）</w:t>
      </w:r>
    </w:p>
    <w:p>
      <w:pPr>
        <w:spacing w:line="240" w:lineRule="auto" w:before="12"/>
        <w:rPr>
          <w:rFonts w:ascii="宋体" w:hAnsi="宋体" w:cs="宋体" w:eastAsia="宋体" w:hint="default"/>
          <w:sz w:val="23"/>
          <w:szCs w:val="23"/>
        </w:rPr>
      </w:pPr>
    </w:p>
    <w:tbl>
      <w:tblPr>
        <w:tblW w:w="0" w:type="auto"/>
        <w:jc w:val="left"/>
        <w:tblInd w:w="868" w:type="dxa"/>
        <w:tblLayout w:type="fixed"/>
        <w:tblCellMar>
          <w:top w:w="0" w:type="dxa"/>
          <w:left w:w="0" w:type="dxa"/>
          <w:bottom w:w="0" w:type="dxa"/>
          <w:right w:w="0" w:type="dxa"/>
        </w:tblCellMar>
        <w:tblLook w:val="01E0"/>
      </w:tblPr>
      <w:tblGrid>
        <w:gridCol w:w="2414"/>
        <w:gridCol w:w="2206"/>
        <w:gridCol w:w="3150"/>
      </w:tblGrid>
      <w:tr>
        <w:trPr>
          <w:trHeight w:val="454"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tabs>
                <w:tab w:pos="420" w:val="left" w:leader="none"/>
              </w:tabs>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地</w:t>
              <w:tab/>
              <w:t>区</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主营业务收入比上年增减（%）</w:t>
            </w:r>
          </w:p>
        </w:tc>
      </w:tr>
      <w:tr>
        <w:trPr>
          <w:trHeight w:val="455"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21"/>
                <w:szCs w:val="21"/>
              </w:rPr>
            </w:pPr>
            <w:r>
              <w:rPr>
                <w:rFonts w:ascii="宋体"/>
                <w:sz w:val="21"/>
              </w:rPr>
              <w:t>17,654.01</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sz w:val="21"/>
              </w:rPr>
              <w:t>14.13%</w:t>
            </w:r>
          </w:p>
        </w:tc>
      </w:tr>
      <w:tr>
        <w:trPr>
          <w:trHeight w:val="454"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21"/>
                <w:szCs w:val="21"/>
              </w:rPr>
            </w:pPr>
            <w:r>
              <w:rPr>
                <w:rFonts w:ascii="宋体"/>
                <w:sz w:val="21"/>
              </w:rPr>
              <w:t>47,701.44</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-21.77%</w:t>
            </w:r>
          </w:p>
        </w:tc>
      </w:tr>
      <w:tr>
        <w:trPr>
          <w:trHeight w:val="454"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华中地区</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21"/>
                <w:szCs w:val="21"/>
              </w:rPr>
            </w:pPr>
            <w:r>
              <w:rPr>
                <w:rFonts w:ascii="宋体"/>
                <w:sz w:val="21"/>
              </w:rPr>
              <w:t>55,169.43</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sz w:val="21"/>
              </w:rPr>
              <w:t>2.18%</w:t>
            </w:r>
          </w:p>
        </w:tc>
      </w:tr>
      <w:tr>
        <w:trPr>
          <w:trHeight w:val="455"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21"/>
                <w:szCs w:val="21"/>
              </w:rPr>
            </w:pPr>
            <w:r>
              <w:rPr>
                <w:rFonts w:ascii="宋体"/>
                <w:sz w:val="21"/>
              </w:rPr>
              <w:t>24,444.08</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-74.23%</w:t>
            </w:r>
          </w:p>
        </w:tc>
      </w:tr>
      <w:tr>
        <w:trPr>
          <w:trHeight w:val="454"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21"/>
                <w:szCs w:val="21"/>
              </w:rPr>
            </w:pPr>
            <w:r>
              <w:rPr>
                <w:rFonts w:ascii="宋体"/>
                <w:sz w:val="21"/>
              </w:rPr>
              <w:t>13,387.55</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sz w:val="21"/>
              </w:rPr>
              <w:t>4.74%</w:t>
            </w:r>
          </w:p>
        </w:tc>
      </w:tr>
      <w:tr>
        <w:trPr>
          <w:trHeight w:val="455"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东北地区</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sz w:val="21"/>
              </w:rPr>
              <w:t>5,980.98</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-27.65%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before="76"/>
        <w:ind w:left="4451" w:right="5253" w:firstLine="0"/>
        <w:jc w:val="center"/>
        <w:rPr>
          <w:rFonts w:ascii="Times New Roman" w:hAnsi="Times New Roman" w:cs="Times New Roman" w:eastAsia="Times New Roman" w:hint="default"/>
          <w:sz w:val="18"/>
          <w:szCs w:val="18"/>
        </w:rPr>
      </w:pPr>
      <w:r>
        <w:rPr>
          <w:rFonts w:ascii="Times New Roman"/>
          <w:sz w:val="18"/>
        </w:rPr>
        <w:t>21</w:t>
      </w:r>
    </w:p>
    <w:p>
      <w:pPr>
        <w:spacing w:after="0"/>
        <w:jc w:val="center"/>
        <w:rPr>
          <w:rFonts w:ascii="Times New Roman" w:hAnsi="Times New Roman" w:cs="Times New Roman" w:eastAsia="Times New Roman" w:hint="default"/>
          <w:sz w:val="18"/>
          <w:szCs w:val="18"/>
        </w:rPr>
        <w:sectPr>
          <w:pgSz w:w="11910" w:h="16840"/>
          <w:pgMar w:top="640" w:bottom="280" w:left="1620" w:right="360"/>
        </w:sectPr>
      </w:pPr>
    </w:p>
    <w:p>
      <w:pPr>
        <w:spacing w:line="240" w:lineRule="auto" w:before="11"/>
        <w:rPr>
          <w:rFonts w:ascii="Times New Roman" w:hAnsi="Times New Roman" w:cs="Times New Roman" w:eastAsia="Times New Roman" w:hint="default"/>
          <w:sz w:val="26"/>
          <w:szCs w:val="26"/>
        </w:rPr>
      </w:pPr>
    </w:p>
    <w:p>
      <w:pPr>
        <w:pStyle w:val="Heading4"/>
        <w:tabs>
          <w:tab w:pos="6969" w:val="left" w:leader="none"/>
        </w:tabs>
        <w:spacing w:line="240" w:lineRule="auto"/>
        <w:ind w:left="3656" w:right="108"/>
        <w:jc w:val="left"/>
        <w:rPr>
          <w:b w:val="0"/>
          <w:bCs w:val="0"/>
        </w:rPr>
      </w:pPr>
      <w:r>
        <w:rPr/>
        <w:pict>
          <v:shape style="position:absolute;margin-left:65.160004pt;margin-top:-11.486023pt;width:95.052pt;height:25.5pt;mso-position-horizontal-relative:page;mso-position-vertical-relative:paragraph;z-index:2248"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7"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1"/>
        <w:rPr>
          <w:rFonts w:ascii="黑体" w:hAnsi="黑体" w:cs="黑体" w:eastAsia="黑体" w:hint="default"/>
          <w:b/>
          <w:bCs/>
          <w:sz w:val="10"/>
          <w:szCs w:val="10"/>
        </w:rPr>
      </w:pPr>
    </w:p>
    <w:tbl>
      <w:tblPr>
        <w:tblW w:w="0" w:type="auto"/>
        <w:jc w:val="left"/>
        <w:tblInd w:w="875" w:type="dxa"/>
        <w:tblLayout w:type="fixed"/>
        <w:tblCellMar>
          <w:top w:w="0" w:type="dxa"/>
          <w:left w:w="0" w:type="dxa"/>
          <w:bottom w:w="0" w:type="dxa"/>
          <w:right w:w="0" w:type="dxa"/>
        </w:tblCellMar>
        <w:tblLook w:val="01E0"/>
      </w:tblPr>
      <w:tblGrid>
        <w:gridCol w:w="2414"/>
        <w:gridCol w:w="2206"/>
        <w:gridCol w:w="3150"/>
      </w:tblGrid>
      <w:tr>
        <w:trPr>
          <w:trHeight w:val="455"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782"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sz w:val="21"/>
              </w:rPr>
              <w:t>5,468.69</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-12.86%</w:t>
            </w:r>
          </w:p>
        </w:tc>
      </w:tr>
      <w:tr>
        <w:trPr>
          <w:trHeight w:val="454"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tabs>
                <w:tab w:pos="1411" w:val="left" w:leader="none"/>
              </w:tabs>
              <w:spacing w:line="258" w:lineRule="exact"/>
              <w:ind w:left="781" w:right="0"/>
              <w:jc w:val="left"/>
              <w:rPr>
                <w:rFonts w:ascii="宋体" w:hAnsi="宋体" w:cs="宋体" w:eastAsia="宋体" w:hint="default"/>
                <w:sz w:val="21"/>
                <w:szCs w:val="21"/>
              </w:rPr>
            </w:pPr>
            <w:r>
              <w:rPr>
                <w:rFonts w:ascii="宋体" w:hAnsi="宋体" w:cs="宋体" w:eastAsia="宋体" w:hint="default"/>
                <w:sz w:val="21"/>
                <w:szCs w:val="21"/>
              </w:rPr>
              <w:t>境</w:t>
              <w:tab/>
              <w:t>外</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21"/>
                <w:szCs w:val="21"/>
              </w:rPr>
            </w:pPr>
            <w:r>
              <w:rPr>
                <w:rFonts w:ascii="宋体"/>
                <w:sz w:val="21"/>
              </w:rPr>
              <w:t>17,213.65</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-28.00%</w:t>
            </w:r>
          </w:p>
        </w:tc>
      </w:tr>
    </w:tbl>
    <w:p>
      <w:pPr>
        <w:tabs>
          <w:tab w:pos="4104" w:val="left" w:leader="none"/>
        </w:tabs>
        <w:spacing w:before="81"/>
        <w:ind w:left="624" w:right="108" w:firstLine="0"/>
        <w:jc w:val="left"/>
        <w:rPr>
          <w:rFonts w:ascii="宋体" w:hAnsi="宋体" w:cs="宋体" w:eastAsia="宋体" w:hint="default"/>
          <w:sz w:val="24"/>
          <w:szCs w:val="24"/>
        </w:rPr>
      </w:pPr>
      <w:r>
        <w:rPr>
          <w:rFonts w:ascii="宋体" w:hAnsi="宋体" w:cs="宋体" w:eastAsia="宋体" w:hint="default"/>
          <w:sz w:val="24"/>
          <w:szCs w:val="24"/>
        </w:rPr>
        <w:t>3、主要供应商、客户情况</w:t>
        <w:tab/>
        <w:t>（</w:t>
      </w:r>
      <w:r>
        <w:rPr>
          <w:rFonts w:ascii="宋体" w:hAnsi="宋体" w:cs="宋体" w:eastAsia="宋体" w:hint="default"/>
          <w:sz w:val="21"/>
          <w:szCs w:val="21"/>
        </w:rPr>
        <w:t>单位：人民币元</w:t>
      </w:r>
      <w:r>
        <w:rPr>
          <w:rFonts w:ascii="宋体" w:hAnsi="宋体" w:cs="宋体" w:eastAsia="宋体" w:hint="default"/>
          <w:sz w:val="24"/>
          <w:szCs w:val="24"/>
        </w:rPr>
        <w:t>）</w:t>
      </w:r>
    </w:p>
    <w:p>
      <w:pPr>
        <w:spacing w:line="240" w:lineRule="auto" w:before="12"/>
        <w:rPr>
          <w:rFonts w:ascii="宋体" w:hAnsi="宋体" w:cs="宋体" w:eastAsia="宋体" w:hint="default"/>
          <w:sz w:val="23"/>
          <w:szCs w:val="23"/>
        </w:rPr>
      </w:pPr>
    </w:p>
    <w:tbl>
      <w:tblPr>
        <w:tblW w:w="0" w:type="auto"/>
        <w:jc w:val="left"/>
        <w:tblInd w:w="242" w:type="dxa"/>
        <w:tblLayout w:type="fixed"/>
        <w:tblCellMar>
          <w:top w:w="0" w:type="dxa"/>
          <w:left w:w="0" w:type="dxa"/>
          <w:bottom w:w="0" w:type="dxa"/>
          <w:right w:w="0" w:type="dxa"/>
        </w:tblCellMar>
        <w:tblLook w:val="01E0"/>
      </w:tblPr>
      <w:tblGrid>
        <w:gridCol w:w="2834"/>
        <w:gridCol w:w="1920"/>
        <w:gridCol w:w="2756"/>
        <w:gridCol w:w="1204"/>
      </w:tblGrid>
      <w:tr>
        <w:trPr>
          <w:trHeight w:val="469" w:hRule="exact"/>
        </w:trPr>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前五名供应商采购总额</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right="0"/>
              <w:jc w:val="center"/>
              <w:rPr>
                <w:rFonts w:ascii="宋体" w:hAnsi="宋体" w:cs="宋体" w:eastAsia="宋体" w:hint="default"/>
                <w:sz w:val="21"/>
                <w:szCs w:val="21"/>
              </w:rPr>
            </w:pPr>
            <w:r>
              <w:rPr>
                <w:rFonts w:ascii="宋体"/>
                <w:sz w:val="21"/>
              </w:rPr>
              <w:t>104,568,215.69</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1" w:right="0"/>
              <w:jc w:val="center"/>
              <w:rPr>
                <w:rFonts w:ascii="宋体" w:hAnsi="宋体" w:cs="宋体" w:eastAsia="宋体" w:hint="default"/>
                <w:sz w:val="21"/>
                <w:szCs w:val="21"/>
              </w:rPr>
            </w:pPr>
            <w:r>
              <w:rPr>
                <w:rFonts w:ascii="宋体" w:hAnsi="宋体" w:cs="宋体" w:eastAsia="宋体" w:hint="default"/>
                <w:sz w:val="21"/>
                <w:szCs w:val="21"/>
              </w:rPr>
              <w:t>占采购总额比例（%）</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32" w:right="0"/>
              <w:jc w:val="left"/>
              <w:rPr>
                <w:rFonts w:ascii="宋体" w:hAnsi="宋体" w:cs="宋体" w:eastAsia="宋体" w:hint="default"/>
                <w:sz w:val="21"/>
                <w:szCs w:val="21"/>
              </w:rPr>
            </w:pPr>
            <w:r>
              <w:rPr>
                <w:rFonts w:ascii="宋体"/>
                <w:sz w:val="21"/>
              </w:rPr>
              <w:t>6.42%</w:t>
            </w:r>
          </w:p>
        </w:tc>
      </w:tr>
      <w:tr>
        <w:trPr>
          <w:trHeight w:val="468" w:hRule="exact"/>
        </w:trPr>
        <w:tc>
          <w:tcPr>
            <w:tcW w:w="2834"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前五名客户销售总额</w:t>
            </w:r>
          </w:p>
        </w:tc>
        <w:tc>
          <w:tcPr>
            <w:tcW w:w="1920"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right="0"/>
              <w:jc w:val="center"/>
              <w:rPr>
                <w:rFonts w:ascii="宋体" w:hAnsi="宋体" w:cs="宋体" w:eastAsia="宋体" w:hint="default"/>
                <w:sz w:val="21"/>
                <w:szCs w:val="21"/>
              </w:rPr>
            </w:pPr>
            <w:r>
              <w:rPr>
                <w:rFonts w:ascii="宋体"/>
                <w:sz w:val="21"/>
              </w:rPr>
              <w:t>119,845,923.81</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1" w:right="0"/>
              <w:jc w:val="center"/>
              <w:rPr>
                <w:rFonts w:ascii="宋体" w:hAnsi="宋体" w:cs="宋体" w:eastAsia="宋体" w:hint="default"/>
                <w:sz w:val="21"/>
                <w:szCs w:val="21"/>
              </w:rPr>
            </w:pPr>
            <w:r>
              <w:rPr>
                <w:rFonts w:ascii="宋体" w:hAnsi="宋体" w:cs="宋体" w:eastAsia="宋体" w:hint="default"/>
                <w:sz w:val="21"/>
                <w:szCs w:val="21"/>
              </w:rPr>
              <w:t>占销售总额比例（%）</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331" w:right="0"/>
              <w:jc w:val="left"/>
              <w:rPr>
                <w:rFonts w:ascii="宋体" w:hAnsi="宋体" w:cs="宋体" w:eastAsia="宋体" w:hint="default"/>
                <w:sz w:val="21"/>
                <w:szCs w:val="21"/>
              </w:rPr>
            </w:pPr>
            <w:r>
              <w:rPr>
                <w:rFonts w:ascii="宋体"/>
                <w:sz w:val="21"/>
              </w:rPr>
              <w:t>6.13%</w:t>
            </w:r>
          </w:p>
        </w:tc>
      </w:tr>
    </w:tbl>
    <w:p>
      <w:pPr>
        <w:spacing w:before="82"/>
        <w:ind w:left="624" w:right="108" w:firstLine="0"/>
        <w:jc w:val="left"/>
        <w:rPr>
          <w:rFonts w:ascii="宋体" w:hAnsi="宋体" w:cs="宋体" w:eastAsia="宋体" w:hint="default"/>
          <w:sz w:val="24"/>
          <w:szCs w:val="24"/>
        </w:rPr>
      </w:pPr>
      <w:r>
        <w:rPr>
          <w:rFonts w:ascii="宋体" w:hAnsi="宋体" w:cs="宋体" w:eastAsia="宋体" w:hint="default"/>
          <w:sz w:val="24"/>
          <w:szCs w:val="24"/>
        </w:rPr>
        <w:t>4、报告期内公司资产构成同比发生重大变动事项的说明（</w:t>
      </w:r>
      <w:r>
        <w:rPr>
          <w:rFonts w:ascii="宋体" w:hAnsi="宋体" w:cs="宋体" w:eastAsia="宋体" w:hint="default"/>
          <w:sz w:val="21"/>
          <w:szCs w:val="21"/>
        </w:rPr>
        <w:t>单位：人民币元</w:t>
      </w:r>
      <w:r>
        <w:rPr>
          <w:rFonts w:ascii="宋体" w:hAnsi="宋体" w:cs="宋体" w:eastAsia="宋体" w:hint="default"/>
          <w:sz w:val="24"/>
          <w:szCs w:val="24"/>
        </w:rPr>
        <w:t>）</w:t>
      </w:r>
    </w:p>
    <w:p>
      <w:pPr>
        <w:spacing w:line="240" w:lineRule="auto" w:before="12"/>
        <w:rPr>
          <w:rFonts w:ascii="宋体" w:hAnsi="宋体" w:cs="宋体" w:eastAsia="宋体" w:hint="default"/>
          <w:sz w:val="23"/>
          <w:szCs w:val="23"/>
        </w:rPr>
      </w:pPr>
    </w:p>
    <w:tbl>
      <w:tblPr>
        <w:tblW w:w="0" w:type="auto"/>
        <w:jc w:val="left"/>
        <w:tblInd w:w="209" w:type="dxa"/>
        <w:tblLayout w:type="fixed"/>
        <w:tblCellMar>
          <w:top w:w="0" w:type="dxa"/>
          <w:left w:w="0" w:type="dxa"/>
          <w:bottom w:w="0" w:type="dxa"/>
          <w:right w:w="0" w:type="dxa"/>
        </w:tblCellMar>
        <w:tblLook w:val="01E0"/>
      </w:tblPr>
      <w:tblGrid>
        <w:gridCol w:w="1571"/>
        <w:gridCol w:w="1765"/>
        <w:gridCol w:w="1802"/>
        <w:gridCol w:w="1792"/>
        <w:gridCol w:w="950"/>
        <w:gridCol w:w="829"/>
      </w:tblGrid>
      <w:tr>
        <w:trPr>
          <w:trHeight w:val="610" w:hRule="exact"/>
        </w:trPr>
        <w:tc>
          <w:tcPr>
            <w:tcW w:w="1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65" w:type="dxa"/>
            <w:tcBorders>
              <w:top w:val="single" w:sz="2" w:space="0" w:color="000000"/>
              <w:left w:val="single" w:sz="2" w:space="0" w:color="000000"/>
              <w:bottom w:val="single" w:sz="2" w:space="0" w:color="000000"/>
              <w:right w:val="single" w:sz="2" w:space="0" w:color="000000"/>
            </w:tcBorders>
          </w:tcPr>
          <w:p>
            <w:pPr>
              <w:pStyle w:val="TableParagraph"/>
              <w:spacing w:line="269" w:lineRule="exact"/>
              <w:ind w:left="14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105"/>
                <w:sz w:val="21"/>
                <w:szCs w:val="21"/>
              </w:rPr>
              <w:t>日</w:t>
            </w:r>
            <w:r>
              <w:rPr>
                <w:rFonts w:ascii="宋体" w:hAnsi="宋体" w:cs="宋体" w:eastAsia="宋体" w:hint="default"/>
                <w:spacing w:val="-1"/>
                <w:sz w:val="21"/>
                <w:szCs w:val="21"/>
              </w:rPr>
              <w:t>（</w:t>
            </w:r>
            <w:r>
              <w:rPr>
                <w:rFonts w:ascii="宋体" w:hAnsi="宋体" w:cs="宋体" w:eastAsia="宋体" w:hint="default"/>
                <w:sz w:val="21"/>
                <w:szCs w:val="21"/>
              </w:rPr>
              <w:t>或</w:t>
            </w:r>
            <w:r>
              <w:rPr>
                <w:rFonts w:ascii="宋体" w:hAnsi="宋体" w:cs="宋体" w:eastAsia="宋体" w:hint="default"/>
                <w:spacing w:val="-66"/>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9</w:t>
            </w:r>
            <w:r>
              <w:rPr>
                <w:rFonts w:ascii="宋体" w:hAnsi="宋体" w:cs="宋体" w:eastAsia="宋体" w:hint="default"/>
                <w:spacing w:val="-66"/>
                <w:sz w:val="21"/>
                <w:szCs w:val="21"/>
              </w:rPr>
              <w:t> </w:t>
            </w:r>
            <w:r>
              <w:rPr>
                <w:rFonts w:ascii="宋体" w:hAnsi="宋体" w:cs="宋体" w:eastAsia="宋体" w:hint="default"/>
                <w:spacing w:val="-1"/>
                <w:sz w:val="21"/>
                <w:szCs w:val="21"/>
              </w:rPr>
              <w:t>年度）</w:t>
            </w:r>
            <w:r>
              <w:rPr>
                <w:rFonts w:ascii="宋体" w:hAnsi="宋体" w:cs="宋体" w:eastAsia="宋体" w:hint="default"/>
                <w:sz w:val="21"/>
                <w:szCs w:val="21"/>
              </w:rPr>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69" w:lineRule="exact"/>
              <w:ind w:left="164"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pacing w:val="-93"/>
                <w:sz w:val="21"/>
                <w:szCs w:val="21"/>
              </w:rPr>
              <w:t>日</w:t>
            </w:r>
            <w:r>
              <w:rPr>
                <w:rFonts w:ascii="宋体" w:hAnsi="宋体" w:cs="宋体" w:eastAsia="宋体" w:hint="default"/>
                <w:spacing w:val="-1"/>
                <w:sz w:val="21"/>
                <w:szCs w:val="21"/>
              </w:rPr>
              <w:t>（</w:t>
            </w:r>
            <w:r>
              <w:rPr>
                <w:rFonts w:ascii="宋体" w:hAnsi="宋体" w:cs="宋体" w:eastAsia="宋体" w:hint="default"/>
                <w:sz w:val="21"/>
                <w:szCs w:val="21"/>
              </w:rPr>
              <w:t>或</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1"/>
                <w:sz w:val="21"/>
                <w:szCs w:val="21"/>
              </w:rPr>
              <w:t>年度）</w:t>
            </w:r>
            <w:r>
              <w:rPr>
                <w:rFonts w:ascii="宋体" w:hAnsi="宋体" w:cs="宋体" w:eastAsia="宋体" w:hint="default"/>
                <w:sz w:val="21"/>
                <w:szCs w:val="21"/>
              </w:rPr>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1"/>
              <w:ind w:right="1"/>
              <w:jc w:val="center"/>
              <w:rPr>
                <w:rFonts w:ascii="宋体" w:hAnsi="宋体" w:cs="宋体" w:eastAsia="宋体" w:hint="default"/>
                <w:sz w:val="21"/>
                <w:szCs w:val="21"/>
              </w:rPr>
            </w:pPr>
            <w:r>
              <w:rPr>
                <w:rFonts w:ascii="宋体" w:hAnsi="宋体" w:cs="宋体" w:eastAsia="宋体" w:hint="default"/>
                <w:sz w:val="21"/>
                <w:szCs w:val="21"/>
              </w:rPr>
              <w:t>差异变动金额</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before="21"/>
              <w:ind w:left="158" w:right="155"/>
              <w:jc w:val="left"/>
              <w:rPr>
                <w:rFonts w:ascii="宋体" w:hAnsi="宋体" w:cs="宋体" w:eastAsia="宋体" w:hint="default"/>
                <w:sz w:val="21"/>
                <w:szCs w:val="21"/>
              </w:rPr>
            </w:pPr>
            <w:r>
              <w:rPr>
                <w:rFonts w:ascii="宋体" w:hAnsi="宋体" w:cs="宋体" w:eastAsia="宋体" w:hint="default"/>
                <w:sz w:val="21"/>
                <w:szCs w:val="21"/>
              </w:rPr>
              <w:t>差异变 动幅度</w:t>
            </w:r>
          </w:p>
        </w:tc>
        <w:tc>
          <w:tcPr>
            <w:tcW w:w="829"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before="21"/>
              <w:ind w:left="201" w:right="200"/>
              <w:jc w:val="left"/>
              <w:rPr>
                <w:rFonts w:ascii="宋体" w:hAnsi="宋体" w:cs="宋体" w:eastAsia="宋体" w:hint="default"/>
                <w:sz w:val="21"/>
                <w:szCs w:val="21"/>
              </w:rPr>
            </w:pPr>
            <w:r>
              <w:rPr>
                <w:rFonts w:ascii="宋体" w:hAnsi="宋体" w:cs="宋体" w:eastAsia="宋体" w:hint="default"/>
                <w:sz w:val="21"/>
                <w:szCs w:val="21"/>
              </w:rPr>
              <w:t>原因 分析</w:t>
            </w:r>
          </w:p>
        </w:tc>
      </w:tr>
      <w:tr>
        <w:trPr>
          <w:trHeight w:val="458" w:hRule="exact"/>
        </w:trPr>
        <w:tc>
          <w:tcPr>
            <w:tcW w:w="1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77" w:right="0"/>
              <w:jc w:val="center"/>
              <w:rPr>
                <w:rFonts w:ascii="宋体" w:hAnsi="宋体" w:cs="宋体" w:eastAsia="宋体" w:hint="default"/>
                <w:sz w:val="21"/>
                <w:szCs w:val="21"/>
              </w:rPr>
            </w:pPr>
            <w:r>
              <w:rPr>
                <w:rFonts w:ascii="宋体"/>
                <w:sz w:val="21"/>
              </w:rPr>
              <w:t>366,443,760.03</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693,719,930.22</w:t>
            </w:r>
            <w:r>
              <w:rPr>
                <w:rFonts w:ascii="宋体"/>
                <w:sz w:val="21"/>
              </w:rPr>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-327,276,170.19</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6" w:right="0"/>
              <w:jc w:val="left"/>
              <w:rPr>
                <w:rFonts w:ascii="宋体" w:hAnsi="宋体" w:cs="宋体" w:eastAsia="宋体" w:hint="default"/>
                <w:sz w:val="21"/>
                <w:szCs w:val="21"/>
              </w:rPr>
            </w:pPr>
            <w:r>
              <w:rPr>
                <w:rFonts w:ascii="宋体"/>
                <w:sz w:val="21"/>
              </w:rPr>
              <w:t>-47.18%</w:t>
            </w:r>
          </w:p>
        </w:tc>
        <w:tc>
          <w:tcPr>
            <w:tcW w:w="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460" w:hRule="exact"/>
        </w:trPr>
        <w:tc>
          <w:tcPr>
            <w:tcW w:w="1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82" w:right="0"/>
              <w:jc w:val="center"/>
              <w:rPr>
                <w:rFonts w:ascii="宋体" w:hAnsi="宋体" w:cs="宋体" w:eastAsia="宋体" w:hint="default"/>
                <w:sz w:val="21"/>
                <w:szCs w:val="21"/>
              </w:rPr>
            </w:pPr>
            <w:r>
              <w:rPr>
                <w:rFonts w:ascii="宋体"/>
                <w:sz w:val="21"/>
              </w:rPr>
              <w:t>28,026,660.16</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174,674,903.05</w:t>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-146,648,242.89</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6" w:right="0"/>
              <w:jc w:val="left"/>
              <w:rPr>
                <w:rFonts w:ascii="宋体" w:hAnsi="宋体" w:cs="宋体" w:eastAsia="宋体" w:hint="default"/>
                <w:sz w:val="21"/>
                <w:szCs w:val="21"/>
              </w:rPr>
            </w:pPr>
            <w:r>
              <w:rPr>
                <w:rFonts w:ascii="宋体"/>
                <w:sz w:val="21"/>
              </w:rPr>
              <w:t>-83.95%</w:t>
            </w:r>
          </w:p>
        </w:tc>
        <w:tc>
          <w:tcPr>
            <w:tcW w:w="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458" w:hRule="exact"/>
        </w:trPr>
        <w:tc>
          <w:tcPr>
            <w:tcW w:w="1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77" w:right="0"/>
              <w:jc w:val="center"/>
              <w:rPr>
                <w:rFonts w:ascii="宋体" w:hAnsi="宋体" w:cs="宋体" w:eastAsia="宋体" w:hint="default"/>
                <w:sz w:val="21"/>
                <w:szCs w:val="21"/>
              </w:rPr>
            </w:pPr>
            <w:r>
              <w:rPr>
                <w:rFonts w:ascii="宋体"/>
                <w:sz w:val="21"/>
              </w:rPr>
              <w:t>453,100,000.00</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688,390,000.00</w:t>
            </w:r>
            <w:r>
              <w:rPr>
                <w:rFonts w:ascii="宋体"/>
                <w:sz w:val="21"/>
              </w:rPr>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-235,290,000.00</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6" w:right="0"/>
              <w:jc w:val="left"/>
              <w:rPr>
                <w:rFonts w:ascii="宋体" w:hAnsi="宋体" w:cs="宋体" w:eastAsia="宋体" w:hint="default"/>
                <w:sz w:val="21"/>
                <w:szCs w:val="21"/>
              </w:rPr>
            </w:pPr>
            <w:r>
              <w:rPr>
                <w:rFonts w:ascii="宋体"/>
                <w:sz w:val="21"/>
              </w:rPr>
              <w:t>-34.18%</w:t>
            </w:r>
          </w:p>
        </w:tc>
        <w:tc>
          <w:tcPr>
            <w:tcW w:w="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r>
      <w:tr>
        <w:trPr>
          <w:trHeight w:val="460" w:hRule="exact"/>
        </w:trPr>
        <w:tc>
          <w:tcPr>
            <w:tcW w:w="1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77" w:right="0"/>
              <w:jc w:val="center"/>
              <w:rPr>
                <w:rFonts w:ascii="宋体" w:hAnsi="宋体" w:cs="宋体" w:eastAsia="宋体" w:hint="default"/>
                <w:sz w:val="21"/>
                <w:szCs w:val="21"/>
              </w:rPr>
            </w:pPr>
            <w:r>
              <w:rPr>
                <w:rFonts w:ascii="宋体"/>
                <w:sz w:val="21"/>
              </w:rPr>
              <w:t>243,512,603.13</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399,058,710.87</w:t>
            </w:r>
            <w:r>
              <w:rPr>
                <w:rFonts w:ascii="宋体"/>
                <w:sz w:val="21"/>
              </w:rPr>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-155,546,107.74</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6" w:right="0"/>
              <w:jc w:val="left"/>
              <w:rPr>
                <w:rFonts w:ascii="宋体" w:hAnsi="宋体" w:cs="宋体" w:eastAsia="宋体" w:hint="default"/>
                <w:sz w:val="21"/>
                <w:szCs w:val="21"/>
              </w:rPr>
            </w:pPr>
            <w:r>
              <w:rPr>
                <w:rFonts w:ascii="宋体"/>
                <w:sz w:val="21"/>
              </w:rPr>
              <w:t>-38.98%</w:t>
            </w:r>
          </w:p>
        </w:tc>
        <w:tc>
          <w:tcPr>
            <w:tcW w:w="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458" w:hRule="exact"/>
        </w:trPr>
        <w:tc>
          <w:tcPr>
            <w:tcW w:w="1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77" w:right="0"/>
              <w:jc w:val="center"/>
              <w:rPr>
                <w:rFonts w:ascii="宋体" w:hAnsi="宋体" w:cs="宋体" w:eastAsia="宋体" w:hint="default"/>
                <w:sz w:val="21"/>
                <w:szCs w:val="21"/>
              </w:rPr>
            </w:pPr>
            <w:r>
              <w:rPr>
                <w:rFonts w:ascii="宋体"/>
                <w:sz w:val="21"/>
              </w:rPr>
              <w:t>116,877,174.77</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218,412,409.58</w:t>
            </w:r>
            <w:r>
              <w:rPr>
                <w:rFonts w:ascii="宋体"/>
                <w:sz w:val="21"/>
              </w:rPr>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-101,535,234.81</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6" w:right="0"/>
              <w:jc w:val="left"/>
              <w:rPr>
                <w:rFonts w:ascii="宋体" w:hAnsi="宋体" w:cs="宋体" w:eastAsia="宋体" w:hint="default"/>
                <w:sz w:val="21"/>
                <w:szCs w:val="21"/>
              </w:rPr>
            </w:pPr>
            <w:r>
              <w:rPr>
                <w:rFonts w:ascii="宋体"/>
                <w:sz w:val="21"/>
              </w:rPr>
              <w:t>-46.49%</w:t>
            </w:r>
          </w:p>
        </w:tc>
        <w:tc>
          <w:tcPr>
            <w:tcW w:w="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w:t>
            </w:r>
          </w:p>
        </w:tc>
      </w:tr>
      <w:tr>
        <w:trPr>
          <w:trHeight w:val="552" w:hRule="exact"/>
        </w:trPr>
        <w:tc>
          <w:tcPr>
            <w:tcW w:w="1571"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一年内到期的</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77" w:right="0"/>
              <w:jc w:val="center"/>
              <w:rPr>
                <w:rFonts w:ascii="宋体" w:hAnsi="宋体" w:cs="宋体" w:eastAsia="宋体" w:hint="default"/>
                <w:sz w:val="21"/>
                <w:szCs w:val="21"/>
              </w:rPr>
            </w:pPr>
            <w:r>
              <w:rPr>
                <w:rFonts w:ascii="宋体"/>
                <w:sz w:val="21"/>
              </w:rPr>
              <w:t>122,000,000.00</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17,960,000.00</w:t>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sz w:val="21"/>
              </w:rPr>
              <w:t>104,040,000.00</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579.29%</w:t>
            </w:r>
          </w:p>
        </w:tc>
        <w:tc>
          <w:tcPr>
            <w:tcW w:w="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5</w:t>
            </w:r>
          </w:p>
        </w:tc>
      </w:tr>
      <w:tr>
        <w:trPr>
          <w:trHeight w:val="458" w:hRule="exact"/>
        </w:trPr>
        <w:tc>
          <w:tcPr>
            <w:tcW w:w="15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77" w:right="0"/>
              <w:jc w:val="center"/>
              <w:rPr>
                <w:rFonts w:ascii="宋体" w:hAnsi="宋体" w:cs="宋体" w:eastAsia="宋体" w:hint="default"/>
                <w:sz w:val="21"/>
                <w:szCs w:val="21"/>
              </w:rPr>
            </w:pPr>
            <w:r>
              <w:rPr>
                <w:rFonts w:ascii="宋体"/>
                <w:sz w:val="21"/>
              </w:rPr>
              <w:t>113,561,711.15</w:t>
            </w:r>
          </w:p>
        </w:tc>
        <w:tc>
          <w:tcPr>
            <w:tcW w:w="18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pacing w:val="-1"/>
                <w:sz w:val="21"/>
              </w:rPr>
              <w:t>297,102,317.43</w:t>
            </w:r>
            <w:r>
              <w:rPr>
                <w:rFonts w:ascii="宋体"/>
                <w:sz w:val="21"/>
              </w:rPr>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sz w:val="21"/>
              </w:rPr>
              <w:t>-183,540,606.28</w:t>
            </w:r>
          </w:p>
        </w:tc>
        <w:tc>
          <w:tcPr>
            <w:tcW w:w="9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6" w:right="0"/>
              <w:jc w:val="left"/>
              <w:rPr>
                <w:rFonts w:ascii="宋体" w:hAnsi="宋体" w:cs="宋体" w:eastAsia="宋体" w:hint="default"/>
                <w:sz w:val="21"/>
                <w:szCs w:val="21"/>
              </w:rPr>
            </w:pPr>
            <w:r>
              <w:rPr>
                <w:rFonts w:ascii="宋体"/>
                <w:sz w:val="21"/>
              </w:rPr>
              <w:t>-61.78%</w:t>
            </w:r>
          </w:p>
        </w:tc>
        <w:tc>
          <w:tcPr>
            <w:tcW w:w="82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6</w:t>
            </w:r>
          </w:p>
        </w:tc>
      </w:tr>
    </w:tbl>
    <w:p>
      <w:pPr>
        <w:pStyle w:val="Heading3"/>
        <w:spacing w:line="357" w:lineRule="auto" w:before="81"/>
        <w:ind w:right="120" w:firstLine="480"/>
        <w:jc w:val="left"/>
      </w:pPr>
      <w:r>
        <w:rPr/>
        <w:t>注</w:t>
      </w:r>
      <w:r>
        <w:rPr>
          <w:spacing w:val="-60"/>
        </w:rPr>
        <w:t> </w:t>
      </w:r>
      <w:r>
        <w:rPr/>
        <w:t>1：主要系本年处置医药流通子公司北京华立九州医药有限公司、北京华立永</w:t>
      </w:r>
      <w:r>
        <w:rPr/>
        <w:t> 正医药有限责任公司、广州华立万特医药有限公司所致。</w:t>
      </w:r>
    </w:p>
    <w:p>
      <w:pPr>
        <w:pStyle w:val="Heading3"/>
        <w:spacing w:line="357" w:lineRule="auto"/>
        <w:ind w:left="624" w:right="2280"/>
        <w:jc w:val="left"/>
      </w:pPr>
      <w:r>
        <w:rPr/>
        <w:t>注</w:t>
      </w:r>
      <w:r>
        <w:rPr>
          <w:spacing w:val="-60"/>
        </w:rPr>
        <w:t> </w:t>
      </w:r>
      <w:r>
        <w:rPr/>
        <w:t>2：主要系本年子公司华立仪表集团转让在建工程所致。</w:t>
      </w:r>
      <w:r>
        <w:rPr/>
        <w:t> 注</w:t>
      </w:r>
      <w:r>
        <w:rPr>
          <w:spacing w:val="-60"/>
        </w:rPr>
        <w:t> </w:t>
      </w:r>
      <w:r>
        <w:rPr/>
        <w:t>3：主要系本年处置子公司所致。</w:t>
      </w:r>
    </w:p>
    <w:p>
      <w:pPr>
        <w:pStyle w:val="Heading3"/>
        <w:spacing w:line="357" w:lineRule="auto"/>
        <w:ind w:right="180" w:firstLine="480"/>
        <w:jc w:val="left"/>
      </w:pPr>
      <w:r>
        <w:rPr/>
        <w:t>注</w:t>
      </w:r>
      <w:r>
        <w:rPr>
          <w:spacing w:val="-60"/>
        </w:rPr>
        <w:t> </w:t>
      </w:r>
      <w:r>
        <w:rPr/>
        <w:t>4：本年因在建工程转让结转浙江华科实业开发有限公司预付的转让款</w:t>
      </w:r>
      <w:r>
        <w:rPr>
          <w:spacing w:val="-60"/>
        </w:rPr>
        <w:t> </w:t>
      </w:r>
      <w:r>
        <w:rPr/>
        <w:t>8,600</w:t>
      </w:r>
      <w:r>
        <w:rPr/>
        <w:t> 万元而减少其他应付款，其他减少主要系处置子公司所致。</w:t>
      </w:r>
    </w:p>
    <w:p>
      <w:pPr>
        <w:pStyle w:val="Heading3"/>
        <w:spacing w:line="240" w:lineRule="auto"/>
        <w:ind w:left="624" w:right="108"/>
        <w:jc w:val="left"/>
      </w:pPr>
      <w:r>
        <w:rPr/>
        <w:t>注</w:t>
      </w:r>
      <w:r>
        <w:rPr>
          <w:spacing w:val="-60"/>
        </w:rPr>
        <w:t> </w:t>
      </w:r>
      <w:r>
        <w:rPr/>
        <w:t>5：主要系</w:t>
      </w:r>
      <w:r>
        <w:rPr>
          <w:spacing w:val="-60"/>
        </w:rPr>
        <w:t> </w:t>
      </w:r>
      <w:r>
        <w:rPr/>
        <w:t>1</w:t>
      </w:r>
      <w:r>
        <w:rPr>
          <w:spacing w:val="-60"/>
        </w:rPr>
        <w:t> </w:t>
      </w:r>
      <w:r>
        <w:rPr/>
        <w:t>年内到期的长期借款增加所致。</w:t>
      </w:r>
    </w:p>
    <w:p>
      <w:pPr>
        <w:pStyle w:val="Heading3"/>
        <w:spacing w:line="357" w:lineRule="auto" w:before="154"/>
        <w:ind w:left="501" w:right="108" w:firstLine="122"/>
        <w:jc w:val="left"/>
      </w:pPr>
      <w:r>
        <w:rPr/>
        <w:t>注</w:t>
      </w:r>
      <w:r>
        <w:rPr>
          <w:spacing w:val="-60"/>
        </w:rPr>
        <w:t> </w:t>
      </w:r>
      <w:r>
        <w:rPr/>
        <w:t>6：主要系重分类到一年内到期的非流动负债所致。</w:t>
      </w:r>
      <w:r>
        <w:rPr/>
        <w:t> 5、采用公允价值计量的项目的情况 报告期内，公司主要资产均采用历史成本法计量，公司无采用公允价值计量的项</w:t>
      </w:r>
    </w:p>
    <w:p>
      <w:pPr>
        <w:pStyle w:val="Heading3"/>
        <w:spacing w:line="240" w:lineRule="auto"/>
        <w:ind w:right="108"/>
        <w:jc w:val="left"/>
      </w:pPr>
      <w:r>
        <w:rPr/>
        <w:t>目。</w:t>
      </w:r>
    </w:p>
    <w:p>
      <w:pPr>
        <w:pStyle w:val="Heading3"/>
        <w:tabs>
          <w:tab w:pos="6864" w:val="left" w:leader="none"/>
        </w:tabs>
        <w:spacing w:line="240" w:lineRule="auto" w:before="154"/>
        <w:ind w:left="504" w:right="108"/>
        <w:jc w:val="left"/>
      </w:pPr>
      <w:r>
        <w:rPr/>
        <w:t>6、报告期内公司利润表项目同比发生重大变动的说明</w:t>
        <w:tab/>
        <w:t>(单位：人民币元)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76"/>
        <w:ind w:left="4455" w:right="4429" w:firstLine="0"/>
        <w:jc w:val="center"/>
        <w:rPr>
          <w:rFonts w:ascii="Times New Roman" w:hAnsi="Times New Roman" w:cs="Times New Roman" w:eastAsia="Times New Roman" w:hint="default"/>
          <w:sz w:val="18"/>
          <w:szCs w:val="18"/>
        </w:rPr>
      </w:pPr>
      <w:r>
        <w:rPr>
          <w:rFonts w:ascii="Times New Roman"/>
          <w:sz w:val="18"/>
        </w:rPr>
        <w:t>22</w:t>
      </w:r>
    </w:p>
    <w:p>
      <w:pPr>
        <w:spacing w:after="0"/>
        <w:jc w:val="center"/>
        <w:rPr>
          <w:rFonts w:ascii="Times New Roman" w:hAnsi="Times New Roman" w:cs="Times New Roman" w:eastAsia="Times New Roman" w:hint="default"/>
          <w:sz w:val="18"/>
          <w:szCs w:val="18"/>
        </w:rPr>
        <w:sectPr>
          <w:pgSz w:w="11910" w:h="16840"/>
          <w:pgMar w:top="640" w:bottom="280" w:left="1160" w:right="1640"/>
        </w:sectPr>
      </w:pPr>
    </w:p>
    <w:p>
      <w:pPr>
        <w:spacing w:line="240" w:lineRule="auto" w:before="11"/>
        <w:rPr>
          <w:rFonts w:ascii="Times New Roman" w:hAnsi="Times New Roman" w:cs="Times New Roman" w:eastAsia="Times New Roman" w:hint="default"/>
          <w:sz w:val="26"/>
          <w:szCs w:val="26"/>
        </w:rPr>
      </w:pPr>
    </w:p>
    <w:p>
      <w:pPr>
        <w:pStyle w:val="Heading4"/>
        <w:tabs>
          <w:tab w:pos="7043" w:val="left" w:leader="none"/>
        </w:tabs>
        <w:spacing w:line="240" w:lineRule="auto"/>
        <w:ind w:left="3730" w:right="226"/>
        <w:jc w:val="left"/>
        <w:rPr>
          <w:b w:val="0"/>
          <w:bCs w:val="0"/>
        </w:rPr>
      </w:pPr>
      <w:r>
        <w:rPr/>
        <w:pict>
          <v:shape style="position:absolute;margin-left:87.900002pt;margin-top:-11.486023pt;width:95.033pt;height:25.5pt;mso-position-horizontal-relative:page;mso-position-vertical-relative:paragraph;z-index:2296"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8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1"/>
        <w:rPr>
          <w:rFonts w:ascii="黑体" w:hAnsi="黑体" w:cs="黑体" w:eastAsia="黑体" w:hint="default"/>
          <w:b/>
          <w:bCs/>
          <w:sz w:val="10"/>
          <w:szCs w:val="10"/>
        </w:rPr>
      </w:pPr>
    </w:p>
    <w:tbl>
      <w:tblPr>
        <w:tblW w:w="0" w:type="auto"/>
        <w:jc w:val="left"/>
        <w:tblInd w:w="107" w:type="dxa"/>
        <w:tblLayout w:type="fixed"/>
        <w:tblCellMar>
          <w:top w:w="0" w:type="dxa"/>
          <w:left w:w="0" w:type="dxa"/>
          <w:bottom w:w="0" w:type="dxa"/>
          <w:right w:w="0" w:type="dxa"/>
        </w:tblCellMar>
        <w:tblLook w:val="01E0"/>
      </w:tblPr>
      <w:tblGrid>
        <w:gridCol w:w="1704"/>
        <w:gridCol w:w="1896"/>
        <w:gridCol w:w="1896"/>
        <w:gridCol w:w="1792"/>
        <w:gridCol w:w="1056"/>
        <w:gridCol w:w="716"/>
      </w:tblGrid>
      <w:tr>
        <w:trPr>
          <w:trHeight w:val="631" w:hRule="exact"/>
        </w:trPr>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before="5"/>
              <w:ind w:left="105"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31</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spacing w:val="-56"/>
                <w:sz w:val="21"/>
                <w:szCs w:val="21"/>
              </w:rPr>
              <w:t> </w:t>
            </w: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年度）</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74" w:lineRule="exact" w:before="5"/>
              <w:ind w:left="105"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64"/>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31</w:t>
            </w:r>
            <w:r>
              <w:rPr>
                <w:rFonts w:ascii="宋体" w:hAnsi="宋体" w:cs="宋体" w:eastAsia="宋体" w:hint="default"/>
                <w:spacing w:val="-64"/>
                <w:sz w:val="21"/>
                <w:szCs w:val="21"/>
              </w:rPr>
              <w:t> </w:t>
            </w:r>
            <w:r>
              <w:rPr>
                <w:rFonts w:ascii="宋体" w:hAnsi="宋体" w:cs="宋体" w:eastAsia="宋体" w:hint="default"/>
                <w:sz w:val="21"/>
                <w:szCs w:val="21"/>
              </w:rPr>
              <w:t>日</w:t>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spacing w:val="-56"/>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年度）</w:t>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262" w:right="0"/>
              <w:jc w:val="left"/>
              <w:rPr>
                <w:rFonts w:ascii="宋体" w:hAnsi="宋体" w:cs="宋体" w:eastAsia="宋体" w:hint="default"/>
                <w:sz w:val="21"/>
                <w:szCs w:val="21"/>
              </w:rPr>
            </w:pPr>
            <w:r>
              <w:rPr>
                <w:rFonts w:ascii="宋体" w:hAnsi="宋体" w:cs="宋体" w:eastAsia="宋体" w:hint="default"/>
                <w:sz w:val="21"/>
                <w:szCs w:val="21"/>
              </w:rPr>
              <w:t>差异变动金额</w:t>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315" w:right="103" w:hanging="210"/>
              <w:jc w:val="left"/>
              <w:rPr>
                <w:rFonts w:ascii="宋体" w:hAnsi="宋体" w:cs="宋体" w:eastAsia="宋体" w:hint="default"/>
                <w:sz w:val="21"/>
                <w:szCs w:val="21"/>
              </w:rPr>
            </w:pPr>
            <w:r>
              <w:rPr>
                <w:rFonts w:ascii="宋体" w:hAnsi="宋体" w:cs="宋体" w:eastAsia="宋体" w:hint="default"/>
                <w:sz w:val="21"/>
                <w:szCs w:val="21"/>
              </w:rPr>
              <w:t>差异变动 幅度</w:t>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
              <w:ind w:left="146" w:right="143"/>
              <w:jc w:val="left"/>
              <w:rPr>
                <w:rFonts w:ascii="宋体" w:hAnsi="宋体" w:cs="宋体" w:eastAsia="宋体" w:hint="default"/>
                <w:sz w:val="21"/>
                <w:szCs w:val="21"/>
              </w:rPr>
            </w:pPr>
            <w:r>
              <w:rPr>
                <w:rFonts w:ascii="宋体" w:hAnsi="宋体" w:cs="宋体" w:eastAsia="宋体" w:hint="default"/>
                <w:sz w:val="21"/>
                <w:szCs w:val="21"/>
              </w:rPr>
              <w:t>原因 分析</w:t>
            </w:r>
          </w:p>
        </w:tc>
      </w:tr>
      <w:tr>
        <w:trPr>
          <w:trHeight w:val="460" w:hRule="exact"/>
        </w:trPr>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1,955,611,259.51</w:t>
            </w:r>
            <w:r>
              <w:rPr>
                <w:rFonts w:ascii="宋体"/>
                <w:sz w:val="21"/>
              </w:rPr>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宋体" w:hAnsi="宋体" w:cs="宋体" w:eastAsia="宋体" w:hint="default"/>
                <w:sz w:val="21"/>
                <w:szCs w:val="21"/>
              </w:rPr>
            </w:pPr>
            <w:r>
              <w:rPr>
                <w:rFonts w:ascii="宋体"/>
                <w:spacing w:val="-1"/>
                <w:sz w:val="21"/>
              </w:rPr>
              <w:t>2,862,342,584.17</w:t>
            </w:r>
            <w:r>
              <w:rPr>
                <w:rFonts w:ascii="宋体"/>
                <w:sz w:val="21"/>
              </w:rPr>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-906,731,324.66</w:t>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z w:val="21"/>
              </w:rPr>
              <w:t>-31.68%</w:t>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458" w:hRule="exact"/>
        </w:trPr>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1,476,103,245.76</w:t>
            </w:r>
            <w:r>
              <w:rPr>
                <w:rFonts w:ascii="宋体"/>
                <w:sz w:val="21"/>
              </w:rPr>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宋体" w:hAnsi="宋体" w:cs="宋体" w:eastAsia="宋体" w:hint="default"/>
                <w:sz w:val="21"/>
                <w:szCs w:val="21"/>
              </w:rPr>
            </w:pPr>
            <w:r>
              <w:rPr>
                <w:rFonts w:ascii="宋体"/>
                <w:spacing w:val="-1"/>
                <w:sz w:val="21"/>
              </w:rPr>
              <w:t>2,447,070,148.98</w:t>
            </w:r>
            <w:r>
              <w:rPr>
                <w:rFonts w:ascii="宋体"/>
                <w:sz w:val="21"/>
              </w:rPr>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-970,966,903.22</w:t>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z w:val="21"/>
              </w:rPr>
              <w:t>-39.68%</w:t>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460" w:hRule="exact"/>
        </w:trPr>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5"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11,992,892.45</w:t>
            </w:r>
            <w:r>
              <w:rPr>
                <w:rFonts w:ascii="宋体"/>
                <w:sz w:val="21"/>
              </w:rPr>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9,078,679.51</w:t>
            </w:r>
            <w:r>
              <w:rPr>
                <w:rFonts w:ascii="宋体"/>
                <w:sz w:val="21"/>
              </w:rPr>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2,914,212.94</w:t>
            </w:r>
            <w:r>
              <w:rPr>
                <w:rFonts w:ascii="宋体"/>
                <w:sz w:val="21"/>
              </w:rPr>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宋体" w:hAnsi="宋体" w:cs="宋体" w:eastAsia="宋体" w:hint="default"/>
                <w:sz w:val="21"/>
                <w:szCs w:val="21"/>
              </w:rPr>
            </w:pPr>
            <w:r>
              <w:rPr>
                <w:rFonts w:ascii="宋体"/>
                <w:spacing w:val="-1"/>
                <w:sz w:val="21"/>
              </w:rPr>
              <w:t>32.10%</w:t>
            </w:r>
            <w:r>
              <w:rPr>
                <w:rFonts w:ascii="宋体"/>
                <w:sz w:val="21"/>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r>
      <w:tr>
        <w:trPr>
          <w:trHeight w:val="458" w:hRule="exact"/>
        </w:trPr>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z w:val="21"/>
              </w:rPr>
              <w:t>226,449,477.91</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162,023,599.23</w:t>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64,425,878.68</w:t>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z w:val="21"/>
              </w:rPr>
              <w:t>39.76%</w:t>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r>
      <w:tr>
        <w:trPr>
          <w:trHeight w:val="460" w:hRule="exact"/>
        </w:trPr>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59,812,463.14</w:t>
            </w:r>
            <w:r>
              <w:rPr>
                <w:rFonts w:ascii="宋体"/>
                <w:sz w:val="21"/>
              </w:rPr>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-24,764,876.66</w:t>
            </w:r>
            <w:r>
              <w:rPr>
                <w:rFonts w:ascii="宋体"/>
                <w:sz w:val="21"/>
              </w:rPr>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宋体" w:hAnsi="宋体" w:cs="宋体" w:eastAsia="宋体" w:hint="default"/>
                <w:sz w:val="21"/>
                <w:szCs w:val="21"/>
              </w:rPr>
            </w:pPr>
            <w:r>
              <w:rPr>
                <w:rFonts w:ascii="宋体"/>
                <w:spacing w:val="-1"/>
                <w:sz w:val="21"/>
              </w:rPr>
              <w:t>84,577,339.80</w:t>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2"/>
              <w:jc w:val="right"/>
              <w:rPr>
                <w:rFonts w:ascii="宋体" w:hAnsi="宋体" w:cs="宋体" w:eastAsia="宋体" w:hint="default"/>
                <w:sz w:val="21"/>
                <w:szCs w:val="21"/>
              </w:rPr>
            </w:pPr>
            <w:r>
              <w:rPr>
                <w:rFonts w:ascii="宋体"/>
                <w:sz w:val="21"/>
              </w:rPr>
              <w:t>-341.52%</w:t>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w:t>
            </w:r>
          </w:p>
        </w:tc>
      </w:tr>
      <w:tr>
        <w:trPr>
          <w:trHeight w:val="458" w:hRule="exact"/>
        </w:trPr>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5"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12,621,000.60</w:t>
            </w:r>
            <w:r>
              <w:rPr>
                <w:rFonts w:ascii="宋体"/>
                <w:sz w:val="21"/>
              </w:rPr>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宋体" w:hAnsi="宋体" w:cs="宋体" w:eastAsia="宋体" w:hint="default"/>
                <w:sz w:val="21"/>
                <w:szCs w:val="21"/>
              </w:rPr>
            </w:pPr>
            <w:r>
              <w:rPr>
                <w:rFonts w:ascii="宋体"/>
                <w:spacing w:val="-1"/>
                <w:sz w:val="21"/>
              </w:rPr>
              <w:t>34,373,877.30</w:t>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pacing w:val="-1"/>
                <w:sz w:val="21"/>
              </w:rPr>
              <w:t>-21,752,876.70</w:t>
            </w:r>
            <w:r>
              <w:rPr>
                <w:rFonts w:ascii="宋体"/>
                <w:sz w:val="21"/>
              </w:rPr>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宋体" w:hAnsi="宋体" w:cs="宋体" w:eastAsia="宋体" w:hint="default"/>
                <w:sz w:val="21"/>
                <w:szCs w:val="21"/>
              </w:rPr>
            </w:pPr>
            <w:r>
              <w:rPr>
                <w:rFonts w:ascii="宋体"/>
                <w:spacing w:val="-1"/>
                <w:sz w:val="21"/>
              </w:rPr>
              <w:t>-63.28%</w:t>
            </w:r>
            <w:r>
              <w:rPr>
                <w:rFonts w:ascii="宋体"/>
                <w:sz w:val="21"/>
              </w:rPr>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5</w:t>
            </w:r>
          </w:p>
        </w:tc>
      </w:tr>
      <w:tr>
        <w:trPr>
          <w:trHeight w:val="460" w:hRule="exact"/>
        </w:trPr>
        <w:tc>
          <w:tcPr>
            <w:tcW w:w="17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105"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5"/>
              <w:jc w:val="right"/>
              <w:rPr>
                <w:rFonts w:ascii="宋体" w:hAnsi="宋体" w:cs="宋体" w:eastAsia="宋体" w:hint="default"/>
                <w:sz w:val="21"/>
                <w:szCs w:val="21"/>
              </w:rPr>
            </w:pPr>
            <w:r>
              <w:rPr>
                <w:rFonts w:ascii="宋体"/>
                <w:spacing w:val="-1"/>
                <w:sz w:val="21"/>
              </w:rPr>
              <w:t>12,704,972.83</w:t>
            </w:r>
            <w:r>
              <w:rPr>
                <w:rFonts w:ascii="宋体"/>
                <w:sz w:val="21"/>
              </w:rPr>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4"/>
              <w:jc w:val="right"/>
              <w:rPr>
                <w:rFonts w:ascii="宋体" w:hAnsi="宋体" w:cs="宋体" w:eastAsia="宋体" w:hint="default"/>
                <w:sz w:val="21"/>
                <w:szCs w:val="21"/>
              </w:rPr>
            </w:pPr>
            <w:r>
              <w:rPr>
                <w:rFonts w:ascii="宋体"/>
                <w:spacing w:val="-1"/>
                <w:sz w:val="21"/>
              </w:rPr>
              <w:t>18,939,212.40</w:t>
            </w:r>
          </w:p>
        </w:tc>
        <w:tc>
          <w:tcPr>
            <w:tcW w:w="17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z w:val="21"/>
              </w:rPr>
              <w:t>-6,234,239.57</w:t>
            </w:r>
          </w:p>
        </w:tc>
        <w:tc>
          <w:tcPr>
            <w:tcW w:w="10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103"/>
              <w:jc w:val="right"/>
              <w:rPr>
                <w:rFonts w:ascii="宋体" w:hAnsi="宋体" w:cs="宋体" w:eastAsia="宋体" w:hint="default"/>
                <w:sz w:val="21"/>
                <w:szCs w:val="21"/>
              </w:rPr>
            </w:pPr>
            <w:r>
              <w:rPr>
                <w:rFonts w:ascii="宋体"/>
                <w:sz w:val="21"/>
              </w:rPr>
              <w:t>-32.92%</w:t>
            </w:r>
          </w:p>
        </w:tc>
        <w:tc>
          <w:tcPr>
            <w:tcW w:w="7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6</w:t>
            </w:r>
          </w:p>
        </w:tc>
      </w:tr>
    </w:tbl>
    <w:p>
      <w:pPr>
        <w:pStyle w:val="Heading3"/>
        <w:spacing w:line="357" w:lineRule="auto" w:before="81"/>
        <w:ind w:left="218" w:right="226" w:firstLine="480"/>
        <w:jc w:val="left"/>
      </w:pPr>
      <w:r>
        <w:rPr/>
        <w:t>注</w:t>
      </w:r>
      <w:r>
        <w:rPr>
          <w:spacing w:val="-60"/>
        </w:rPr>
        <w:t> </w:t>
      </w:r>
      <w:r>
        <w:rPr/>
        <w:t>1：主要系本年处置医药流通子公司北京华立九州医药有限公司、北京华立永</w:t>
      </w:r>
      <w:r>
        <w:rPr/>
        <w:t> 正医药有限责任公司、广州华立万特医药有限公司所致。</w:t>
      </w:r>
    </w:p>
    <w:p>
      <w:pPr>
        <w:pStyle w:val="Heading3"/>
        <w:spacing w:line="357" w:lineRule="auto"/>
        <w:ind w:left="218" w:right="226" w:firstLine="480"/>
        <w:jc w:val="left"/>
      </w:pPr>
      <w:r>
        <w:rPr/>
        <w:t>注</w:t>
      </w:r>
      <w:r>
        <w:rPr>
          <w:spacing w:val="-60"/>
        </w:rPr>
        <w:t> </w:t>
      </w:r>
      <w:r>
        <w:rPr/>
        <w:t>2：主要系控股子公司华立仪表集团城市维护建设税、教育费附加本年较上年</w:t>
      </w:r>
      <w:r>
        <w:rPr/>
        <w:t> 增加所致。</w:t>
      </w:r>
    </w:p>
    <w:p>
      <w:pPr>
        <w:pStyle w:val="Heading3"/>
        <w:spacing w:line="357" w:lineRule="auto"/>
        <w:ind w:left="698" w:right="2146"/>
        <w:jc w:val="left"/>
      </w:pPr>
      <w:r>
        <w:rPr/>
        <w:t>注</w:t>
      </w:r>
      <w:r>
        <w:rPr>
          <w:spacing w:val="-60"/>
        </w:rPr>
        <w:t> </w:t>
      </w:r>
      <w:r>
        <w:rPr/>
        <w:t>3：主要系本年子公司华立仪表集团办事处费用增长所致。</w:t>
      </w:r>
      <w:r>
        <w:rPr/>
        <w:t> 注</w:t>
      </w:r>
      <w:r>
        <w:rPr>
          <w:spacing w:val="-60"/>
        </w:rPr>
        <w:t> </w:t>
      </w:r>
      <w:r>
        <w:rPr/>
        <w:t>4：主要系本年坏账准备及商誉减值准备增加所致。</w:t>
      </w:r>
    </w:p>
    <w:p>
      <w:pPr>
        <w:pStyle w:val="Heading3"/>
        <w:spacing w:line="357" w:lineRule="auto"/>
        <w:ind w:left="697" w:right="85"/>
        <w:jc w:val="left"/>
      </w:pPr>
      <w:r>
        <w:rPr/>
        <w:t>注</w:t>
      </w:r>
      <w:r>
        <w:rPr>
          <w:spacing w:val="-53"/>
        </w:rPr>
        <w:t> </w:t>
      </w:r>
      <w:r>
        <w:rPr>
          <w:spacing w:val="-3"/>
        </w:rPr>
        <w:t>5：主要系本年度无控股子公司华立仪表集团拆迁补偿产生资产处置收益所致。</w:t>
      </w:r>
      <w:r>
        <w:rPr/>
        <w:t> 注</w:t>
      </w:r>
      <w:r>
        <w:rPr>
          <w:spacing w:val="-60"/>
        </w:rPr>
        <w:t> </w:t>
      </w:r>
      <w:r>
        <w:rPr/>
        <w:t>6：主要系公司及下属子公司利润下滑所致。</w:t>
      </w:r>
      <w:r>
        <w:rPr/>
        <w:t> 7、报告期公司现金流量构成情况说明 报告期内，公司现金流量没有发生异常变动。</w:t>
      </w:r>
    </w:p>
    <w:p>
      <w:pPr>
        <w:pStyle w:val="Heading3"/>
        <w:spacing w:line="357" w:lineRule="auto"/>
        <w:ind w:left="697" w:right="5087"/>
        <w:jc w:val="left"/>
      </w:pPr>
      <w:r>
        <w:rPr/>
        <w:t>8、公司控制的特殊目的主体情况 公司无控制的特殊目的主体。</w:t>
      </w:r>
    </w:p>
    <w:p>
      <w:pPr>
        <w:spacing w:line="357" w:lineRule="auto" w:before="36"/>
        <w:ind w:left="700" w:right="85" w:firstLine="0"/>
        <w:jc w:val="left"/>
        <w:rPr>
          <w:rFonts w:ascii="宋体" w:hAnsi="宋体" w:cs="宋体" w:eastAsia="宋体" w:hint="default"/>
          <w:sz w:val="24"/>
          <w:szCs w:val="24"/>
        </w:rPr>
      </w:pPr>
      <w:r>
        <w:rPr>
          <w:rFonts w:ascii="宋体" w:hAnsi="宋体" w:cs="宋体" w:eastAsia="宋体" w:hint="default"/>
          <w:b/>
          <w:bCs/>
          <w:sz w:val="24"/>
          <w:szCs w:val="24"/>
        </w:rPr>
        <w:t>（二）对公司未来发展的展望</w:t>
      </w:r>
      <w:r>
        <w:rPr>
          <w:rFonts w:ascii="宋体" w:hAnsi="宋体" w:cs="宋体" w:eastAsia="宋体" w:hint="default"/>
          <w:b/>
          <w:bCs/>
          <w:w w:val="99"/>
          <w:sz w:val="24"/>
          <w:szCs w:val="24"/>
        </w:rPr>
        <w:t> </w:t>
      </w:r>
      <w:r>
        <w:rPr>
          <w:rFonts w:ascii="宋体" w:hAnsi="宋体" w:cs="宋体" w:eastAsia="宋体" w:hint="default"/>
          <w:spacing w:val="-2"/>
          <w:sz w:val="24"/>
          <w:szCs w:val="24"/>
        </w:rPr>
        <w:t>在医药产业方面，公司目前的主要产品为青蒿素原料药和复方青蒿素制剂。经历</w:t>
      </w:r>
    </w:p>
    <w:p>
      <w:pPr>
        <w:pStyle w:val="Heading3"/>
        <w:spacing w:line="357" w:lineRule="auto"/>
        <w:ind w:left="217" w:right="220"/>
        <w:jc w:val="both"/>
      </w:pPr>
      <w:r>
        <w:rPr>
          <w:spacing w:val="-1"/>
        </w:rPr>
        <w:t>了三年低谷，国内青蒿素产业正在逐步回归理性，原料药的售价有了一定的回升，但</w:t>
      </w:r>
      <w:r>
        <w:rPr/>
        <w:t> </w:t>
      </w:r>
      <w:r>
        <w:rPr>
          <w:spacing w:val="-1"/>
        </w:rPr>
        <w:t>仍然不足以给相关公司提供良好的利润回报。公司的复方青蒿素制剂的主要销售市场</w:t>
      </w:r>
      <w:r>
        <w:rPr/>
        <w:t> </w:t>
      </w:r>
      <w:r>
        <w:rPr>
          <w:spacing w:val="-1"/>
        </w:rPr>
        <w:t>为非洲疟区，其疗效和良好的品质得到了疟区医疗机构和病员的认同，但要获得更大</w:t>
      </w:r>
      <w:r>
        <w:rPr/>
        <w:t> </w:t>
      </w:r>
      <w:r>
        <w:rPr>
          <w:spacing w:val="-1"/>
        </w:rPr>
        <w:t>的市场份额和销售业绩，仍然是要以相关生产企业通过PQ认证从而打开公立市场采购</w:t>
      </w:r>
      <w:r>
        <w:rPr>
          <w:spacing w:val="-118"/>
        </w:rPr>
        <w:t> </w:t>
      </w:r>
      <w:r>
        <w:rPr>
          <w:spacing w:val="-118"/>
        </w:rPr>
      </w:r>
      <w:r>
        <w:rPr>
          <w:spacing w:val="-1"/>
        </w:rPr>
        <w:t>渠道为前提，目前公司仍然在为此努力。预计在2010年度，公司的医药业务恐仍然难</w:t>
      </w:r>
      <w:r>
        <w:rPr>
          <w:spacing w:val="-117"/>
        </w:rPr>
        <w:t> </w:t>
      </w:r>
      <w:r>
        <w:rPr>
          <w:spacing w:val="-117"/>
        </w:rPr>
      </w:r>
      <w:r>
        <w:rPr/>
        <w:t>以摆脱亏损局面。</w:t>
      </w:r>
    </w:p>
    <w:p>
      <w:pPr>
        <w:pStyle w:val="Heading3"/>
        <w:spacing w:line="240" w:lineRule="auto"/>
        <w:ind w:left="700" w:right="85"/>
        <w:jc w:val="left"/>
      </w:pPr>
      <w:r>
        <w:rPr/>
        <w:t>在仪器仪表方面，受国家扩大内需和电网改造的影响，对计量仪表的市场需求比</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before="76"/>
        <w:ind w:left="4485" w:right="4487" w:firstLine="0"/>
        <w:jc w:val="center"/>
        <w:rPr>
          <w:rFonts w:ascii="Times New Roman" w:hAnsi="Times New Roman" w:cs="Times New Roman" w:eastAsia="Times New Roman" w:hint="default"/>
          <w:sz w:val="18"/>
          <w:szCs w:val="18"/>
        </w:rPr>
      </w:pPr>
      <w:r>
        <w:rPr>
          <w:rFonts w:ascii="Times New Roman"/>
          <w:sz w:val="18"/>
        </w:rPr>
        <w:t>23</w:t>
      </w:r>
    </w:p>
    <w:p>
      <w:pPr>
        <w:spacing w:after="0"/>
        <w:jc w:val="center"/>
        <w:rPr>
          <w:rFonts w:ascii="Times New Roman" w:hAnsi="Times New Roman" w:cs="Times New Roman" w:eastAsia="Times New Roman" w:hint="default"/>
          <w:sz w:val="18"/>
          <w:szCs w:val="18"/>
        </w:rPr>
        <w:sectPr>
          <w:pgSz w:w="11910" w:h="16840"/>
          <w:pgMar w:top="640" w:bottom="280" w:left="1540" w:right="1080"/>
        </w:sectPr>
      </w:pPr>
    </w:p>
    <w:p>
      <w:pPr>
        <w:spacing w:line="240" w:lineRule="auto" w:before="11"/>
        <w:rPr>
          <w:rFonts w:ascii="Times New Roman" w:hAnsi="Times New Roman" w:cs="Times New Roman" w:eastAsia="Times New Roman" w:hint="default"/>
          <w:sz w:val="26"/>
          <w:szCs w:val="26"/>
        </w:rPr>
      </w:pPr>
    </w:p>
    <w:p>
      <w:pPr>
        <w:pStyle w:val="Heading4"/>
        <w:tabs>
          <w:tab w:pos="6969" w:val="left" w:leader="none"/>
        </w:tabs>
        <w:spacing w:line="240" w:lineRule="auto"/>
        <w:ind w:left="3656" w:right="478"/>
        <w:jc w:val="left"/>
        <w:rPr>
          <w:b w:val="0"/>
          <w:bCs w:val="0"/>
        </w:rPr>
      </w:pPr>
      <w:r>
        <w:rPr/>
        <w:pict>
          <v:shape style="position:absolute;margin-left:65.160004pt;margin-top:-11.486023pt;width:95.052pt;height:25.5pt;mso-position-horizontal-relative:page;mso-position-vertical-relative:paragraph;z-index:2344"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7"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5"/>
          <w:szCs w:val="5"/>
        </w:rPr>
      </w:pPr>
    </w:p>
    <w:p>
      <w:pPr>
        <w:pStyle w:val="Heading3"/>
        <w:spacing w:line="357" w:lineRule="auto" w:before="26"/>
        <w:ind w:right="609"/>
        <w:jc w:val="both"/>
      </w:pPr>
      <w:r>
        <w:rPr>
          <w:spacing w:val="-1"/>
        </w:rPr>
        <w:t>较旺盛。就具体产品而言，日益激烈的技术和研发竞争使得电力计量器具的生命周期</w:t>
      </w:r>
      <w:r>
        <w:rPr/>
        <w:t> </w:t>
      </w:r>
      <w:r>
        <w:rPr>
          <w:spacing w:val="-1"/>
        </w:rPr>
        <w:t>越来越短，产品的升级换代日益频繁，产品结构从低端到高端的演进的速度加快，这</w:t>
      </w:r>
      <w:r>
        <w:rPr/>
        <w:t> </w:t>
      </w:r>
      <w:r>
        <w:rPr>
          <w:spacing w:val="-1"/>
        </w:rPr>
        <w:t>对企业的市场分析能力、研发创新能力提出了更高的要求。在市场营销环节，由于主</w:t>
      </w:r>
      <w:r>
        <w:rPr/>
        <w:t> </w:t>
      </w:r>
      <w:r>
        <w:rPr>
          <w:spacing w:val="-1"/>
        </w:rPr>
        <w:t>要客户的招投标模式从地方自行采购向集团招投标转化，又从集团招标向统一技术标</w:t>
      </w:r>
      <w:r>
        <w:rPr/>
        <w:t> </w:t>
      </w:r>
      <w:r>
        <w:rPr>
          <w:spacing w:val="5"/>
        </w:rPr>
        <w:t>准和统一设计方向发展；集团招标的层次也逐渐从原来的省公司拔高到国家电网公</w:t>
      </w:r>
      <w:r>
        <w:rPr>
          <w:spacing w:val="-106"/>
        </w:rPr>
        <w:t> </w:t>
      </w:r>
      <w:r>
        <w:rPr>
          <w:spacing w:val="-106"/>
        </w:rPr>
      </w:r>
      <w:r>
        <w:rPr>
          <w:spacing w:val="-1"/>
        </w:rPr>
        <w:t>司。客户的需求正逐渐从产品需求向服务需求转化。市场对企业综合能力的考验达到</w:t>
      </w:r>
      <w:r>
        <w:rPr/>
        <w:t> 了新的高度，对企业而言，在面临新的机遇的同时，也面临着新的挑战。</w:t>
      </w:r>
    </w:p>
    <w:p>
      <w:pPr>
        <w:pStyle w:val="Heading3"/>
        <w:spacing w:line="357" w:lineRule="auto"/>
        <w:ind w:right="615" w:firstLine="482"/>
        <w:jc w:val="both"/>
      </w:pPr>
      <w:r>
        <w:rPr>
          <w:spacing w:val="-2"/>
        </w:rPr>
        <w:t>公司将深化推进人才战略，继续在子公司推行管理层和骨干员工持股工作，吸引</w:t>
      </w:r>
      <w:r>
        <w:rPr/>
        <w:t> </w:t>
      </w:r>
      <w:r>
        <w:rPr>
          <w:spacing w:val="-1"/>
        </w:rPr>
        <w:t>和培养适应新的竞争形式的高层次人才。公司将积极提升研发技术实力，建立有效的</w:t>
      </w:r>
      <w:r>
        <w:rPr/>
        <w:t> </w:t>
      </w:r>
      <w:r>
        <w:rPr>
          <w:spacing w:val="-2"/>
        </w:rPr>
        <w:t>产品导入机制，促进研发部门和生产部门的顺利衔接，从研发、采购、制造、服务全</w:t>
      </w:r>
      <w:r>
        <w:rPr>
          <w:spacing w:val="-86"/>
        </w:rPr>
        <w:t> </w:t>
      </w:r>
      <w:r>
        <w:rPr>
          <w:spacing w:val="-86"/>
        </w:rPr>
      </w:r>
      <w:r>
        <w:rPr/>
        <w:t>流程建构质量保障体系，提供稳定一致满足要求的产品。</w:t>
      </w:r>
    </w:p>
    <w:p>
      <w:pPr>
        <w:spacing w:line="357" w:lineRule="auto" w:before="36"/>
        <w:ind w:left="626" w:right="5478" w:hanging="11"/>
        <w:jc w:val="left"/>
        <w:rPr>
          <w:rFonts w:ascii="宋体" w:hAnsi="宋体" w:cs="宋体" w:eastAsia="宋体" w:hint="default"/>
          <w:sz w:val="24"/>
          <w:szCs w:val="24"/>
        </w:rPr>
      </w:pPr>
      <w:r>
        <w:rPr>
          <w:rFonts w:ascii="宋体" w:hAnsi="宋体" w:cs="宋体" w:eastAsia="宋体" w:hint="default"/>
          <w:b/>
          <w:bCs/>
          <w:sz w:val="24"/>
          <w:szCs w:val="24"/>
        </w:rPr>
        <w:t>（三）报告期内的投资情况</w:t>
      </w:r>
      <w:r>
        <w:rPr>
          <w:rFonts w:ascii="宋体" w:hAnsi="宋体" w:cs="宋体" w:eastAsia="宋体" w:hint="default"/>
          <w:b/>
          <w:bCs/>
          <w:w w:val="99"/>
          <w:sz w:val="24"/>
          <w:szCs w:val="24"/>
        </w:rPr>
        <w:t> </w:t>
      </w:r>
      <w:r>
        <w:rPr>
          <w:rFonts w:ascii="宋体" w:hAnsi="宋体" w:cs="宋体" w:eastAsia="宋体" w:hint="default"/>
          <w:sz w:val="24"/>
          <w:szCs w:val="24"/>
        </w:rPr>
        <w:t>1、报告期内对外长期投资情况。</w:t>
      </w:r>
    </w:p>
    <w:p>
      <w:pPr>
        <w:pStyle w:val="Heading3"/>
        <w:spacing w:line="240" w:lineRule="auto"/>
        <w:ind w:left="624" w:right="478"/>
        <w:jc w:val="left"/>
      </w:pPr>
      <w:r>
        <w:rPr/>
        <w:t>经公司六届二次董事会及 2009</w:t>
      </w:r>
      <w:r>
        <w:rPr>
          <w:spacing w:val="-36"/>
        </w:rPr>
        <w:t> </w:t>
      </w:r>
      <w:r>
        <w:rPr/>
        <w:t>年第二次临时股东大会审议通过，同意公司对子</w:t>
      </w:r>
    </w:p>
    <w:p>
      <w:pPr>
        <w:pStyle w:val="Heading3"/>
        <w:spacing w:line="357" w:lineRule="auto" w:before="154"/>
        <w:ind w:left="624" w:right="478" w:hanging="480"/>
        <w:jc w:val="left"/>
      </w:pPr>
      <w:r>
        <w:rPr>
          <w:spacing w:val="-4"/>
        </w:rPr>
        <w:t>公司北京华立科泰医药有限责任公司再次进行单方面增资，将其注册资金增至</w:t>
      </w:r>
      <w:r>
        <w:rPr>
          <w:spacing w:val="-71"/>
        </w:rPr>
        <w:t> </w:t>
      </w:r>
      <w:r>
        <w:rPr/>
        <w:t>2</w:t>
      </w:r>
      <w:r>
        <w:rPr>
          <w:spacing w:val="-71"/>
        </w:rPr>
        <w:t> </w:t>
      </w:r>
      <w:r>
        <w:rPr/>
        <w:t>亿元。</w:t>
      </w:r>
      <w:r>
        <w:rPr/>
        <w:t> 2、报告期内，公司无募集资金投资情况；也无报告期之前募集资金的使用延续</w:t>
      </w:r>
    </w:p>
    <w:p>
      <w:pPr>
        <w:pStyle w:val="Heading3"/>
        <w:spacing w:line="240" w:lineRule="auto"/>
        <w:ind w:right="0"/>
        <w:jc w:val="both"/>
      </w:pPr>
      <w:r>
        <w:rPr/>
        <w:t>到报告期内的情况。</w:t>
      </w:r>
    </w:p>
    <w:p>
      <w:pPr>
        <w:spacing w:line="357" w:lineRule="auto" w:before="154"/>
        <w:ind w:left="624" w:right="4520" w:firstLine="0"/>
        <w:jc w:val="left"/>
        <w:rPr>
          <w:rFonts w:ascii="宋体" w:hAnsi="宋体" w:cs="宋体" w:eastAsia="宋体" w:hint="default"/>
          <w:sz w:val="24"/>
          <w:szCs w:val="24"/>
        </w:rPr>
      </w:pPr>
      <w:r>
        <w:rPr>
          <w:rFonts w:ascii="宋体" w:hAnsi="宋体" w:cs="宋体" w:eastAsia="宋体" w:hint="default"/>
          <w:b/>
          <w:bCs/>
          <w:sz w:val="24"/>
          <w:szCs w:val="24"/>
        </w:rPr>
        <w:t>（四）董事会日常工作情况</w:t>
      </w:r>
      <w:r>
        <w:rPr>
          <w:rFonts w:ascii="宋体" w:hAnsi="宋体" w:cs="宋体" w:eastAsia="宋体" w:hint="default"/>
          <w:b/>
          <w:bCs/>
          <w:w w:val="99"/>
          <w:sz w:val="24"/>
          <w:szCs w:val="24"/>
        </w:rPr>
        <w:t> </w:t>
      </w:r>
      <w:r>
        <w:rPr>
          <w:rFonts w:ascii="宋体" w:hAnsi="宋体" w:cs="宋体" w:eastAsia="宋体" w:hint="default"/>
          <w:sz w:val="24"/>
          <w:szCs w:val="24"/>
        </w:rPr>
        <w:t>1、报告期内董事会的会议情况及决议内容</w:t>
      </w:r>
    </w:p>
    <w:p>
      <w:pPr>
        <w:pStyle w:val="Heading3"/>
        <w:spacing w:line="240" w:lineRule="auto"/>
        <w:ind w:left="624" w:right="478"/>
        <w:jc w:val="left"/>
      </w:pPr>
      <w:r>
        <w:rPr>
          <w:spacing w:val="5"/>
        </w:rPr>
        <w:t>报告期内共召开</w:t>
      </w:r>
      <w:r>
        <w:rPr/>
        <w:t>1</w:t>
      </w:r>
      <w:r>
        <w:rPr>
          <w:spacing w:val="5"/>
        </w:rPr>
        <w:t>0次董事</w:t>
      </w:r>
      <w:r>
        <w:rPr>
          <w:spacing w:val="4"/>
        </w:rPr>
        <w:t>会</w:t>
      </w:r>
      <w:r>
        <w:rPr>
          <w:spacing w:val="5"/>
        </w:rPr>
        <w:t>，所有公告均刊登在《中国证券报</w:t>
      </w:r>
      <w:r>
        <w:rPr>
          <w:spacing w:val="-115"/>
        </w:rPr>
        <w:t>》</w:t>
      </w:r>
      <w:r>
        <w:rPr>
          <w:spacing w:val="-116"/>
        </w:rPr>
        <w:t>、</w:t>
      </w:r>
      <w:r>
        <w:rPr>
          <w:spacing w:val="6"/>
        </w:rPr>
        <w:t>《证券时报</w:t>
      </w:r>
      <w:r>
        <w:rPr>
          <w:spacing w:val="-114"/>
        </w:rPr>
        <w:t>》</w:t>
      </w:r>
      <w:r>
        <w:rPr/>
        <w:t>、</w:t>
      </w:r>
    </w:p>
    <w:p>
      <w:pPr>
        <w:pStyle w:val="Heading3"/>
        <w:spacing w:line="240" w:lineRule="auto" w:before="154"/>
        <w:ind w:right="0"/>
        <w:jc w:val="both"/>
      </w:pPr>
      <w:r>
        <w:rPr/>
        <w:t>《证券日报</w:t>
      </w:r>
      <w:r>
        <w:rPr>
          <w:spacing w:val="-120"/>
        </w:rPr>
        <w:t>》、</w:t>
      </w:r>
      <w:r>
        <w:rPr/>
        <w:t>《上海证券报》上。</w:t>
      </w:r>
    </w:p>
    <w:p>
      <w:pPr>
        <w:spacing w:line="240" w:lineRule="auto" w:before="10"/>
        <w:rPr>
          <w:rFonts w:ascii="宋体" w:hAnsi="宋体" w:cs="宋体" w:eastAsia="宋体" w:hint="default"/>
          <w:sz w:val="14"/>
          <w:szCs w:val="14"/>
        </w:rPr>
      </w:pPr>
    </w:p>
    <w:tbl>
      <w:tblPr>
        <w:tblW w:w="0" w:type="auto"/>
        <w:jc w:val="left"/>
        <w:tblInd w:w="245" w:type="dxa"/>
        <w:tblLayout w:type="fixed"/>
        <w:tblCellMar>
          <w:top w:w="0" w:type="dxa"/>
          <w:left w:w="0" w:type="dxa"/>
          <w:bottom w:w="0" w:type="dxa"/>
          <w:right w:w="0" w:type="dxa"/>
        </w:tblCellMar>
        <w:tblLook w:val="01E0"/>
      </w:tblPr>
      <w:tblGrid>
        <w:gridCol w:w="1574"/>
        <w:gridCol w:w="1366"/>
        <w:gridCol w:w="4934"/>
        <w:gridCol w:w="1366"/>
      </w:tblGrid>
      <w:tr>
        <w:trPr>
          <w:trHeight w:val="776"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董事会届次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66" w:right="151" w:hanging="315"/>
              <w:jc w:val="left"/>
              <w:rPr>
                <w:rFonts w:ascii="宋体" w:hAnsi="宋体" w:cs="宋体" w:eastAsia="宋体" w:hint="default"/>
                <w:sz w:val="21"/>
                <w:szCs w:val="21"/>
              </w:rPr>
            </w:pPr>
            <w:r>
              <w:rPr>
                <w:rFonts w:ascii="宋体" w:hAnsi="宋体" w:cs="宋体" w:eastAsia="宋体" w:hint="default"/>
                <w:sz w:val="21"/>
                <w:szCs w:val="21"/>
              </w:rPr>
              <w:t>董事会会议 时间</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董事会议题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56" w:right="151" w:hanging="105"/>
              <w:jc w:val="left"/>
              <w:rPr>
                <w:rFonts w:ascii="宋体" w:hAnsi="宋体" w:cs="宋体" w:eastAsia="宋体" w:hint="default"/>
                <w:sz w:val="21"/>
                <w:szCs w:val="21"/>
              </w:rPr>
            </w:pPr>
            <w:r>
              <w:rPr>
                <w:rFonts w:ascii="宋体" w:hAnsi="宋体" w:cs="宋体" w:eastAsia="宋体" w:hint="default"/>
                <w:sz w:val="21"/>
                <w:szCs w:val="21"/>
              </w:rPr>
              <w:t>董事会决议 公告时间</w:t>
            </w:r>
          </w:p>
        </w:tc>
      </w:tr>
      <w:tr>
        <w:trPr>
          <w:trHeight w:val="52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五届二十五次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2009.03.04</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《关于受让子公司之子公司华立万特股权的议案》</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96"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五届二十六次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2009.03.10</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86"/>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转</w:t>
            </w:r>
            <w:r>
              <w:rPr>
                <w:rFonts w:ascii="宋体" w:hAnsi="宋体" w:cs="宋体" w:eastAsia="宋体" w:hint="default"/>
                <w:sz w:val="21"/>
                <w:szCs w:val="21"/>
              </w:rPr>
              <w:t>让子公司华立九州股权的议案》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pacing w:val="-1"/>
                <w:sz w:val="21"/>
                <w:szCs w:val="21"/>
              </w:rPr>
              <w:t>《关于</w:t>
            </w:r>
            <w:r>
              <w:rPr>
                <w:rFonts w:ascii="宋体" w:hAnsi="宋体" w:cs="宋体" w:eastAsia="宋体" w:hint="default"/>
                <w:spacing w:val="-2"/>
                <w:sz w:val="21"/>
                <w:szCs w:val="21"/>
              </w:rPr>
              <w:t>召</w:t>
            </w:r>
            <w:r>
              <w:rPr>
                <w:rFonts w:ascii="宋体" w:hAnsi="宋体" w:cs="宋体" w:eastAsia="宋体" w:hint="default"/>
                <w:sz w:val="21"/>
                <w:szCs w:val="21"/>
              </w:rPr>
              <w:t>开</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00</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1"/>
                <w:sz w:val="21"/>
                <w:szCs w:val="21"/>
              </w:rPr>
              <w:t>年</w:t>
            </w:r>
            <w:r>
              <w:rPr>
                <w:rFonts w:ascii="宋体" w:hAnsi="宋体" w:cs="宋体" w:eastAsia="宋体" w:hint="default"/>
                <w:spacing w:val="-2"/>
                <w:sz w:val="21"/>
                <w:szCs w:val="21"/>
              </w:rPr>
              <w:t>第</w:t>
            </w:r>
            <w:r>
              <w:rPr>
                <w:rFonts w:ascii="宋体" w:hAnsi="宋体" w:cs="宋体" w:eastAsia="宋体" w:hint="default"/>
                <w:spacing w:val="-1"/>
                <w:sz w:val="21"/>
                <w:szCs w:val="21"/>
              </w:rPr>
              <w:t>一次临时股东大会的议案》</w:t>
            </w:r>
            <w:r>
              <w:rPr>
                <w:rFonts w:ascii="宋体" w:hAnsi="宋体" w:cs="宋体" w:eastAsia="宋体"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2009.03.11</w:t>
            </w:r>
          </w:p>
        </w:tc>
      </w:tr>
      <w:tr>
        <w:trPr>
          <w:trHeight w:val="397" w:hRule="exact"/>
        </w:trPr>
        <w:tc>
          <w:tcPr>
            <w:tcW w:w="1574"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4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度董事会工作报告》</w:t>
            </w: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243" w:hRule="exact"/>
        </w:trPr>
        <w:tc>
          <w:tcPr>
            <w:tcW w:w="157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4934"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度总裁工作报告》</w:t>
            </w:r>
          </w:p>
        </w:tc>
        <w:tc>
          <w:tcPr>
            <w:tcW w:w="1366" w:type="dxa"/>
            <w:tcBorders>
              <w:top w:val="nil" w:sz="6" w:space="0" w:color="auto"/>
              <w:left w:val="single" w:sz="4" w:space="0" w:color="000000"/>
              <w:bottom w:val="nil" w:sz="6" w:space="0" w:color="auto"/>
              <w:right w:val="single" w:sz="4" w:space="0" w:color="000000"/>
            </w:tcBorders>
          </w:tcPr>
          <w:p>
            <w:pPr/>
          </w:p>
        </w:tc>
      </w:tr>
      <w:tr>
        <w:trPr>
          <w:trHeight w:val="303" w:hRule="exact"/>
        </w:trPr>
        <w:tc>
          <w:tcPr>
            <w:tcW w:w="1574" w:type="dxa"/>
            <w:tcBorders>
              <w:top w:val="nil" w:sz="6" w:space="0" w:color="auto"/>
              <w:left w:val="single" w:sz="4" w:space="0" w:color="000000"/>
              <w:bottom w:val="nil" w:sz="6" w:space="0" w:color="auto"/>
              <w:right w:val="single" w:sz="4" w:space="0" w:color="000000"/>
            </w:tcBorders>
          </w:tcPr>
          <w:p>
            <w:pPr>
              <w:pStyle w:val="TableParagraph"/>
              <w:spacing w:line="211" w:lineRule="exact"/>
              <w:ind w:right="0"/>
              <w:jc w:val="center"/>
              <w:rPr>
                <w:rFonts w:ascii="宋体" w:hAnsi="宋体" w:cs="宋体" w:eastAsia="宋体" w:hint="default"/>
                <w:sz w:val="21"/>
                <w:szCs w:val="21"/>
              </w:rPr>
            </w:pPr>
            <w:r>
              <w:rPr>
                <w:rFonts w:ascii="宋体" w:hAnsi="宋体" w:cs="宋体" w:eastAsia="宋体" w:hint="default"/>
                <w:sz w:val="21"/>
                <w:szCs w:val="21"/>
              </w:rPr>
              <w:t>五届二十七次</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11" w:lineRule="exact"/>
              <w:ind w:right="1"/>
              <w:jc w:val="center"/>
              <w:rPr>
                <w:rFonts w:ascii="宋体" w:hAnsi="宋体" w:cs="宋体" w:eastAsia="宋体" w:hint="default"/>
                <w:sz w:val="21"/>
                <w:szCs w:val="21"/>
              </w:rPr>
            </w:pPr>
            <w:r>
              <w:rPr>
                <w:rFonts w:ascii="宋体"/>
                <w:sz w:val="21"/>
              </w:rPr>
              <w:t>2009.04.12</w:t>
            </w:r>
          </w:p>
        </w:tc>
        <w:tc>
          <w:tcPr>
            <w:tcW w:w="493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度财务决算报告》</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11" w:lineRule="exact"/>
              <w:ind w:right="0"/>
              <w:jc w:val="center"/>
              <w:rPr>
                <w:rFonts w:ascii="宋体" w:hAnsi="宋体" w:cs="宋体" w:eastAsia="宋体" w:hint="default"/>
                <w:sz w:val="21"/>
                <w:szCs w:val="21"/>
              </w:rPr>
            </w:pPr>
            <w:r>
              <w:rPr>
                <w:rFonts w:ascii="宋体"/>
                <w:sz w:val="21"/>
              </w:rPr>
              <w:t>2009.04.14</w:t>
            </w:r>
          </w:p>
        </w:tc>
      </w:tr>
      <w:tr>
        <w:trPr>
          <w:trHeight w:val="273" w:hRule="exact"/>
        </w:trPr>
        <w:tc>
          <w:tcPr>
            <w:tcW w:w="1574"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4934"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年度报告及报告摘要》</w:t>
            </w:r>
          </w:p>
        </w:tc>
        <w:tc>
          <w:tcPr>
            <w:tcW w:w="1366"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574"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493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度利润分配预案》</w:t>
            </w:r>
          </w:p>
        </w:tc>
        <w:tc>
          <w:tcPr>
            <w:tcW w:w="1366" w:type="dxa"/>
            <w:tcBorders>
              <w:top w:val="nil" w:sz="6" w:space="0" w:color="auto"/>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0"/>
        <w:ind w:left="0" w:right="473" w:firstLine="0"/>
        <w:jc w:val="center"/>
        <w:rPr>
          <w:rFonts w:ascii="Times New Roman" w:hAnsi="Times New Roman" w:cs="Times New Roman" w:eastAsia="Times New Roman" w:hint="default"/>
          <w:sz w:val="18"/>
          <w:szCs w:val="18"/>
        </w:rPr>
      </w:pPr>
      <w:r>
        <w:rPr>
          <w:rFonts w:ascii="Times New Roman"/>
          <w:sz w:val="18"/>
        </w:rPr>
        <w:t>24</w:t>
      </w:r>
    </w:p>
    <w:p>
      <w:pPr>
        <w:spacing w:after="0"/>
        <w:jc w:val="center"/>
        <w:rPr>
          <w:rFonts w:ascii="Times New Roman" w:hAnsi="Times New Roman" w:cs="Times New Roman" w:eastAsia="Times New Roman" w:hint="default"/>
          <w:sz w:val="18"/>
          <w:szCs w:val="18"/>
        </w:rPr>
        <w:sectPr>
          <w:pgSz w:w="11910" w:h="16840"/>
          <w:pgMar w:top="640" w:bottom="280" w:left="1160" w:right="1140"/>
        </w:sectPr>
      </w:pPr>
    </w:p>
    <w:p>
      <w:pPr>
        <w:spacing w:line="240" w:lineRule="auto" w:before="11"/>
        <w:rPr>
          <w:rFonts w:ascii="Times New Roman" w:hAnsi="Times New Roman" w:cs="Times New Roman" w:eastAsia="Times New Roman" w:hint="default"/>
          <w:sz w:val="26"/>
          <w:szCs w:val="26"/>
        </w:rPr>
      </w:pPr>
    </w:p>
    <w:p>
      <w:pPr>
        <w:pStyle w:val="Heading4"/>
        <w:tabs>
          <w:tab w:pos="6963" w:val="left" w:leader="none"/>
        </w:tabs>
        <w:spacing w:line="240" w:lineRule="auto"/>
        <w:ind w:left="3650" w:right="478"/>
        <w:jc w:val="left"/>
        <w:rPr>
          <w:b w:val="0"/>
          <w:bCs w:val="0"/>
        </w:rPr>
      </w:pPr>
      <w:r>
        <w:rPr/>
        <w:pict>
          <v:shape style="position:absolute;margin-left:87.900002pt;margin-top:-11.486023pt;width:95.033pt;height:25.5pt;mso-position-horizontal-relative:page;mso-position-vertical-relative:paragraph;z-index:2392"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1"/>
        <w:rPr>
          <w:rFonts w:ascii="黑体" w:hAnsi="黑体" w:cs="黑体" w:eastAsia="黑体" w:hint="default"/>
          <w:b/>
          <w:bCs/>
          <w:sz w:val="10"/>
          <w:szCs w:val="10"/>
        </w:rPr>
      </w:pPr>
    </w:p>
    <w:tbl>
      <w:tblPr>
        <w:tblW w:w="0" w:type="auto"/>
        <w:jc w:val="left"/>
        <w:tblInd w:w="238" w:type="dxa"/>
        <w:tblLayout w:type="fixed"/>
        <w:tblCellMar>
          <w:top w:w="0" w:type="dxa"/>
          <w:left w:w="0" w:type="dxa"/>
          <w:bottom w:w="0" w:type="dxa"/>
          <w:right w:w="0" w:type="dxa"/>
        </w:tblCellMar>
        <w:tblLook w:val="01E0"/>
      </w:tblPr>
      <w:tblGrid>
        <w:gridCol w:w="1574"/>
        <w:gridCol w:w="1366"/>
        <w:gridCol w:w="4934"/>
        <w:gridCol w:w="1366"/>
      </w:tblGrid>
      <w:tr>
        <w:trPr>
          <w:trHeight w:val="3407" w:hRule="exact"/>
        </w:trPr>
        <w:tc>
          <w:tcPr>
            <w:tcW w:w="15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05"/>
                <w:sz w:val="21"/>
                <w:szCs w:val="21"/>
              </w:rPr>
              <w:t>、</w:t>
            </w:r>
            <w:r>
              <w:rPr>
                <w:rFonts w:ascii="宋体" w:hAnsi="宋体" w:cs="宋体" w:eastAsia="宋体" w:hint="default"/>
                <w:spacing w:val="-1"/>
                <w:sz w:val="21"/>
                <w:szCs w:val="21"/>
              </w:rPr>
              <w:t>《公</w:t>
            </w:r>
            <w:r>
              <w:rPr>
                <w:rFonts w:ascii="宋体" w:hAnsi="宋体" w:cs="宋体" w:eastAsia="宋体" w:hint="default"/>
                <w:sz w:val="21"/>
                <w:szCs w:val="21"/>
              </w:rPr>
              <w:t>司</w:t>
            </w:r>
            <w:r>
              <w:rPr>
                <w:rFonts w:ascii="宋体" w:hAnsi="宋体" w:cs="宋体" w:eastAsia="宋体" w:hint="default"/>
                <w:spacing w:val="-54"/>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1"/>
                <w:sz w:val="21"/>
                <w:szCs w:val="21"/>
              </w:rPr>
              <w:t>年度内部</w:t>
            </w:r>
            <w:r>
              <w:rPr>
                <w:rFonts w:ascii="宋体" w:hAnsi="宋体" w:cs="宋体" w:eastAsia="宋体" w:hint="default"/>
                <w:spacing w:val="-2"/>
                <w:sz w:val="21"/>
                <w:szCs w:val="21"/>
              </w:rPr>
              <w:t>控</w:t>
            </w:r>
            <w:r>
              <w:rPr>
                <w:rFonts w:ascii="宋体" w:hAnsi="宋体" w:cs="宋体" w:eastAsia="宋体" w:hint="default"/>
                <w:spacing w:val="-1"/>
                <w:sz w:val="21"/>
                <w:szCs w:val="21"/>
              </w:rPr>
              <w:t>制自我评价报告》</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105"/>
                <w:sz w:val="21"/>
                <w:szCs w:val="21"/>
              </w:rPr>
              <w:t>、</w:t>
            </w:r>
            <w:r>
              <w:rPr>
                <w:rFonts w:ascii="宋体" w:hAnsi="宋体" w:cs="宋体" w:eastAsia="宋体" w:hint="default"/>
                <w:sz w:val="21"/>
                <w:szCs w:val="21"/>
              </w:rPr>
              <w:t>《董事</w:t>
            </w:r>
            <w:r>
              <w:rPr>
                <w:rFonts w:ascii="宋体" w:hAnsi="宋体" w:cs="宋体" w:eastAsia="宋体" w:hint="default"/>
                <w:spacing w:val="-2"/>
                <w:sz w:val="21"/>
                <w:szCs w:val="21"/>
              </w:rPr>
              <w:t>会</w:t>
            </w:r>
            <w:r>
              <w:rPr>
                <w:rFonts w:ascii="宋体" w:hAnsi="宋体" w:cs="宋体" w:eastAsia="宋体" w:hint="default"/>
                <w:sz w:val="21"/>
                <w:szCs w:val="21"/>
              </w:rPr>
              <w:t>换届选举议案》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为</w:t>
            </w:r>
            <w:r>
              <w:rPr>
                <w:rFonts w:ascii="宋体" w:hAnsi="宋体" w:cs="宋体" w:eastAsia="宋体" w:hint="default"/>
                <w:sz w:val="21"/>
                <w:szCs w:val="21"/>
              </w:rPr>
              <w:t>控股子公司提供担保额度的议案》</w:t>
            </w:r>
          </w:p>
          <w:p>
            <w:pPr>
              <w:pStyle w:val="TableParagraph"/>
              <w:spacing w:line="237" w:lineRule="auto" w:before="2"/>
              <w:ind w:left="103" w:right="92"/>
              <w:jc w:val="left"/>
              <w:rPr>
                <w:rFonts w:ascii="宋体" w:hAnsi="宋体" w:cs="宋体" w:eastAsia="宋体" w:hint="default"/>
                <w:sz w:val="21"/>
                <w:szCs w:val="21"/>
              </w:rPr>
            </w:pPr>
            <w:r>
              <w:rPr>
                <w:rFonts w:ascii="宋体" w:hAnsi="宋体" w:cs="宋体" w:eastAsia="宋体" w:hint="default"/>
                <w:spacing w:val="-1"/>
                <w:sz w:val="21"/>
                <w:szCs w:val="21"/>
              </w:rPr>
              <w:t>9、《公司子公司为华立产业集团有限公司及其子公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司提供担保额度的议案》</w:t>
            </w:r>
            <w:r>
              <w:rPr>
                <w:rFonts w:ascii="宋体" w:hAnsi="宋体" w:cs="宋体" w:eastAsia="宋体" w:hint="default"/>
                <w:sz w:val="21"/>
                <w:szCs w:val="21"/>
              </w:rPr>
              <w:t> </w:t>
            </w:r>
            <w:r>
              <w:rPr>
                <w:rFonts w:ascii="宋体" w:hAnsi="宋体" w:cs="宋体" w:eastAsia="宋体" w:hint="default"/>
                <w:spacing w:val="4"/>
                <w:sz w:val="21"/>
                <w:szCs w:val="21"/>
              </w:rPr>
              <w:t>10、《关于授权公司向华立集团股份有限公司融资</w:t>
            </w:r>
            <w:r>
              <w:rPr>
                <w:rFonts w:ascii="宋体" w:hAnsi="宋体" w:cs="宋体" w:eastAsia="宋体" w:hint="default"/>
                <w:spacing w:val="9"/>
                <w:sz w:val="21"/>
                <w:szCs w:val="21"/>
              </w:rPr>
              <w:t> </w:t>
            </w:r>
            <w:r>
              <w:rPr>
                <w:rFonts w:ascii="宋体" w:hAnsi="宋体" w:cs="宋体" w:eastAsia="宋体" w:hint="default"/>
                <w:sz w:val="21"/>
                <w:szCs w:val="21"/>
              </w:rPr>
              <w:t>的议案》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对</w:t>
            </w:r>
            <w:r>
              <w:rPr>
                <w:rFonts w:ascii="宋体" w:hAnsi="宋体" w:cs="宋体" w:eastAsia="宋体" w:hint="default"/>
                <w:sz w:val="21"/>
                <w:szCs w:val="21"/>
              </w:rPr>
              <w:t>子公司计提减值准备的议案》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2</w:t>
            </w:r>
            <w:r>
              <w:rPr>
                <w:rFonts w:ascii="宋体" w:hAnsi="宋体" w:cs="宋体" w:eastAsia="宋体" w:hint="default"/>
                <w:spacing w:val="-105"/>
                <w:sz w:val="21"/>
                <w:szCs w:val="21"/>
              </w:rPr>
              <w:t>、</w:t>
            </w:r>
            <w:r>
              <w:rPr>
                <w:rFonts w:ascii="宋体" w:hAnsi="宋体" w:cs="宋体" w:eastAsia="宋体" w:hint="default"/>
                <w:spacing w:val="-1"/>
                <w:sz w:val="21"/>
                <w:szCs w:val="21"/>
              </w:rPr>
              <w:t>《审计</w:t>
            </w:r>
            <w:r>
              <w:rPr>
                <w:rFonts w:ascii="宋体" w:hAnsi="宋体" w:cs="宋体" w:eastAsia="宋体" w:hint="default"/>
                <w:spacing w:val="-2"/>
                <w:sz w:val="21"/>
                <w:szCs w:val="21"/>
              </w:rPr>
              <w:t>机</w:t>
            </w:r>
            <w:r>
              <w:rPr>
                <w:rFonts w:ascii="宋体" w:hAnsi="宋体" w:cs="宋体" w:eastAsia="宋体" w:hint="default"/>
                <w:spacing w:val="-1"/>
                <w:sz w:val="21"/>
                <w:szCs w:val="21"/>
              </w:rPr>
              <w:t>构从</w:t>
            </w:r>
            <w:r>
              <w:rPr>
                <w:rFonts w:ascii="宋体" w:hAnsi="宋体" w:cs="宋体" w:eastAsia="宋体" w:hint="default"/>
                <w:sz w:val="21"/>
                <w:szCs w:val="21"/>
              </w:rPr>
              <w:t>事</w:t>
            </w:r>
            <w:r>
              <w:rPr>
                <w:rFonts w:ascii="宋体" w:hAnsi="宋体" w:cs="宋体" w:eastAsia="宋体" w:hint="default"/>
                <w:spacing w:val="-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8</w:t>
            </w:r>
            <w:r>
              <w:rPr>
                <w:rFonts w:ascii="宋体" w:hAnsi="宋体" w:cs="宋体" w:eastAsia="宋体" w:hint="default"/>
                <w:spacing w:val="-3"/>
                <w:sz w:val="21"/>
                <w:szCs w:val="21"/>
              </w:rPr>
              <w:t> </w:t>
            </w:r>
            <w:r>
              <w:rPr>
                <w:rFonts w:ascii="宋体" w:hAnsi="宋体" w:cs="宋体" w:eastAsia="宋体" w:hint="default"/>
                <w:spacing w:val="-1"/>
                <w:sz w:val="21"/>
                <w:szCs w:val="21"/>
              </w:rPr>
              <w:t>年度公</w:t>
            </w:r>
            <w:r>
              <w:rPr>
                <w:rFonts w:ascii="宋体" w:hAnsi="宋体" w:cs="宋体" w:eastAsia="宋体" w:hint="default"/>
                <w:spacing w:val="-2"/>
                <w:sz w:val="21"/>
                <w:szCs w:val="21"/>
              </w:rPr>
              <w:t>司</w:t>
            </w:r>
            <w:r>
              <w:rPr>
                <w:rFonts w:ascii="宋体" w:hAnsi="宋体" w:cs="宋体" w:eastAsia="宋体" w:hint="default"/>
                <w:spacing w:val="-1"/>
                <w:sz w:val="21"/>
                <w:szCs w:val="21"/>
              </w:rPr>
              <w:t>审计工作总结报</w:t>
            </w:r>
            <w:r>
              <w:rPr>
                <w:rFonts w:ascii="宋体" w:hAnsi="宋体" w:cs="宋体" w:eastAsia="宋体" w:hint="default"/>
                <w:sz w:val="21"/>
                <w:szCs w:val="21"/>
              </w:rPr>
            </w:r>
          </w:p>
          <w:p>
            <w:pPr>
              <w:pStyle w:val="TableParagraph"/>
              <w:spacing w:line="272" w:lineRule="exact" w:before="27"/>
              <w:ind w:left="103" w:right="935"/>
              <w:jc w:val="left"/>
              <w:rPr>
                <w:rFonts w:ascii="宋体" w:hAnsi="宋体" w:cs="宋体" w:eastAsia="宋体" w:hint="default"/>
                <w:sz w:val="21"/>
                <w:szCs w:val="21"/>
              </w:rPr>
            </w:pPr>
            <w:r>
              <w:rPr>
                <w:rFonts w:ascii="宋体" w:hAnsi="宋体" w:cs="宋体" w:eastAsia="宋体" w:hint="default"/>
                <w:sz w:val="21"/>
                <w:szCs w:val="21"/>
              </w:rPr>
              <w:t>告及聘请公司</w:t>
            </w:r>
            <w:r>
              <w:rPr>
                <w:rFonts w:ascii="宋体" w:hAnsi="宋体" w:cs="宋体" w:eastAsia="宋体" w:hint="default"/>
                <w:spacing w:val="-61"/>
                <w:sz w:val="21"/>
                <w:szCs w:val="21"/>
              </w:rPr>
              <w:t> </w:t>
            </w:r>
            <w:r>
              <w:rPr>
                <w:rFonts w:ascii="宋体" w:hAnsi="宋体" w:cs="宋体" w:eastAsia="宋体" w:hint="default"/>
                <w:sz w:val="21"/>
                <w:szCs w:val="21"/>
              </w:rPr>
              <w:t>2009</w:t>
            </w:r>
            <w:r>
              <w:rPr>
                <w:rFonts w:ascii="宋体" w:hAnsi="宋体" w:cs="宋体" w:eastAsia="宋体" w:hint="default"/>
                <w:spacing w:val="-60"/>
                <w:sz w:val="21"/>
                <w:szCs w:val="21"/>
              </w:rPr>
              <w:t> </w:t>
            </w:r>
            <w:r>
              <w:rPr>
                <w:rFonts w:ascii="宋体" w:hAnsi="宋体" w:cs="宋体" w:eastAsia="宋体" w:hint="default"/>
                <w:sz w:val="21"/>
                <w:szCs w:val="21"/>
              </w:rPr>
              <w:t>年度审计机构的议案》</w:t>
            </w:r>
            <w:r>
              <w:rPr>
                <w:rFonts w:ascii="宋体" w:hAnsi="宋体" w:cs="宋体" w:eastAsia="宋体" w:hint="default"/>
                <w:spacing w:val="-1"/>
                <w:sz w:val="21"/>
                <w:szCs w:val="21"/>
              </w:rPr>
              <w:t> </w:t>
            </w:r>
            <w:r>
              <w:rPr>
                <w:rFonts w:ascii="宋体" w:hAnsi="宋体" w:cs="宋体" w:eastAsia="宋体" w:hint="default"/>
                <w:spacing w:val="-6"/>
                <w:sz w:val="21"/>
                <w:szCs w:val="21"/>
              </w:rPr>
              <w:t>13、《关于修改〈公司章程〉的议案》</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4</w:t>
            </w:r>
            <w:r>
              <w:rPr>
                <w:rFonts w:ascii="宋体" w:hAnsi="宋体" w:cs="宋体" w:eastAsia="宋体" w:hint="default"/>
                <w:spacing w:val="-105"/>
                <w:sz w:val="21"/>
                <w:szCs w:val="21"/>
              </w:rPr>
              <w:t>、</w:t>
            </w:r>
            <w:r>
              <w:rPr>
                <w:rFonts w:ascii="宋体" w:hAnsi="宋体" w:cs="宋体" w:eastAsia="宋体" w:hint="default"/>
                <w:spacing w:val="-1"/>
                <w:sz w:val="21"/>
                <w:szCs w:val="21"/>
              </w:rPr>
              <w:t>《关于</w:t>
            </w:r>
            <w:r>
              <w:rPr>
                <w:rFonts w:ascii="宋体" w:hAnsi="宋体" w:cs="宋体" w:eastAsia="宋体" w:hint="default"/>
                <w:spacing w:val="-2"/>
                <w:sz w:val="21"/>
                <w:szCs w:val="21"/>
              </w:rPr>
              <w:t>召</w:t>
            </w:r>
            <w:r>
              <w:rPr>
                <w:rFonts w:ascii="宋体" w:hAnsi="宋体" w:cs="宋体" w:eastAsia="宋体" w:hint="default"/>
                <w:sz w:val="21"/>
                <w:szCs w:val="21"/>
              </w:rPr>
              <w:t>开</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00</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pacing w:val="-1"/>
                <w:sz w:val="21"/>
                <w:szCs w:val="21"/>
              </w:rPr>
              <w:t>年</w:t>
            </w:r>
            <w:r>
              <w:rPr>
                <w:rFonts w:ascii="宋体" w:hAnsi="宋体" w:cs="宋体" w:eastAsia="宋体" w:hint="default"/>
                <w:spacing w:val="-2"/>
                <w:sz w:val="21"/>
                <w:szCs w:val="21"/>
              </w:rPr>
              <w:t>年</w:t>
            </w:r>
            <w:r>
              <w:rPr>
                <w:rFonts w:ascii="宋体" w:hAnsi="宋体" w:cs="宋体" w:eastAsia="宋体" w:hint="default"/>
                <w:spacing w:val="-1"/>
                <w:sz w:val="21"/>
                <w:szCs w:val="21"/>
              </w:rPr>
              <w:t>度股东大会的议案》</w:t>
            </w:r>
            <w:r>
              <w:rPr>
                <w:rFonts w:ascii="宋体" w:hAnsi="宋体" w:cs="宋体" w:eastAsia="宋体"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hAnsi="宋体" w:cs="宋体" w:eastAsia="宋体" w:hint="default"/>
                <w:sz w:val="21"/>
                <w:szCs w:val="21"/>
              </w:rPr>
              <w:t>五届二十八次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宋体"/>
                <w:sz w:val="21"/>
              </w:rPr>
              <w:t>2009.04.22</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年第一季</w:t>
            </w:r>
            <w:r>
              <w:rPr>
                <w:rFonts w:ascii="宋体" w:hAnsi="宋体" w:cs="宋体" w:eastAsia="宋体" w:hint="default"/>
                <w:spacing w:val="-2"/>
                <w:sz w:val="21"/>
                <w:szCs w:val="21"/>
              </w:rPr>
              <w:t>度</w:t>
            </w:r>
            <w:r>
              <w:rPr>
                <w:rFonts w:ascii="宋体" w:hAnsi="宋体" w:cs="宋体" w:eastAsia="宋体" w:hint="default"/>
                <w:sz w:val="21"/>
                <w:szCs w:val="21"/>
              </w:rPr>
              <w:t>报告》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宋体" w:hAnsi="宋体" w:cs="宋体" w:eastAsia="宋体" w:hint="default"/>
                <w:sz w:val="21"/>
                <w:szCs w:val="21"/>
              </w:rPr>
            </w:pPr>
            <w:r>
              <w:rPr>
                <w:rFonts w:ascii="宋体"/>
                <w:sz w:val="21"/>
              </w:rPr>
              <w:t>2009.04.23</w:t>
            </w:r>
          </w:p>
        </w:tc>
      </w:tr>
      <w:tr>
        <w:trPr>
          <w:trHeight w:val="2161"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六届一次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2009.05.07</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86"/>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选</w:t>
            </w:r>
            <w:r>
              <w:rPr>
                <w:rFonts w:ascii="宋体" w:hAnsi="宋体" w:cs="宋体" w:eastAsia="宋体" w:hint="default"/>
                <w:sz w:val="21"/>
                <w:szCs w:val="21"/>
              </w:rPr>
              <w:t>举公司董事长的议案》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聘</w:t>
            </w:r>
            <w:r>
              <w:rPr>
                <w:rFonts w:ascii="宋体" w:hAnsi="宋体" w:cs="宋体" w:eastAsia="宋体" w:hint="default"/>
                <w:sz w:val="21"/>
                <w:szCs w:val="21"/>
              </w:rPr>
              <w:t>任董事会秘书、证券事务代表的议案》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聘</w:t>
            </w:r>
            <w:r>
              <w:rPr>
                <w:rFonts w:ascii="宋体" w:hAnsi="宋体" w:cs="宋体" w:eastAsia="宋体" w:hint="default"/>
                <w:sz w:val="21"/>
                <w:szCs w:val="21"/>
              </w:rPr>
              <w:t>任公司总裁的议案》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推</w:t>
            </w:r>
            <w:r>
              <w:rPr>
                <w:rFonts w:ascii="宋体" w:hAnsi="宋体" w:cs="宋体" w:eastAsia="宋体" w:hint="default"/>
                <w:sz w:val="21"/>
                <w:szCs w:val="21"/>
              </w:rPr>
              <w:t>举董事会四个专业委员会成员的议案》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聘</w:t>
            </w:r>
            <w:r>
              <w:rPr>
                <w:rFonts w:ascii="宋体" w:hAnsi="宋体" w:cs="宋体" w:eastAsia="宋体" w:hint="default"/>
                <w:sz w:val="21"/>
                <w:szCs w:val="21"/>
              </w:rPr>
              <w:t>任公司副总裁、财务总监的议案》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05"/>
                <w:sz w:val="21"/>
                <w:szCs w:val="21"/>
              </w:rPr>
              <w:t>、</w:t>
            </w:r>
            <w:r>
              <w:rPr>
                <w:rFonts w:ascii="宋体" w:hAnsi="宋体" w:cs="宋体" w:eastAsia="宋体" w:hint="default"/>
                <w:spacing w:val="-1"/>
                <w:sz w:val="21"/>
                <w:szCs w:val="21"/>
              </w:rPr>
              <w:t>《董事</w:t>
            </w:r>
            <w:r>
              <w:rPr>
                <w:rFonts w:ascii="宋体" w:hAnsi="宋体" w:cs="宋体" w:eastAsia="宋体" w:hint="default"/>
                <w:spacing w:val="-2"/>
                <w:sz w:val="21"/>
                <w:szCs w:val="21"/>
              </w:rPr>
              <w:t>、</w:t>
            </w:r>
            <w:r>
              <w:rPr>
                <w:rFonts w:ascii="宋体" w:hAnsi="宋体" w:cs="宋体" w:eastAsia="宋体" w:hint="default"/>
                <w:spacing w:val="-1"/>
                <w:sz w:val="21"/>
                <w:szCs w:val="21"/>
              </w:rPr>
              <w:t>监事津贴</w:t>
            </w:r>
            <w:r>
              <w:rPr>
                <w:rFonts w:ascii="宋体" w:hAnsi="宋体" w:cs="宋体" w:eastAsia="宋体" w:hint="default"/>
                <w:sz w:val="21"/>
                <w:szCs w:val="21"/>
              </w:rPr>
              <w:t>及</w:t>
            </w:r>
            <w:r>
              <w:rPr>
                <w:rFonts w:ascii="宋体" w:hAnsi="宋体" w:cs="宋体" w:eastAsia="宋体" w:hint="default"/>
                <w:spacing w:val="-53"/>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1"/>
                <w:sz w:val="21"/>
                <w:szCs w:val="21"/>
              </w:rPr>
              <w:t>年度高</w:t>
            </w:r>
            <w:r>
              <w:rPr>
                <w:rFonts w:ascii="宋体" w:hAnsi="宋体" w:cs="宋体" w:eastAsia="宋体" w:hint="default"/>
                <w:spacing w:val="-2"/>
                <w:sz w:val="21"/>
                <w:szCs w:val="21"/>
              </w:rPr>
              <w:t>管</w:t>
            </w:r>
            <w:r>
              <w:rPr>
                <w:rFonts w:ascii="宋体" w:hAnsi="宋体" w:cs="宋体" w:eastAsia="宋体" w:hint="default"/>
                <w:spacing w:val="-1"/>
                <w:sz w:val="21"/>
                <w:szCs w:val="21"/>
              </w:rPr>
              <w:t>薪酬议案》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105"/>
                <w:sz w:val="21"/>
                <w:szCs w:val="21"/>
              </w:rPr>
              <w:t>、</w:t>
            </w:r>
            <w:r>
              <w:rPr>
                <w:rFonts w:ascii="宋体" w:hAnsi="宋体" w:cs="宋体" w:eastAsia="宋体" w:hint="default"/>
                <w:spacing w:val="-1"/>
                <w:sz w:val="21"/>
                <w:szCs w:val="21"/>
              </w:rPr>
              <w:t>《公</w:t>
            </w:r>
            <w:r>
              <w:rPr>
                <w:rFonts w:ascii="宋体" w:hAnsi="宋体" w:cs="宋体" w:eastAsia="宋体" w:hint="default"/>
                <w:sz w:val="21"/>
                <w:szCs w:val="21"/>
              </w:rPr>
              <w:t>司</w:t>
            </w:r>
            <w:r>
              <w:rPr>
                <w:rFonts w:ascii="宋体" w:hAnsi="宋体" w:cs="宋体" w:eastAsia="宋体" w:hint="default"/>
                <w:spacing w:val="-54"/>
                <w:sz w:val="21"/>
                <w:szCs w:val="21"/>
              </w:rPr>
              <w:t> </w:t>
            </w:r>
            <w:r>
              <w:rPr>
                <w:rFonts w:ascii="宋体" w:hAnsi="宋体" w:cs="宋体" w:eastAsia="宋体" w:hint="default"/>
                <w:spacing w:val="-1"/>
                <w:sz w:val="21"/>
                <w:szCs w:val="21"/>
              </w:rPr>
              <w:t>200</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1"/>
                <w:sz w:val="21"/>
                <w:szCs w:val="21"/>
              </w:rPr>
              <w:t>年度日常</w:t>
            </w:r>
            <w:r>
              <w:rPr>
                <w:rFonts w:ascii="宋体" w:hAnsi="宋体" w:cs="宋体" w:eastAsia="宋体" w:hint="default"/>
                <w:spacing w:val="-2"/>
                <w:sz w:val="21"/>
                <w:szCs w:val="21"/>
              </w:rPr>
              <w:t>关</w:t>
            </w:r>
            <w:r>
              <w:rPr>
                <w:rFonts w:ascii="宋体" w:hAnsi="宋体" w:cs="宋体" w:eastAsia="宋体" w:hint="default"/>
                <w:spacing w:val="-1"/>
                <w:sz w:val="21"/>
                <w:szCs w:val="21"/>
              </w:rPr>
              <w:t>联交易预估金额的议案》</w:t>
            </w:r>
            <w:r>
              <w:rPr>
                <w:rFonts w:ascii="宋体" w:hAnsi="宋体" w:cs="宋体" w:eastAsia="宋体"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2009.05.08</w:t>
            </w:r>
          </w:p>
        </w:tc>
      </w:tr>
      <w:tr>
        <w:trPr>
          <w:trHeight w:val="1342"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1"/>
              <w:ind w:right="0"/>
              <w:jc w:val="left"/>
              <w:rPr>
                <w:rFonts w:ascii="黑体" w:hAnsi="黑体" w:cs="黑体" w:eastAsia="黑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六届二次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1"/>
              <w:ind w:right="0"/>
              <w:jc w:val="left"/>
              <w:rPr>
                <w:rFonts w:ascii="黑体" w:hAnsi="黑体" w:cs="黑体" w:eastAsia="黑体" w:hint="default"/>
                <w:b/>
                <w:bCs/>
                <w:sz w:val="17"/>
                <w:szCs w:val="17"/>
              </w:rPr>
            </w:pPr>
          </w:p>
          <w:p>
            <w:pPr>
              <w:pStyle w:val="TableParagraph"/>
              <w:spacing w:line="240" w:lineRule="auto"/>
              <w:ind w:right="1"/>
              <w:jc w:val="center"/>
              <w:rPr>
                <w:rFonts w:ascii="宋体" w:hAnsi="宋体" w:cs="宋体" w:eastAsia="宋体" w:hint="default"/>
                <w:sz w:val="21"/>
                <w:szCs w:val="21"/>
              </w:rPr>
            </w:pPr>
            <w:r>
              <w:rPr>
                <w:rFonts w:ascii="宋体"/>
                <w:sz w:val="21"/>
              </w:rPr>
              <w:t>2009.06.12</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86"/>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再</w:t>
            </w:r>
            <w:r>
              <w:rPr>
                <w:rFonts w:ascii="宋体" w:hAnsi="宋体" w:cs="宋体" w:eastAsia="宋体" w:hint="default"/>
                <w:sz w:val="21"/>
                <w:szCs w:val="21"/>
              </w:rPr>
              <w:t>次对子公司华立科泰增资的议案》</w:t>
            </w:r>
          </w:p>
          <w:p>
            <w:pPr>
              <w:pStyle w:val="TableParagraph"/>
              <w:spacing w:line="272" w:lineRule="exact" w:before="27"/>
              <w:ind w:left="103" w:right="95"/>
              <w:jc w:val="left"/>
              <w:rPr>
                <w:rFonts w:ascii="宋体" w:hAnsi="宋体" w:cs="宋体" w:eastAsia="宋体" w:hint="default"/>
                <w:sz w:val="21"/>
                <w:szCs w:val="21"/>
              </w:rPr>
            </w:pPr>
            <w:r>
              <w:rPr>
                <w:rFonts w:ascii="宋体" w:hAnsi="宋体" w:cs="宋体" w:eastAsia="宋体" w:hint="default"/>
                <w:spacing w:val="-1"/>
                <w:sz w:val="21"/>
                <w:szCs w:val="21"/>
              </w:rPr>
              <w:t>2、《子公司华立仪表集团关于向部分管理层和骨干</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员工进行定向扩股增资的议案》</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pacing w:val="-1"/>
                <w:sz w:val="21"/>
                <w:szCs w:val="21"/>
              </w:rPr>
              <w:t>《关于</w:t>
            </w:r>
            <w:r>
              <w:rPr>
                <w:rFonts w:ascii="宋体" w:hAnsi="宋体" w:cs="宋体" w:eastAsia="宋体" w:hint="default"/>
                <w:spacing w:val="-2"/>
                <w:sz w:val="21"/>
                <w:szCs w:val="21"/>
              </w:rPr>
              <w:t>召</w:t>
            </w:r>
            <w:r>
              <w:rPr>
                <w:rFonts w:ascii="宋体" w:hAnsi="宋体" w:cs="宋体" w:eastAsia="宋体" w:hint="default"/>
                <w:sz w:val="21"/>
                <w:szCs w:val="21"/>
              </w:rPr>
              <w:t>开</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00</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1"/>
                <w:sz w:val="21"/>
                <w:szCs w:val="21"/>
              </w:rPr>
              <w:t>年</w:t>
            </w:r>
            <w:r>
              <w:rPr>
                <w:rFonts w:ascii="宋体" w:hAnsi="宋体" w:cs="宋体" w:eastAsia="宋体" w:hint="default"/>
                <w:spacing w:val="-2"/>
                <w:sz w:val="21"/>
                <w:szCs w:val="21"/>
              </w:rPr>
              <w:t>第</w:t>
            </w:r>
            <w:r>
              <w:rPr>
                <w:rFonts w:ascii="宋体" w:hAnsi="宋体" w:cs="宋体" w:eastAsia="宋体" w:hint="default"/>
                <w:spacing w:val="-1"/>
                <w:sz w:val="21"/>
                <w:szCs w:val="21"/>
              </w:rPr>
              <w:t>二次临时股东大会的议案》</w:t>
            </w:r>
            <w:r>
              <w:rPr>
                <w:rFonts w:ascii="宋体" w:hAnsi="宋体" w:cs="宋体" w:eastAsia="宋体"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1"/>
              <w:ind w:right="0"/>
              <w:jc w:val="left"/>
              <w:rPr>
                <w:rFonts w:ascii="黑体" w:hAnsi="黑体" w:cs="黑体" w:eastAsia="黑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2009.06.13</w:t>
            </w:r>
          </w:p>
        </w:tc>
      </w:tr>
      <w:tr>
        <w:trPr>
          <w:trHeight w:val="455"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六届三次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2009.08.27</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年半年度报告及摘要》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2009.08.29</w:t>
            </w:r>
          </w:p>
        </w:tc>
      </w:tr>
      <w:tr>
        <w:trPr>
          <w:trHeight w:val="45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六届四次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21"/>
                <w:szCs w:val="21"/>
              </w:rPr>
            </w:pPr>
            <w:r>
              <w:rPr>
                <w:rFonts w:ascii="宋体"/>
                <w:sz w:val="21"/>
              </w:rPr>
              <w:t>2009.09.04</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《关于转让公司所持有的同人泰股权的议案》</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hAnsi="宋体" w:cs="宋体" w:eastAsia="宋体" w:hint="default"/>
                <w:sz w:val="21"/>
                <w:szCs w:val="21"/>
              </w:rPr>
              <w:t>六届五次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2009.10.23</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5"/>
                <w:sz w:val="21"/>
                <w:szCs w:val="21"/>
              </w:rPr>
              <w:t> </w:t>
            </w:r>
            <w:r>
              <w:rPr>
                <w:rFonts w:ascii="宋体" w:hAnsi="宋体" w:cs="宋体" w:eastAsia="宋体" w:hint="default"/>
                <w:sz w:val="21"/>
                <w:szCs w:val="21"/>
              </w:rPr>
              <w:t>年第三季度报告》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21"/>
                <w:szCs w:val="21"/>
              </w:rPr>
            </w:pPr>
            <w:r>
              <w:rPr>
                <w:rFonts w:ascii="宋体"/>
                <w:sz w:val="21"/>
              </w:rPr>
              <w:t>2009.10.27</w:t>
            </w:r>
          </w:p>
        </w:tc>
      </w:tr>
      <w:tr>
        <w:trPr>
          <w:trHeight w:val="659"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六届六次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sz w:val="21"/>
              </w:rPr>
              <w:t>2009.12.17</w:t>
            </w:r>
          </w:p>
        </w:tc>
        <w:tc>
          <w:tcPr>
            <w:tcW w:w="4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99"/>
              <w:jc w:val="left"/>
              <w:rPr>
                <w:rFonts w:ascii="宋体" w:hAnsi="宋体" w:cs="宋体" w:eastAsia="宋体" w:hint="default"/>
                <w:sz w:val="21"/>
                <w:szCs w:val="21"/>
              </w:rPr>
            </w:pPr>
            <w:r>
              <w:rPr>
                <w:rFonts w:ascii="宋体" w:hAnsi="宋体" w:cs="宋体" w:eastAsia="宋体" w:hint="default"/>
                <w:spacing w:val="3"/>
                <w:sz w:val="21"/>
                <w:szCs w:val="21"/>
              </w:rPr>
              <w:t>《关于转让子公司广东美康万特医药有限公司股权</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的议案》</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sz w:val="21"/>
              </w:rPr>
              <w:t>2009.12.17</w:t>
            </w:r>
          </w:p>
        </w:tc>
      </w:tr>
    </w:tbl>
    <w:p>
      <w:pPr>
        <w:pStyle w:val="Heading3"/>
        <w:spacing w:line="357" w:lineRule="auto" w:before="81"/>
        <w:ind w:left="618" w:right="478"/>
        <w:jc w:val="left"/>
      </w:pPr>
      <w:r>
        <w:rPr/>
        <w:t>2、董事会对股东大会决议的执行情况 </w:t>
      </w:r>
      <w:r>
        <w:rPr>
          <w:spacing w:val="-2"/>
        </w:rPr>
        <w:t>报告期内，公司董事会依法、诚信、认真地执行了股东大会的各项决议。股东大</w:t>
      </w:r>
      <w:r>
        <w:rPr/>
      </w:r>
    </w:p>
    <w:p>
      <w:pPr>
        <w:pStyle w:val="Heading3"/>
        <w:spacing w:line="357" w:lineRule="auto"/>
        <w:ind w:left="618" w:right="5486" w:hanging="480"/>
        <w:jc w:val="left"/>
      </w:pPr>
      <w:r>
        <w:rPr/>
        <w:t>会通过的决议，均得到了落实。 3、董事会审计委员会的履职情况</w:t>
      </w:r>
    </w:p>
    <w:p>
      <w:pPr>
        <w:pStyle w:val="Heading3"/>
        <w:spacing w:line="357" w:lineRule="auto"/>
        <w:ind w:left="617" w:right="487"/>
        <w:jc w:val="left"/>
      </w:pPr>
      <w:r>
        <w:rPr/>
        <w:t>（1）审计委员会严格按照相关规定开展工作，报告期内履职情况如下： 公司董事会审计委员会由</w:t>
      </w:r>
      <w:r>
        <w:rPr>
          <w:spacing w:val="-66"/>
        </w:rPr>
        <w:t> </w:t>
      </w:r>
      <w:r>
        <w:rPr/>
        <w:t>2</w:t>
      </w:r>
      <w:r>
        <w:rPr>
          <w:spacing w:val="-66"/>
        </w:rPr>
        <w:t> </w:t>
      </w:r>
      <w:r>
        <w:rPr/>
        <w:t>名独立董事和</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8"/>
        </w:rPr>
        <w:t>名非独立董事组成，根据中国证监会、</w:t>
      </w:r>
    </w:p>
    <w:p>
      <w:pPr>
        <w:pStyle w:val="Heading3"/>
        <w:spacing w:line="357" w:lineRule="auto" w:before="5"/>
        <w:ind w:left="137" w:right="478"/>
        <w:jc w:val="left"/>
      </w:pPr>
      <w:r>
        <w:rPr/>
        <w:t>深圳证券交易所有关规定及公司董事会审计委员会实施细则、公司独立董事年报工作 </w:t>
      </w:r>
      <w:r>
        <w:rPr>
          <w:spacing w:val="-5"/>
        </w:rPr>
        <w:t>制度、董事会审计委员会年报工作程序，公司董事会审计委员会本着勤勉尽责的原则，</w:t>
      </w:r>
      <w:r>
        <w:rPr>
          <w:spacing w:val="-86"/>
        </w:rPr>
        <w:t> </w:t>
      </w:r>
      <w:r>
        <w:rPr>
          <w:spacing w:val="-86"/>
        </w:rPr>
      </w:r>
      <w:r>
        <w:rPr/>
        <w:t>主要履行了以下工作职责：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0"/>
        <w:ind w:left="0" w:right="482" w:firstLine="0"/>
        <w:jc w:val="center"/>
        <w:rPr>
          <w:rFonts w:ascii="Times New Roman" w:hAnsi="Times New Roman" w:cs="Times New Roman" w:eastAsia="Times New Roman" w:hint="default"/>
          <w:sz w:val="18"/>
          <w:szCs w:val="18"/>
        </w:rPr>
      </w:pPr>
      <w:r>
        <w:rPr>
          <w:rFonts w:ascii="Times New Roman"/>
          <w:sz w:val="18"/>
        </w:rPr>
        <w:t>25</w:t>
      </w:r>
    </w:p>
    <w:p>
      <w:pPr>
        <w:spacing w:after="0"/>
        <w:jc w:val="center"/>
        <w:rPr>
          <w:rFonts w:ascii="Times New Roman" w:hAnsi="Times New Roman" w:cs="Times New Roman" w:eastAsia="Times New Roman" w:hint="default"/>
          <w:sz w:val="18"/>
          <w:szCs w:val="18"/>
        </w:rPr>
        <w:sectPr>
          <w:pgSz w:w="11910" w:h="16840"/>
          <w:pgMar w:top="640" w:bottom="280" w:left="1620" w:right="680"/>
        </w:sectPr>
      </w:pPr>
    </w:p>
    <w:p>
      <w:pPr>
        <w:spacing w:line="240" w:lineRule="auto" w:before="11"/>
        <w:rPr>
          <w:rFonts w:ascii="Times New Roman" w:hAnsi="Times New Roman" w:cs="Times New Roman" w:eastAsia="Times New Roman" w:hint="default"/>
          <w:sz w:val="26"/>
          <w:szCs w:val="26"/>
        </w:rPr>
      </w:pPr>
    </w:p>
    <w:p>
      <w:pPr>
        <w:pStyle w:val="Heading4"/>
        <w:tabs>
          <w:tab w:pos="6969" w:val="left" w:leader="none"/>
        </w:tabs>
        <w:spacing w:line="240" w:lineRule="auto"/>
        <w:ind w:left="3656" w:right="0"/>
        <w:jc w:val="left"/>
        <w:rPr>
          <w:b w:val="0"/>
          <w:bCs w:val="0"/>
        </w:rPr>
      </w:pPr>
      <w:r>
        <w:rPr/>
        <w:pict>
          <v:shape style="position:absolute;margin-left:65.160004pt;margin-top:-11.486023pt;width:95.052pt;height:25.5pt;mso-position-horizontal-relative:page;mso-position-vertical-relative:paragraph;z-index:2440"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7"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5"/>
          <w:szCs w:val="5"/>
        </w:rPr>
      </w:pPr>
    </w:p>
    <w:p>
      <w:pPr>
        <w:pStyle w:val="Heading3"/>
        <w:spacing w:line="240" w:lineRule="auto" w:before="26"/>
        <w:ind w:left="624" w:right="0"/>
        <w:jc w:val="left"/>
      </w:pPr>
      <w:r>
        <w:rPr/>
        <w:t>1）审计委员会认真审阅了公司</w:t>
      </w:r>
      <w:r>
        <w:rPr>
          <w:spacing w:val="-78"/>
        </w:rPr>
        <w:t> </w:t>
      </w:r>
      <w:r>
        <w:rPr/>
        <w:t>2009</w:t>
      </w:r>
      <w:r>
        <w:rPr>
          <w:spacing w:val="-78"/>
        </w:rPr>
        <w:t> </w:t>
      </w:r>
      <w:r>
        <w:rPr/>
        <w:t>年年度审计工作计划及相关资料，与负责公</w:t>
      </w:r>
    </w:p>
    <w:p>
      <w:pPr>
        <w:pStyle w:val="Heading3"/>
        <w:spacing w:line="357" w:lineRule="auto" w:before="154"/>
        <w:ind w:right="175"/>
        <w:jc w:val="both"/>
      </w:pPr>
      <w:r>
        <w:rPr/>
        <w:t>司年度审计工作的天健正信会计师事务所有限公司注册会计师协商确定了公司</w:t>
      </w:r>
      <w:r>
        <w:rPr>
          <w:spacing w:val="58"/>
        </w:rPr>
        <w:t> </w:t>
      </w:r>
      <w:r>
        <w:rPr/>
        <w:t>2009</w:t>
      </w:r>
      <w:r>
        <w:rPr>
          <w:spacing w:val="-110"/>
        </w:rPr>
        <w:t> </w:t>
      </w:r>
      <w:r>
        <w:rPr>
          <w:spacing w:val="-110"/>
        </w:rPr>
      </w:r>
      <w:r>
        <w:rPr/>
        <w:t>年年度财务报告审计工作的时间安排；</w:t>
      </w:r>
    </w:p>
    <w:p>
      <w:pPr>
        <w:pStyle w:val="Heading3"/>
        <w:spacing w:line="357" w:lineRule="auto"/>
        <w:ind w:right="173" w:firstLine="480"/>
        <w:jc w:val="both"/>
      </w:pPr>
      <w:r>
        <w:rPr/>
        <w:t>2）在年审注册会计师进场前认真审阅了公司初步编制的财务会计报表，并出具</w:t>
      </w:r>
      <w:r>
        <w:rPr>
          <w:spacing w:val="2"/>
        </w:rPr>
        <w:t> </w:t>
      </w:r>
      <w:r>
        <w:rPr/>
        <w:t>了书面审议意见；</w:t>
      </w:r>
    </w:p>
    <w:p>
      <w:pPr>
        <w:pStyle w:val="Heading3"/>
        <w:spacing w:line="357" w:lineRule="auto"/>
        <w:ind w:right="173" w:firstLine="480"/>
        <w:jc w:val="both"/>
      </w:pPr>
      <w:r>
        <w:rPr/>
        <w:t>3）公司年审注册会计师进场后，董事会审计委员会与公司年审注册会计师就审</w:t>
      </w:r>
      <w:r>
        <w:rPr>
          <w:spacing w:val="2"/>
        </w:rPr>
        <w:t> </w:t>
      </w:r>
      <w:r>
        <w:rPr>
          <w:spacing w:val="-1"/>
        </w:rPr>
        <w:t>计过程中发现的问题以及审计报告提交的时间进行了充分的沟通和交流，要求会计师</w:t>
      </w:r>
      <w:r>
        <w:rPr/>
        <w:t> 事务所按照审计总体工作计划尽快完成外勤审计工作；</w:t>
      </w:r>
    </w:p>
    <w:p>
      <w:pPr>
        <w:pStyle w:val="Heading3"/>
        <w:spacing w:line="357" w:lineRule="auto"/>
        <w:ind w:right="173" w:firstLine="480"/>
        <w:jc w:val="both"/>
      </w:pPr>
      <w:r>
        <w:rPr/>
        <w:t>4）公司年审注册会计师出具初步审计意见后，董事会审计委员会再一次审阅了</w:t>
      </w:r>
      <w:r>
        <w:rPr>
          <w:spacing w:val="2"/>
        </w:rPr>
        <w:t> </w:t>
      </w:r>
      <w:r>
        <w:rPr/>
        <w:t>公司</w:t>
      </w:r>
      <w:r>
        <w:rPr>
          <w:spacing w:val="-60"/>
        </w:rPr>
        <w:t> </w:t>
      </w:r>
      <w:r>
        <w:rPr/>
        <w:t>2009</w:t>
      </w:r>
      <w:r>
        <w:rPr>
          <w:spacing w:val="-60"/>
        </w:rPr>
        <w:t> </w:t>
      </w:r>
      <w:r>
        <w:rPr/>
        <w:t>年年度财务会计报表，并形成书面审议意见；</w:t>
      </w:r>
    </w:p>
    <w:p>
      <w:pPr>
        <w:pStyle w:val="Heading3"/>
        <w:spacing w:line="357" w:lineRule="auto"/>
        <w:ind w:right="175" w:firstLine="480"/>
        <w:jc w:val="both"/>
      </w:pPr>
      <w:r>
        <w:rPr/>
        <w:t>5）在天健正信会计师事务所有限公司出具</w:t>
      </w:r>
      <w:r>
        <w:rPr>
          <w:spacing w:val="-77"/>
        </w:rPr>
        <w:t> </w:t>
      </w:r>
      <w:r>
        <w:rPr/>
        <w:t>2009</w:t>
      </w:r>
      <w:r>
        <w:rPr>
          <w:spacing w:val="-77"/>
        </w:rPr>
        <w:t> </w:t>
      </w:r>
      <w:r>
        <w:rPr/>
        <w:t>年年度审计报告后，董事会审计</w:t>
      </w:r>
      <w:r>
        <w:rPr/>
        <w:t> </w:t>
      </w:r>
      <w:r>
        <w:rPr>
          <w:spacing w:val="-1"/>
        </w:rPr>
        <w:t>委员会召开会议，对天健正信会计师事务所有限公司从事本年度公司的审计工作进行</w:t>
      </w:r>
      <w:r>
        <w:rPr/>
        <w:t> </w:t>
      </w:r>
      <w:r>
        <w:rPr>
          <w:spacing w:val="-1"/>
        </w:rPr>
        <w:t>了总结，并就公司年度财务会计报表以及关于下年度聘请会计师事务所的议案进行表</w:t>
      </w:r>
      <w:r>
        <w:rPr/>
        <w:t> 决并形成决议。</w:t>
      </w:r>
    </w:p>
    <w:p>
      <w:pPr>
        <w:pStyle w:val="Heading3"/>
        <w:spacing w:line="357" w:lineRule="auto"/>
        <w:ind w:left="624" w:right="3840"/>
        <w:jc w:val="left"/>
      </w:pPr>
      <w:r>
        <w:rPr/>
        <w:t>（2）对公司2009年年度财务报告的审议意见 1）2009年年度财务报告的初次审议意见</w:t>
      </w:r>
    </w:p>
    <w:p>
      <w:pPr>
        <w:pStyle w:val="Heading3"/>
        <w:spacing w:line="240" w:lineRule="auto"/>
        <w:ind w:left="624" w:right="0"/>
        <w:jc w:val="left"/>
      </w:pPr>
      <w:r>
        <w:rPr/>
        <w:t>在公司</w:t>
      </w:r>
      <w:r>
        <w:rPr>
          <w:spacing w:val="-50"/>
        </w:rPr>
        <w:t> </w:t>
      </w:r>
      <w:r>
        <w:rPr/>
        <w:t>2009</w:t>
      </w:r>
      <w:r>
        <w:rPr>
          <w:spacing w:val="-50"/>
        </w:rPr>
        <w:t> </w:t>
      </w:r>
      <w:r>
        <w:rPr/>
        <w:t>年年度审计机构进场审计前，公司审计委员会于</w:t>
      </w:r>
      <w:r>
        <w:rPr>
          <w:spacing w:val="-50"/>
        </w:rPr>
        <w:t> </w:t>
      </w:r>
      <w:r>
        <w:rPr/>
        <w:t>2010</w:t>
      </w:r>
      <w:r>
        <w:rPr>
          <w:spacing w:val="-51"/>
        </w:rPr>
        <w:t> </w:t>
      </w:r>
      <w:r>
        <w:rPr>
          <w:spacing w:val="46"/>
        </w:rPr>
        <w:t>年1月</w:t>
      </w:r>
      <w:r>
        <w:rPr>
          <w:spacing w:val="-50"/>
        </w:rPr>
        <w:t> </w:t>
      </w:r>
      <w:r>
        <w:rPr>
          <w:spacing w:val="23"/>
        </w:rPr>
        <w:t>22日</w:t>
      </w:r>
      <w:r>
        <w:rPr>
          <w:spacing w:val="-50"/>
        </w:rPr>
        <w:t> </w:t>
      </w:r>
      <w:r>
        <w:rPr/>
      </w:r>
    </w:p>
    <w:p>
      <w:pPr>
        <w:pStyle w:val="Heading3"/>
        <w:spacing w:line="240" w:lineRule="auto" w:before="154"/>
        <w:ind w:right="0"/>
        <w:jc w:val="both"/>
      </w:pPr>
      <w:r>
        <w:rPr/>
        <w:t>以电话会议的形式听取了公司财务部门负责人关于 2009</w:t>
      </w:r>
      <w:r>
        <w:rPr>
          <w:spacing w:val="-36"/>
        </w:rPr>
        <w:t> </w:t>
      </w:r>
      <w:r>
        <w:rPr/>
        <w:t>年年度财务报告审计工作的</w:t>
      </w:r>
    </w:p>
    <w:p>
      <w:pPr>
        <w:pStyle w:val="Heading3"/>
        <w:spacing w:line="357" w:lineRule="auto" w:before="154"/>
        <w:ind w:right="175"/>
        <w:jc w:val="both"/>
      </w:pPr>
      <w:r>
        <w:rPr/>
        <w:t>时间安排，并审阅了公司编制的 2009</w:t>
      </w:r>
      <w:r>
        <w:rPr>
          <w:spacing w:val="-36"/>
        </w:rPr>
        <w:t> </w:t>
      </w:r>
      <w:r>
        <w:rPr/>
        <w:t>年年度财务会计报表，认为财务会计报表能够</w:t>
      </w:r>
      <w:r>
        <w:rPr/>
        <w:t> </w:t>
      </w:r>
      <w:r>
        <w:rPr>
          <w:spacing w:val="-1"/>
        </w:rPr>
        <w:t>反映公司的财务状况和经营成果，同意提交年审会计师进行审计。并与天健正信会计</w:t>
      </w:r>
      <w:r>
        <w:rPr/>
        <w:t> </w:t>
      </w:r>
      <w:r>
        <w:rPr>
          <w:spacing w:val="-3"/>
        </w:rPr>
        <w:t>师事务所有限公司相关人员就审计工作安排进行协商，同意公司财务部门提出的</w:t>
      </w:r>
      <w:r>
        <w:rPr>
          <w:spacing w:val="-51"/>
        </w:rPr>
        <w:t> </w:t>
      </w:r>
      <w:r>
        <w:rPr/>
        <w:t>2009</w:t>
      </w:r>
    </w:p>
    <w:p>
      <w:pPr>
        <w:pStyle w:val="Heading3"/>
        <w:spacing w:line="357" w:lineRule="auto"/>
        <w:ind w:right="175"/>
        <w:jc w:val="both"/>
      </w:pPr>
      <w:r>
        <w:rPr/>
        <w:t>年年度财务报告审计工作的时间安排；同意将公司编制的 2009</w:t>
      </w:r>
      <w:r>
        <w:rPr>
          <w:spacing w:val="-36"/>
        </w:rPr>
        <w:t> </w:t>
      </w:r>
      <w:r>
        <w:rPr/>
        <w:t>年年度财务会计报表</w:t>
      </w:r>
      <w:r>
        <w:rPr/>
        <w:t> </w:t>
      </w:r>
      <w:r>
        <w:rPr>
          <w:spacing w:val="-1"/>
        </w:rPr>
        <w:t>及相关财务资料提交天健正信会计师事务所有限公司进行审计。并督促天健正信会计</w:t>
      </w:r>
      <w:r>
        <w:rPr/>
        <w:t> </w:t>
      </w:r>
      <w:r>
        <w:rPr>
          <w:spacing w:val="-1"/>
        </w:rPr>
        <w:t>师事务所有限公司在认真履行审计职责的同时，根据时间安排及时完成审计报告，保</w:t>
      </w:r>
      <w:r>
        <w:rPr/>
        <w:t> 障公司</w:t>
      </w:r>
      <w:r>
        <w:rPr>
          <w:spacing w:val="-60"/>
        </w:rPr>
        <w:t> </w:t>
      </w:r>
      <w:r>
        <w:rPr/>
        <w:t>2009</w:t>
      </w:r>
      <w:r>
        <w:rPr>
          <w:spacing w:val="-60"/>
        </w:rPr>
        <w:t> </w:t>
      </w:r>
      <w:r>
        <w:rPr/>
        <w:t>年年度报告按照深圳证券交易所规定的时间完成信息披露工作。</w:t>
      </w:r>
    </w:p>
    <w:p>
      <w:pPr>
        <w:pStyle w:val="Heading3"/>
        <w:spacing w:line="357" w:lineRule="auto"/>
        <w:ind w:left="624" w:right="0"/>
        <w:jc w:val="left"/>
      </w:pPr>
      <w:r>
        <w:rPr/>
        <w:t>2）2009</w:t>
      </w:r>
      <w:r>
        <w:rPr>
          <w:spacing w:val="-60"/>
        </w:rPr>
        <w:t> </w:t>
      </w:r>
      <w:r>
        <w:rPr/>
        <w:t>年年度财务报表的第二次审议意见</w:t>
      </w:r>
      <w:r>
        <w:rPr/>
        <w:t> </w:t>
      </w:r>
      <w:r>
        <w:rPr>
          <w:spacing w:val="-2"/>
        </w:rPr>
        <w:t>审计委员会在年审会计师出具审计初步意见后，再次审阅公司财务会计报表，并</w:t>
      </w:r>
    </w:p>
    <w:p>
      <w:pPr>
        <w:pStyle w:val="Heading3"/>
        <w:spacing w:line="357" w:lineRule="auto"/>
        <w:ind w:right="175"/>
        <w:jc w:val="both"/>
      </w:pPr>
      <w:r>
        <w:rPr>
          <w:spacing w:val="4"/>
        </w:rPr>
        <w:t>与年审注册会计师进行沟通后，审计委员会于3月</w:t>
      </w:r>
      <w:r>
        <w:rPr>
          <w:spacing w:val="-61"/>
        </w:rPr>
        <w:t> </w:t>
      </w:r>
      <w:r>
        <w:rPr/>
        <w:t>16</w:t>
      </w:r>
      <w:r>
        <w:rPr>
          <w:spacing w:val="-61"/>
        </w:rPr>
        <w:t> </w:t>
      </w:r>
      <w:r>
        <w:rPr/>
        <w:t>日召开会议，对公司</w:t>
      </w:r>
      <w:r>
        <w:rPr>
          <w:spacing w:val="-61"/>
        </w:rPr>
        <w:t> </w:t>
      </w:r>
      <w:r>
        <w:rPr/>
        <w:t>2009</w:t>
      </w:r>
      <w:r>
        <w:rPr>
          <w:spacing w:val="-61"/>
        </w:rPr>
        <w:t> </w:t>
      </w:r>
      <w:r>
        <w:rPr/>
        <w:t>年会</w:t>
      </w:r>
      <w:r>
        <w:rPr/>
        <w:t> 计报表进行表决，形成书面决议：1、同意将公司编制的经审计的</w:t>
      </w:r>
      <w:r>
        <w:rPr>
          <w:spacing w:val="-78"/>
        </w:rPr>
        <w:t> </w:t>
      </w:r>
      <w:r>
        <w:rPr/>
        <w:t>2009</w:t>
      </w:r>
      <w:r>
        <w:rPr>
          <w:spacing w:val="-78"/>
        </w:rPr>
        <w:t> </w:t>
      </w:r>
      <w:r>
        <w:rPr/>
        <w:t>年财务会计报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76"/>
        <w:ind w:left="4455" w:right="4488" w:firstLine="0"/>
        <w:jc w:val="center"/>
        <w:rPr>
          <w:rFonts w:ascii="Times New Roman" w:hAnsi="Times New Roman" w:cs="Times New Roman" w:eastAsia="Times New Roman" w:hint="default"/>
          <w:sz w:val="18"/>
          <w:szCs w:val="18"/>
        </w:rPr>
      </w:pPr>
      <w:r>
        <w:rPr>
          <w:rFonts w:ascii="Times New Roman"/>
          <w:sz w:val="18"/>
        </w:rPr>
        <w:t>26</w:t>
      </w:r>
    </w:p>
    <w:p>
      <w:pPr>
        <w:spacing w:after="0"/>
        <w:jc w:val="center"/>
        <w:rPr>
          <w:rFonts w:ascii="Times New Roman" w:hAnsi="Times New Roman" w:cs="Times New Roman" w:eastAsia="Times New Roman" w:hint="default"/>
          <w:sz w:val="18"/>
          <w:szCs w:val="18"/>
        </w:rPr>
        <w:sectPr>
          <w:pgSz w:w="11910" w:h="16840"/>
          <w:pgMar w:top="640" w:bottom="280" w:left="1160" w:right="1580"/>
        </w:sectPr>
      </w:pPr>
    </w:p>
    <w:p>
      <w:pPr>
        <w:spacing w:line="240" w:lineRule="auto" w:before="11"/>
        <w:rPr>
          <w:rFonts w:ascii="Times New Roman" w:hAnsi="Times New Roman" w:cs="Times New Roman" w:eastAsia="Times New Roman" w:hint="default"/>
          <w:sz w:val="26"/>
          <w:szCs w:val="26"/>
        </w:rPr>
      </w:pPr>
    </w:p>
    <w:p>
      <w:pPr>
        <w:pStyle w:val="Heading4"/>
        <w:tabs>
          <w:tab w:pos="6963" w:val="left" w:leader="none"/>
        </w:tabs>
        <w:spacing w:line="240" w:lineRule="auto"/>
        <w:ind w:left="3650" w:right="0"/>
        <w:jc w:val="left"/>
        <w:rPr>
          <w:b w:val="0"/>
          <w:bCs w:val="0"/>
        </w:rPr>
      </w:pPr>
      <w:r>
        <w:rPr/>
        <w:pict>
          <v:shape style="position:absolute;margin-left:87.900002pt;margin-top:-11.486023pt;width:95.033pt;height:25.5pt;mso-position-horizontal-relative:page;mso-position-vertical-relative:paragraph;z-index:2488"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5"/>
          <w:szCs w:val="5"/>
        </w:rPr>
      </w:pPr>
    </w:p>
    <w:p>
      <w:pPr>
        <w:pStyle w:val="Heading3"/>
        <w:spacing w:line="357" w:lineRule="auto" w:before="26"/>
        <w:ind w:left="138" w:right="364"/>
        <w:jc w:val="both"/>
      </w:pPr>
      <w:r>
        <w:rPr/>
        <w:t>告提交董事会审核；2、决定向董事会提交天健正信会计师事务所有限公司从事</w:t>
      </w:r>
      <w:r>
        <w:rPr>
          <w:spacing w:val="-36"/>
        </w:rPr>
        <w:t> </w:t>
      </w:r>
      <w:r>
        <w:rPr/>
        <w:t>2009</w:t>
      </w:r>
      <w:r>
        <w:rPr/>
        <w:t> 年年度审计工作的总结报告；3、天健正信会计师事务所有限公司自进场审计以来，</w:t>
      </w:r>
      <w:r>
        <w:rPr>
          <w:spacing w:val="-47"/>
        </w:rPr>
        <w:t> </w:t>
      </w:r>
      <w:r>
        <w:rPr>
          <w:spacing w:val="-47"/>
        </w:rPr>
      </w:r>
      <w:r>
        <w:rPr/>
        <w:t>恪尽职守，遵循独立、客观、公正的执业准则，较好地完成了公司委托的各项工作，</w:t>
      </w:r>
      <w:r>
        <w:rPr/>
        <w:t> 建议继续聘请天健正信会计师事务所有限公司为公司</w:t>
      </w:r>
      <w:r>
        <w:rPr>
          <w:spacing w:val="-60"/>
        </w:rPr>
        <w:t> </w:t>
      </w:r>
      <w:r>
        <w:rPr/>
        <w:t>2010</w:t>
      </w:r>
      <w:r>
        <w:rPr>
          <w:spacing w:val="-60"/>
        </w:rPr>
        <w:t> </w:t>
      </w:r>
      <w:r>
        <w:rPr/>
        <w:t>年年度财务审计机构。</w:t>
      </w:r>
    </w:p>
    <w:p>
      <w:pPr>
        <w:pStyle w:val="Heading3"/>
        <w:spacing w:line="357" w:lineRule="auto"/>
        <w:ind w:left="138" w:right="400" w:firstLine="480"/>
        <w:jc w:val="both"/>
      </w:pPr>
      <w:r>
        <w:rPr/>
        <w:t>审计委员会在公司 2009</w:t>
      </w:r>
      <w:r>
        <w:rPr>
          <w:spacing w:val="-36"/>
        </w:rPr>
        <w:t> </w:t>
      </w:r>
      <w:r>
        <w:rPr/>
        <w:t>年财务报告审计过程中充分发挥了监督作用，维护了审</w:t>
      </w:r>
      <w:r>
        <w:rPr/>
        <w:t> 计的独立性。</w:t>
      </w:r>
    </w:p>
    <w:p>
      <w:pPr>
        <w:pStyle w:val="Heading3"/>
        <w:spacing w:line="357" w:lineRule="auto"/>
        <w:ind w:left="618" w:right="0"/>
        <w:jc w:val="left"/>
      </w:pPr>
      <w:r>
        <w:rPr/>
        <w:t>（3）审计委员会关于天健正信会计师事务所从事本年度审计工作的评价 </w:t>
      </w:r>
      <w:r>
        <w:rPr>
          <w:spacing w:val="-2"/>
        </w:rPr>
        <w:t>在本年度审计过程中，天健正信审计小组按照既定的时间安排和工作计划实施对</w:t>
      </w:r>
    </w:p>
    <w:p>
      <w:pPr>
        <w:pStyle w:val="Heading3"/>
        <w:spacing w:line="357" w:lineRule="auto"/>
        <w:ind w:left="137" w:right="0"/>
        <w:jc w:val="left"/>
      </w:pPr>
      <w:r>
        <w:rPr>
          <w:spacing w:val="-5"/>
        </w:rPr>
        <w:t>公司的年度审计，并在约定时限内完成了所有审计程序，取得了充分适当的审计证据。</w:t>
      </w:r>
      <w:r>
        <w:rPr>
          <w:spacing w:val="-86"/>
        </w:rPr>
        <w:t> </w:t>
      </w:r>
      <w:r>
        <w:rPr>
          <w:spacing w:val="-86"/>
        </w:rPr>
      </w:r>
      <w:r>
        <w:rPr/>
        <w:t>天健正信审计成员具有承办本次审计业务所必需的专业知识和相关的职业证书，保持</w:t>
      </w:r>
      <w:r>
        <w:rPr/>
        <w:t> 了形式上和实质上的双重独立，遵守了职业道德基本原则中关于保持独立性的要求， 按时完成了本次审计工作。</w:t>
      </w:r>
    </w:p>
    <w:p>
      <w:pPr>
        <w:pStyle w:val="Heading3"/>
        <w:spacing w:line="357" w:lineRule="auto"/>
        <w:ind w:left="617" w:right="0"/>
        <w:jc w:val="left"/>
      </w:pPr>
      <w:r>
        <w:rPr/>
        <w:t>4、董事会薪酬委员会的履职情况 </w:t>
      </w:r>
      <w:r>
        <w:rPr>
          <w:spacing w:val="-2"/>
        </w:rPr>
        <w:t>公司董事会下设的薪酬与考核委员会对公司董事、监事和高级管理人员薪酬进行</w:t>
      </w:r>
    </w:p>
    <w:p>
      <w:pPr>
        <w:pStyle w:val="Heading3"/>
        <w:spacing w:line="357" w:lineRule="auto"/>
        <w:ind w:left="137" w:right="400"/>
        <w:jc w:val="both"/>
      </w:pPr>
      <w:r>
        <w:rPr/>
        <w:t>了审核，认为公司在 2009</w:t>
      </w:r>
      <w:r>
        <w:rPr>
          <w:spacing w:val="-36"/>
        </w:rPr>
        <w:t> </w:t>
      </w:r>
      <w:r>
        <w:rPr/>
        <w:t>年年度报告中披露的董事、监事和高管人员所得薪酬，均</w:t>
      </w:r>
      <w:r>
        <w:rPr/>
        <w:t> </w:t>
      </w:r>
      <w:r>
        <w:rPr>
          <w:spacing w:val="-1"/>
        </w:rPr>
        <w:t>是依据公司制订的岗位工资制度并结合岗位年度考核结果来确定；独立董事的津贴是</w:t>
      </w:r>
      <w:r>
        <w:rPr/>
        <w:t> 依据公司股东大会通过的独立董事津贴标准为原则确定的。</w:t>
      </w:r>
    </w:p>
    <w:p>
      <w:pPr>
        <w:pStyle w:val="Heading3"/>
        <w:spacing w:line="357" w:lineRule="auto"/>
        <w:ind w:left="137" w:right="401" w:firstLine="480"/>
        <w:jc w:val="both"/>
      </w:pPr>
      <w:r>
        <w:rPr>
          <w:spacing w:val="-2"/>
        </w:rPr>
        <w:t>公司目前尚未建立股权激励机制，公司将不断完善内部激励与约束机制，逐渐建</w:t>
      </w:r>
      <w:r>
        <w:rPr/>
        <w:t> </w:t>
      </w:r>
      <w:r>
        <w:rPr>
          <w:spacing w:val="-2"/>
        </w:rPr>
        <w:t>立起短期激励与长期激励相结合的“利益共享、风险共担”的激励体系，推动管理层</w:t>
      </w:r>
      <w:r>
        <w:rPr>
          <w:spacing w:val="-116"/>
        </w:rPr>
        <w:t> </w:t>
      </w:r>
      <w:r>
        <w:rPr>
          <w:spacing w:val="-116"/>
        </w:rPr>
      </w:r>
      <w:r>
        <w:rPr/>
        <w:t>与公司、股东利益的紧密结合。</w:t>
      </w:r>
    </w:p>
    <w:p>
      <w:pPr>
        <w:spacing w:line="357" w:lineRule="auto" w:before="36"/>
        <w:ind w:left="617" w:right="0" w:firstLine="0"/>
        <w:jc w:val="left"/>
        <w:rPr>
          <w:rFonts w:ascii="宋体" w:hAnsi="宋体" w:cs="宋体" w:eastAsia="宋体" w:hint="default"/>
          <w:sz w:val="24"/>
          <w:szCs w:val="24"/>
        </w:rPr>
      </w:pPr>
      <w:r>
        <w:rPr>
          <w:rFonts w:ascii="宋体" w:hAnsi="宋体" w:cs="宋体" w:eastAsia="宋体" w:hint="default"/>
          <w:b/>
          <w:bCs/>
          <w:sz w:val="24"/>
          <w:szCs w:val="24"/>
        </w:rPr>
        <w:t>（五）本次利润分配预案或资本公积金转增股本预案。</w:t>
      </w:r>
      <w:r>
        <w:rPr>
          <w:rFonts w:ascii="宋体" w:hAnsi="宋体" w:cs="宋体" w:eastAsia="宋体" w:hint="default"/>
          <w:b/>
          <w:bCs/>
          <w:w w:val="99"/>
          <w:sz w:val="24"/>
          <w:szCs w:val="24"/>
        </w:rPr>
        <w:t> </w:t>
      </w:r>
      <w:r>
        <w:rPr>
          <w:rFonts w:ascii="宋体" w:hAnsi="宋体" w:cs="宋体" w:eastAsia="宋体" w:hint="default"/>
          <w:spacing w:val="-2"/>
          <w:sz w:val="24"/>
          <w:szCs w:val="24"/>
        </w:rPr>
        <w:t>经天健正信会计师事务所有限公司审计，母公司重庆华立药业股份有限公司单一</w:t>
      </w:r>
    </w:p>
    <w:p>
      <w:pPr>
        <w:pStyle w:val="Heading3"/>
        <w:spacing w:line="357" w:lineRule="auto"/>
        <w:ind w:left="137" w:right="400"/>
        <w:jc w:val="both"/>
      </w:pPr>
      <w:r>
        <w:rPr/>
        <w:t>法人主体</w:t>
      </w:r>
      <w:r>
        <w:rPr>
          <w:spacing w:val="-54"/>
        </w:rPr>
        <w:t> </w:t>
      </w:r>
      <w:r>
        <w:rPr/>
        <w:t>2009</w:t>
      </w:r>
      <w:r>
        <w:rPr>
          <w:spacing w:val="-54"/>
        </w:rPr>
        <w:t> </w:t>
      </w:r>
      <w:r>
        <w:rPr/>
        <w:t>年度净利润为-13,058,730.99</w:t>
      </w:r>
      <w:r>
        <w:rPr>
          <w:spacing w:val="-7"/>
        </w:rPr>
        <w:t> </w:t>
      </w:r>
      <w:r>
        <w:rPr/>
        <w:t>元，截至</w:t>
      </w:r>
      <w:r>
        <w:rPr>
          <w:spacing w:val="-54"/>
        </w:rPr>
        <w:t> </w:t>
      </w:r>
      <w:r>
        <w:rPr/>
        <w:t>2009</w:t>
      </w:r>
      <w:r>
        <w:rPr>
          <w:spacing w:val="-54"/>
        </w:rPr>
        <w:t> </w:t>
      </w:r>
      <w:r>
        <w:rPr/>
        <w:t>年</w:t>
      </w:r>
      <w:r>
        <w:rPr>
          <w:spacing w:val="-54"/>
        </w:rPr>
        <w:t> </w:t>
      </w:r>
      <w:r>
        <w:rPr/>
        <w:t>12</w:t>
      </w:r>
      <w:r>
        <w:rPr>
          <w:spacing w:val="-55"/>
        </w:rPr>
        <w:t> </w:t>
      </w:r>
      <w:r>
        <w:rPr/>
        <w:t>月</w:t>
      </w:r>
      <w:r>
        <w:rPr>
          <w:spacing w:val="-54"/>
        </w:rPr>
        <w:t> </w:t>
      </w:r>
      <w:r>
        <w:rPr/>
        <w:t>31</w:t>
      </w:r>
      <w:r>
        <w:rPr>
          <w:spacing w:val="-54"/>
        </w:rPr>
        <w:t> </w:t>
      </w:r>
      <w:r>
        <w:rPr/>
        <w:t>日，母公司</w:t>
      </w:r>
      <w:r>
        <w:rPr>
          <w:spacing w:val="-1"/>
        </w:rPr>
        <w:t> </w:t>
      </w:r>
      <w:r>
        <w:rPr/>
        <w:t>未分配利润为-252,467,852.33</w:t>
      </w:r>
      <w:r>
        <w:rPr>
          <w:spacing w:val="-36"/>
        </w:rPr>
        <w:t> </w:t>
      </w:r>
      <w:r>
        <w:rPr/>
        <w:t>元。董事会同意：公司本年度不进行利润分配，也不</w:t>
      </w:r>
      <w:r>
        <w:rPr/>
        <w:t> 进行公积金转增股本。</w:t>
      </w:r>
    </w:p>
    <w:p>
      <w:pPr>
        <w:pStyle w:val="Heading3"/>
        <w:tabs>
          <w:tab w:pos="6728" w:val="left" w:leader="none"/>
        </w:tabs>
        <w:spacing w:line="357" w:lineRule="auto"/>
        <w:ind w:left="608" w:right="495" w:firstLine="9"/>
        <w:jc w:val="left"/>
      </w:pPr>
      <w:r>
        <w:rPr/>
        <w:t>上述分配预案尚需得到公司2009年年度股东大会审议批准。 公司前三年现金分红情况如下：</w:t>
        <w:tab/>
        <w:t>（单位：人民币元）</w:t>
      </w:r>
    </w:p>
    <w:p>
      <w:pPr>
        <w:spacing w:line="240" w:lineRule="auto" w:before="12"/>
        <w:rPr>
          <w:rFonts w:ascii="宋体" w:hAnsi="宋体" w:cs="宋体" w:eastAsia="宋体" w:hint="default"/>
          <w:sz w:val="14"/>
          <w:szCs w:val="14"/>
        </w:rPr>
      </w:pPr>
    </w:p>
    <w:tbl>
      <w:tblPr>
        <w:tblW w:w="0" w:type="auto"/>
        <w:jc w:val="left"/>
        <w:tblInd w:w="343" w:type="dxa"/>
        <w:tblLayout w:type="fixed"/>
        <w:tblCellMar>
          <w:top w:w="0" w:type="dxa"/>
          <w:left w:w="0" w:type="dxa"/>
          <w:bottom w:w="0" w:type="dxa"/>
          <w:right w:w="0" w:type="dxa"/>
        </w:tblCellMar>
        <w:tblLook w:val="01E0"/>
      </w:tblPr>
      <w:tblGrid>
        <w:gridCol w:w="1590"/>
        <w:gridCol w:w="2400"/>
        <w:gridCol w:w="2206"/>
        <w:gridCol w:w="2730"/>
      </w:tblGrid>
      <w:tr>
        <w:trPr>
          <w:trHeight w:val="767"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tabs>
                <w:tab w:pos="894" w:val="left" w:leader="none"/>
              </w:tabs>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年</w:t>
              <w:tab/>
              <w:t>度</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56" w:right="47" w:hanging="210"/>
              <w:jc w:val="left"/>
              <w:rPr>
                <w:rFonts w:ascii="宋体" w:hAnsi="宋体" w:cs="宋体" w:eastAsia="宋体" w:hint="default"/>
                <w:sz w:val="21"/>
                <w:szCs w:val="21"/>
              </w:rPr>
            </w:pPr>
            <w:r>
              <w:rPr>
                <w:rFonts w:ascii="宋体" w:hAnsi="宋体" w:cs="宋体" w:eastAsia="宋体" w:hint="default"/>
                <w:sz w:val="21"/>
                <w:szCs w:val="21"/>
              </w:rPr>
              <w:t>合并报表中归属于母公 司所有者的净利润</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09" w:right="98" w:hanging="210"/>
              <w:jc w:val="left"/>
              <w:rPr>
                <w:rFonts w:ascii="宋体" w:hAnsi="宋体" w:cs="宋体" w:eastAsia="宋体" w:hint="default"/>
                <w:sz w:val="21"/>
                <w:szCs w:val="21"/>
              </w:rPr>
            </w:pPr>
            <w:r>
              <w:rPr>
                <w:rFonts w:ascii="宋体" w:hAnsi="宋体" w:cs="宋体" w:eastAsia="宋体" w:hint="default"/>
                <w:sz w:val="21"/>
                <w:szCs w:val="21"/>
              </w:rPr>
              <w:t>占合并报表中归属于母公司 所有者的净利润的比率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before="76"/>
        <w:ind w:left="4279" w:right="4541" w:firstLine="0"/>
        <w:jc w:val="center"/>
        <w:rPr>
          <w:rFonts w:ascii="Times New Roman" w:hAnsi="Times New Roman" w:cs="Times New Roman" w:eastAsia="Times New Roman" w:hint="default"/>
          <w:sz w:val="18"/>
          <w:szCs w:val="18"/>
        </w:rPr>
      </w:pPr>
      <w:r>
        <w:rPr>
          <w:rFonts w:ascii="Times New Roman"/>
          <w:sz w:val="18"/>
        </w:rPr>
        <w:t>27</w:t>
      </w:r>
    </w:p>
    <w:p>
      <w:pPr>
        <w:spacing w:after="0"/>
        <w:jc w:val="center"/>
        <w:rPr>
          <w:rFonts w:ascii="Times New Roman" w:hAnsi="Times New Roman" w:cs="Times New Roman" w:eastAsia="Times New Roman" w:hint="default"/>
          <w:sz w:val="18"/>
          <w:szCs w:val="18"/>
        </w:rPr>
        <w:sectPr>
          <w:pgSz w:w="11910" w:h="16840"/>
          <w:pgMar w:top="640" w:bottom="280" w:left="1620" w:right="900"/>
        </w:sectPr>
      </w:pPr>
    </w:p>
    <w:p>
      <w:pPr>
        <w:spacing w:line="240" w:lineRule="auto" w:before="11"/>
        <w:rPr>
          <w:rFonts w:ascii="Times New Roman" w:hAnsi="Times New Roman" w:cs="Times New Roman" w:eastAsia="Times New Roman" w:hint="default"/>
          <w:sz w:val="26"/>
          <w:szCs w:val="26"/>
        </w:rPr>
      </w:pPr>
    </w:p>
    <w:p>
      <w:pPr>
        <w:pStyle w:val="Heading4"/>
        <w:tabs>
          <w:tab w:pos="6969" w:val="left" w:leader="none"/>
        </w:tabs>
        <w:spacing w:line="240" w:lineRule="auto"/>
        <w:ind w:left="3656" w:right="0"/>
        <w:jc w:val="left"/>
        <w:rPr>
          <w:b w:val="0"/>
          <w:bCs w:val="0"/>
        </w:rPr>
      </w:pPr>
      <w:r>
        <w:rPr/>
        <w:pict>
          <v:shape style="position:absolute;margin-left:65.160004pt;margin-top:-11.486023pt;width:95.052pt;height:25.5pt;mso-position-horizontal-relative:page;mso-position-vertical-relative:paragraph;z-index:2536"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7"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1"/>
        <w:rPr>
          <w:rFonts w:ascii="黑体" w:hAnsi="黑体" w:cs="黑体" w:eastAsia="黑体" w:hint="default"/>
          <w:b/>
          <w:bCs/>
          <w:sz w:val="10"/>
          <w:szCs w:val="10"/>
        </w:rPr>
      </w:pPr>
    </w:p>
    <w:tbl>
      <w:tblPr>
        <w:tblW w:w="0" w:type="auto"/>
        <w:jc w:val="left"/>
        <w:tblInd w:w="349" w:type="dxa"/>
        <w:tblLayout w:type="fixed"/>
        <w:tblCellMar>
          <w:top w:w="0" w:type="dxa"/>
          <w:left w:w="0" w:type="dxa"/>
          <w:bottom w:w="0" w:type="dxa"/>
          <w:right w:w="0" w:type="dxa"/>
        </w:tblCellMar>
        <w:tblLook w:val="01E0"/>
      </w:tblPr>
      <w:tblGrid>
        <w:gridCol w:w="1590"/>
        <w:gridCol w:w="2400"/>
        <w:gridCol w:w="2206"/>
        <w:gridCol w:w="2730"/>
      </w:tblGrid>
      <w:tr>
        <w:trPr>
          <w:trHeight w:val="455"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21"/>
                <w:szCs w:val="21"/>
              </w:rPr>
            </w:pPr>
            <w:r>
              <w:rPr>
                <w:rFonts w:ascii="宋体"/>
                <w:spacing w:val="-1"/>
                <w:sz w:val="21"/>
              </w:rPr>
              <w:t>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21"/>
                <w:szCs w:val="21"/>
              </w:rPr>
            </w:pPr>
            <w:r>
              <w:rPr>
                <w:rFonts w:ascii="宋体"/>
                <w:spacing w:val="-1"/>
                <w:sz w:val="21"/>
              </w:rPr>
              <w:t>4,717,562.55</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21"/>
                <w:szCs w:val="21"/>
              </w:rPr>
            </w:pPr>
            <w:r>
              <w:rPr>
                <w:rFonts w:ascii="宋体"/>
                <w:spacing w:val="-1"/>
                <w:sz w:val="21"/>
              </w:rPr>
              <w:t>0.00%</w:t>
            </w:r>
          </w:p>
        </w:tc>
      </w:tr>
      <w:tr>
        <w:trPr>
          <w:trHeight w:val="454"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21"/>
                <w:szCs w:val="21"/>
              </w:rPr>
            </w:pPr>
            <w:r>
              <w:rPr>
                <w:rFonts w:ascii="宋体"/>
                <w:spacing w:val="-1"/>
                <w:sz w:val="21"/>
              </w:rPr>
              <w:t>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21"/>
                <w:szCs w:val="21"/>
              </w:rPr>
            </w:pPr>
            <w:r>
              <w:rPr>
                <w:rFonts w:ascii="宋体"/>
                <w:spacing w:val="-1"/>
                <w:sz w:val="21"/>
              </w:rPr>
              <w:t>-199,111,181.86</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21"/>
                <w:szCs w:val="21"/>
              </w:rPr>
            </w:pPr>
            <w:r>
              <w:rPr>
                <w:rFonts w:ascii="宋体"/>
                <w:spacing w:val="-1"/>
                <w:sz w:val="21"/>
              </w:rPr>
              <w:t>0.00%</w:t>
            </w:r>
          </w:p>
        </w:tc>
      </w:tr>
      <w:tr>
        <w:trPr>
          <w:trHeight w:val="455" w:hRule="exact"/>
        </w:trPr>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21"/>
                <w:szCs w:val="21"/>
              </w:rPr>
            </w:pPr>
            <w:r>
              <w:rPr>
                <w:rFonts w:ascii="宋体"/>
                <w:spacing w:val="-1"/>
                <w:sz w:val="21"/>
              </w:rPr>
              <w:t>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21"/>
                <w:szCs w:val="21"/>
              </w:rPr>
            </w:pPr>
            <w:r>
              <w:rPr>
                <w:rFonts w:ascii="宋体"/>
                <w:spacing w:val="-1"/>
                <w:sz w:val="21"/>
              </w:rPr>
              <w:t>15,961,318.20</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21"/>
                <w:szCs w:val="21"/>
              </w:rPr>
            </w:pPr>
            <w:r>
              <w:rPr>
                <w:rFonts w:ascii="宋体"/>
                <w:spacing w:val="-1"/>
                <w:sz w:val="21"/>
              </w:rPr>
              <w:t>0.00%</w:t>
            </w:r>
          </w:p>
        </w:tc>
      </w:tr>
    </w:tbl>
    <w:p>
      <w:pPr>
        <w:spacing w:line="275" w:lineRule="exact" w:before="0"/>
        <w:ind w:left="624" w:right="0" w:firstLine="0"/>
        <w:jc w:val="left"/>
        <w:rPr>
          <w:rFonts w:ascii="宋体" w:hAnsi="宋体" w:cs="宋体" w:eastAsia="宋体" w:hint="default"/>
          <w:sz w:val="24"/>
          <w:szCs w:val="24"/>
        </w:rPr>
      </w:pPr>
      <w:r>
        <w:rPr>
          <w:rFonts w:ascii="宋体" w:hAnsi="宋体" w:cs="宋体" w:eastAsia="宋体" w:hint="default"/>
          <w:b/>
          <w:bCs/>
          <w:sz w:val="24"/>
          <w:szCs w:val="24"/>
        </w:rPr>
        <w:t>（六）注册会计师对公司控股股东及其他关联方占用资金情况的专项说明及清欠</w:t>
      </w:r>
      <w:r>
        <w:rPr>
          <w:rFonts w:ascii="宋体" w:hAnsi="宋体" w:cs="宋体" w:eastAsia="宋体" w:hint="default"/>
          <w:sz w:val="24"/>
          <w:szCs w:val="24"/>
        </w:rPr>
      </w:r>
    </w:p>
    <w:p>
      <w:pPr>
        <w:spacing w:before="154"/>
        <w:ind w:left="144" w:right="0" w:firstLine="0"/>
        <w:jc w:val="both"/>
        <w:rPr>
          <w:rFonts w:ascii="宋体" w:hAnsi="宋体" w:cs="宋体" w:eastAsia="宋体" w:hint="default"/>
          <w:sz w:val="24"/>
          <w:szCs w:val="24"/>
        </w:rPr>
      </w:pPr>
      <w:r>
        <w:rPr>
          <w:rFonts w:ascii="宋体" w:hAnsi="宋体" w:cs="宋体" w:eastAsia="宋体" w:hint="default"/>
          <w:b/>
          <w:bCs/>
          <w:sz w:val="24"/>
          <w:szCs w:val="24"/>
        </w:rPr>
        <w:t>方案</w:t>
      </w:r>
      <w:r>
        <w:rPr>
          <w:rFonts w:ascii="宋体" w:hAnsi="宋体" w:cs="宋体" w:eastAsia="宋体" w:hint="default"/>
          <w:sz w:val="24"/>
          <w:szCs w:val="24"/>
        </w:rPr>
      </w:r>
    </w:p>
    <w:p>
      <w:pPr>
        <w:pStyle w:val="Heading3"/>
        <w:spacing w:line="357" w:lineRule="auto" w:before="154"/>
        <w:ind w:right="409" w:firstLine="480"/>
        <w:jc w:val="both"/>
      </w:pPr>
      <w:r>
        <w:rPr>
          <w:spacing w:val="4"/>
        </w:rPr>
        <w:t>天健正信会计师事务所有限公司为公司出具了天健正信审[2010]特字第030018</w:t>
      </w:r>
      <w:r>
        <w:rPr/>
        <w:t> </w:t>
      </w:r>
      <w:r>
        <w:rPr>
          <w:spacing w:val="5"/>
        </w:rPr>
        <w:t>号《关于重庆华立药业股份有限公司控股股东及其他关联方资金占用情况的专项说</w:t>
      </w:r>
      <w:r>
        <w:rPr>
          <w:spacing w:val="-106"/>
        </w:rPr>
        <w:t> </w:t>
      </w:r>
      <w:r>
        <w:rPr>
          <w:spacing w:val="-106"/>
        </w:rPr>
      </w:r>
      <w:r>
        <w:rPr>
          <w:spacing w:val="-40"/>
        </w:rPr>
        <w:t>明》。</w:t>
      </w:r>
    </w:p>
    <w:p>
      <w:pPr>
        <w:pStyle w:val="Heading3"/>
        <w:spacing w:line="240" w:lineRule="auto"/>
        <w:ind w:left="626" w:right="0"/>
        <w:jc w:val="left"/>
      </w:pPr>
      <w:r>
        <w:rPr>
          <w:spacing w:val="-4"/>
        </w:rPr>
        <w:t>截止2009年12月31日，控股股东、实际控制人及其附属企业无非经营性资金占用。</w:t>
      </w:r>
    </w:p>
    <w:p>
      <w:pPr>
        <w:spacing w:line="357" w:lineRule="auto" w:before="154"/>
        <w:ind w:left="626" w:right="0" w:firstLine="0"/>
        <w:jc w:val="left"/>
        <w:rPr>
          <w:rFonts w:ascii="宋体" w:hAnsi="宋体" w:cs="宋体" w:eastAsia="宋体" w:hint="default"/>
          <w:sz w:val="24"/>
          <w:szCs w:val="24"/>
        </w:rPr>
      </w:pPr>
      <w:r>
        <w:rPr>
          <w:rFonts w:ascii="宋体" w:hAnsi="宋体" w:cs="宋体" w:eastAsia="宋体" w:hint="default"/>
          <w:b/>
          <w:bCs/>
          <w:sz w:val="24"/>
          <w:szCs w:val="24"/>
        </w:rPr>
        <w:t>（七）信息披露报纸</w:t>
      </w:r>
      <w:r>
        <w:rPr>
          <w:rFonts w:ascii="宋体" w:hAnsi="宋体" w:cs="宋体" w:eastAsia="宋体" w:hint="default"/>
          <w:b/>
          <w:bCs/>
          <w:w w:val="99"/>
          <w:sz w:val="24"/>
          <w:szCs w:val="24"/>
        </w:rPr>
        <w:t> </w:t>
      </w:r>
      <w:r>
        <w:rPr>
          <w:rFonts w:ascii="宋体" w:hAnsi="宋体" w:cs="宋体" w:eastAsia="宋体" w:hint="default"/>
          <w:spacing w:val="-15"/>
          <w:sz w:val="24"/>
          <w:szCs w:val="24"/>
        </w:rPr>
        <w:t>公司选定《中国证券报》、《证券时报》、《证券日报》和《上海证券报》为公司信</w:t>
      </w:r>
    </w:p>
    <w:p>
      <w:pPr>
        <w:pStyle w:val="Heading3"/>
        <w:spacing w:line="240" w:lineRule="auto"/>
        <w:ind w:right="0"/>
        <w:jc w:val="both"/>
      </w:pPr>
      <w:r>
        <w:rPr/>
        <w:t>息披露指定报纸。</w:t>
      </w:r>
    </w:p>
    <w:p>
      <w:pPr>
        <w:spacing w:line="357" w:lineRule="auto" w:before="154"/>
        <w:ind w:left="624" w:right="0" w:firstLine="2"/>
        <w:jc w:val="left"/>
        <w:rPr>
          <w:rFonts w:ascii="宋体" w:hAnsi="宋体" w:cs="宋体" w:eastAsia="宋体" w:hint="default"/>
          <w:sz w:val="24"/>
          <w:szCs w:val="24"/>
        </w:rPr>
      </w:pPr>
      <w:r>
        <w:rPr>
          <w:rFonts w:ascii="宋体" w:hAnsi="宋体" w:cs="宋体" w:eastAsia="宋体" w:hint="default"/>
          <w:b/>
          <w:bCs/>
          <w:sz w:val="24"/>
          <w:szCs w:val="24"/>
        </w:rPr>
        <w:t>（八）公司外部信息使用管理制度建立健全情况</w:t>
      </w:r>
      <w:r>
        <w:rPr>
          <w:rFonts w:ascii="宋体" w:hAnsi="宋体" w:cs="宋体" w:eastAsia="宋体" w:hint="default"/>
          <w:b/>
          <w:bCs/>
          <w:w w:val="99"/>
          <w:sz w:val="24"/>
          <w:szCs w:val="24"/>
        </w:rPr>
        <w:t> </w:t>
      </w:r>
      <w:r>
        <w:rPr>
          <w:rFonts w:ascii="宋体" w:hAnsi="宋体" w:cs="宋体" w:eastAsia="宋体" w:hint="default"/>
          <w:spacing w:val="-2"/>
          <w:sz w:val="24"/>
          <w:szCs w:val="24"/>
        </w:rPr>
        <w:t>为加强公司定期报告及重大事项在编制、审议和披露期间，公司外部信息报送和</w:t>
      </w:r>
    </w:p>
    <w:p>
      <w:pPr>
        <w:pStyle w:val="Heading3"/>
        <w:spacing w:line="357" w:lineRule="auto"/>
        <w:ind w:right="415"/>
        <w:jc w:val="both"/>
      </w:pPr>
      <w:r>
        <w:rPr>
          <w:spacing w:val="-14"/>
        </w:rPr>
        <w:t>使用管理，依据《公司法》、《证券法》、《公司章程》和中国证监会《关于做好上市公</w:t>
      </w:r>
      <w:r>
        <w:rPr>
          <w:spacing w:val="-1"/>
        </w:rPr>
        <w:t> </w:t>
      </w:r>
      <w:r>
        <w:rPr/>
        <w:t>司</w:t>
      </w:r>
      <w:r>
        <w:rPr>
          <w:spacing w:val="-44"/>
        </w:rPr>
        <w:t> </w:t>
      </w:r>
      <w:r>
        <w:rPr>
          <w:spacing w:val="-1"/>
        </w:rPr>
        <w:t>2009</w:t>
      </w:r>
      <w:r>
        <w:rPr>
          <w:spacing w:val="-44"/>
        </w:rPr>
        <w:t> </w:t>
      </w:r>
      <w:r>
        <w:rPr>
          <w:spacing w:val="-6"/>
        </w:rPr>
        <w:t>年年度报告及相关工作的公告》（公告[2009]34</w:t>
      </w:r>
      <w:r>
        <w:rPr>
          <w:spacing w:val="-44"/>
        </w:rPr>
        <w:t> </w:t>
      </w:r>
      <w:r>
        <w:rPr>
          <w:spacing w:val="-10"/>
        </w:rPr>
        <w:t>号）、深圳证券交易所《关于</w:t>
      </w:r>
      <w:r>
        <w:rPr>
          <w:spacing w:val="-118"/>
        </w:rPr>
        <w:t> </w:t>
      </w:r>
      <w:r>
        <w:rPr>
          <w:spacing w:val="-118"/>
        </w:rPr>
      </w:r>
      <w:r>
        <w:rPr/>
        <w:t>做好上市公司</w:t>
      </w:r>
      <w:r>
        <w:rPr>
          <w:spacing w:val="-59"/>
        </w:rPr>
        <w:t> </w:t>
      </w:r>
      <w:r>
        <w:rPr/>
        <w:t>2009</w:t>
      </w:r>
      <w:r>
        <w:rPr>
          <w:spacing w:val="-59"/>
        </w:rPr>
        <w:t> </w:t>
      </w:r>
      <w:r>
        <w:rPr>
          <w:spacing w:val="-5"/>
        </w:rPr>
        <w:t>年年报报告工作的通知》（深证上[2009]201</w:t>
      </w:r>
      <w:r>
        <w:rPr>
          <w:spacing w:val="-59"/>
        </w:rPr>
        <w:t> </w:t>
      </w:r>
      <w:r>
        <w:rPr>
          <w:spacing w:val="-22"/>
        </w:rPr>
        <w:t>号）和重庆证监局《关</w:t>
      </w:r>
      <w:r>
        <w:rPr/>
        <w:t> 于做好重庆辖区上市公司</w:t>
      </w:r>
      <w:r>
        <w:rPr>
          <w:spacing w:val="-57"/>
        </w:rPr>
        <w:t> </w:t>
      </w:r>
      <w:r>
        <w:rPr/>
        <w:t>2009</w:t>
      </w:r>
      <w:r>
        <w:rPr>
          <w:spacing w:val="-57"/>
        </w:rPr>
        <w:t> </w:t>
      </w:r>
      <w:r>
        <w:rPr>
          <w:spacing w:val="-6"/>
        </w:rPr>
        <w:t>年年报工作的通知》（渝证监发[2010]36</w:t>
      </w:r>
      <w:r>
        <w:rPr>
          <w:spacing w:val="-57"/>
        </w:rPr>
        <w:t> </w:t>
      </w:r>
      <w:r>
        <w:rPr>
          <w:spacing w:val="-16"/>
        </w:rPr>
        <w:t>号）要求，公</w:t>
      </w:r>
      <w:r>
        <w:rPr/>
        <w:t> </w:t>
      </w:r>
      <w:r>
        <w:rPr>
          <w:spacing w:val="-1"/>
        </w:rPr>
        <w:t>司结合实际制定了《公司内幕信息知情人登记备案制度》和《公司外部信息报送和使</w:t>
      </w:r>
      <w:r>
        <w:rPr/>
        <w:t> </w:t>
      </w:r>
      <w:r>
        <w:rPr>
          <w:spacing w:val="-5"/>
        </w:rPr>
        <w:t>用管理制度》，并经公司第六届董事会第八次会议审议通过。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before="76"/>
        <w:ind w:left="4244" w:right="4517" w:firstLine="0"/>
        <w:jc w:val="center"/>
        <w:rPr>
          <w:rFonts w:ascii="Times New Roman" w:hAnsi="Times New Roman" w:cs="Times New Roman" w:eastAsia="Times New Roman" w:hint="default"/>
          <w:sz w:val="18"/>
          <w:szCs w:val="18"/>
        </w:rPr>
      </w:pPr>
      <w:r>
        <w:rPr>
          <w:rFonts w:ascii="Times New Roman"/>
          <w:sz w:val="18"/>
        </w:rPr>
        <w:t>28</w:t>
      </w:r>
    </w:p>
    <w:p>
      <w:pPr>
        <w:spacing w:after="0"/>
        <w:jc w:val="center"/>
        <w:rPr>
          <w:rFonts w:ascii="Times New Roman" w:hAnsi="Times New Roman" w:cs="Times New Roman" w:eastAsia="Times New Roman" w:hint="default"/>
          <w:sz w:val="18"/>
          <w:szCs w:val="18"/>
        </w:rPr>
        <w:sectPr>
          <w:pgSz w:w="11910" w:h="16840"/>
          <w:pgMar w:top="640" w:bottom="280" w:left="1160" w:right="1340"/>
        </w:sectPr>
      </w:pPr>
    </w:p>
    <w:p>
      <w:pPr>
        <w:spacing w:line="240" w:lineRule="auto" w:before="11"/>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top="640" w:bottom="280" w:left="1620" w:right="1080"/>
        </w:sectPr>
      </w:pPr>
    </w:p>
    <w:p>
      <w:pPr>
        <w:spacing w:line="240" w:lineRule="auto" w:before="8"/>
        <w:rPr>
          <w:rFonts w:ascii="Times New Roman" w:hAnsi="Times New Roman" w:cs="Times New Roman" w:eastAsia="Times New Roman" w:hint="default"/>
          <w:sz w:val="41"/>
          <w:szCs w:val="41"/>
        </w:rPr>
      </w:pPr>
    </w:p>
    <w:p>
      <w:pPr>
        <w:pStyle w:val="Heading1"/>
        <w:spacing w:line="240" w:lineRule="auto"/>
        <w:ind w:left="699" w:right="0"/>
        <w:jc w:val="left"/>
        <w:rPr>
          <w:b w:val="0"/>
          <w:bCs w:val="0"/>
        </w:rPr>
      </w:pPr>
      <w:r>
        <w:rPr/>
        <w:pict>
          <v:shape style="position:absolute;margin-left:87.900002pt;margin-top:-35.428162pt;width:95.033pt;height:25.5pt;mso-position-horizontal-relative:page;mso-position-vertical-relative:paragraph;z-index:2560" type="#_x0000_t75" stroked="false">
            <v:imagedata r:id="rId11" o:title=""/>
          </v:shape>
        </w:pict>
      </w:r>
      <w:r>
        <w:rPr/>
        <w:pict>
          <v:group style="position:absolute;margin-left:86.400002pt;margin-top:-5.488147pt;width:427.2pt;height:.1pt;mso-position-horizontal-relative:page;mso-position-vertical-relative:paragraph;z-index:2584" coordorigin="1728,-110" coordsize="8544,2">
            <v:shape style="position:absolute;left:1728;top:-110;width:8544;height:2" coordorigin="1728,-110" coordsize="8544,0" path="m1728,-110l10272,-110e" filled="false" stroked="true" strokeweight=".71997pt" strokecolor="#000000">
              <v:path arrowok="t"/>
            </v:shape>
            <w10:wrap type="none"/>
          </v:group>
        </w:pict>
      </w:r>
      <w:bookmarkStart w:name="_TOC_250003" w:id="8"/>
      <w:r>
        <w:rPr>
          <w:w w:val="95"/>
        </w:rPr>
        <w:t>八、监事会报告</w:t>
      </w:r>
      <w:bookmarkEnd w:id="8"/>
      <w:r>
        <w:rPr>
          <w:b w:val="0"/>
          <w:bCs w:val="0"/>
        </w:rPr>
      </w:r>
    </w:p>
    <w:p>
      <w:pPr>
        <w:pStyle w:val="Heading4"/>
        <w:tabs>
          <w:tab w:pos="3451" w:val="left" w:leader="none"/>
        </w:tabs>
        <w:spacing w:line="240" w:lineRule="auto"/>
        <w:ind w:left="137" w:right="0"/>
        <w:jc w:val="left"/>
        <w:rPr>
          <w:b w:val="0"/>
          <w:bCs w:val="0"/>
        </w:rPr>
      </w:pPr>
      <w:r>
        <w:rPr>
          <w:b w:val="0"/>
          <w:bCs w:val="0"/>
        </w:rPr>
        <w:br w:type="column"/>
      </w:r>
      <w:r>
        <w:rPr/>
        <w:t>2009</w:t>
      </w:r>
      <w:r>
        <w:rPr>
          <w:spacing w:val="-63"/>
        </w:rPr>
        <w:t> </w:t>
      </w:r>
      <w:r>
        <w:rPr/>
        <w:t>年年度报告正文</w:t>
        <w:tab/>
        <w:t>证券代码</w:t>
      </w:r>
      <w:r>
        <w:rPr>
          <w:spacing w:val="-63"/>
        </w:rPr>
        <w:t> </w:t>
      </w:r>
      <w:r>
        <w:rPr/>
        <w:t>000607</w:t>
      </w:r>
      <w:r>
        <w:rPr>
          <w:b w:val="0"/>
          <w:bCs w:val="0"/>
        </w:rPr>
      </w:r>
    </w:p>
    <w:p>
      <w:pPr>
        <w:spacing w:after="0" w:line="240" w:lineRule="auto"/>
        <w:jc w:val="left"/>
        <w:sectPr>
          <w:type w:val="continuous"/>
          <w:pgSz w:w="11910" w:h="16840"/>
          <w:pgMar w:top="780" w:bottom="280" w:left="1620" w:right="1080"/>
          <w:cols w:num="2" w:equalWidth="0">
            <w:col w:w="2664" w:space="849"/>
            <w:col w:w="5697"/>
          </w:cols>
        </w:sectPr>
      </w:pPr>
    </w:p>
    <w:p>
      <w:pPr>
        <w:spacing w:line="240" w:lineRule="auto" w:before="3"/>
        <w:rPr>
          <w:rFonts w:ascii="黑体" w:hAnsi="黑体" w:cs="黑体" w:eastAsia="黑体" w:hint="default"/>
          <w:b/>
          <w:bCs/>
          <w:sz w:val="12"/>
          <w:szCs w:val="12"/>
        </w:rPr>
      </w:pPr>
    </w:p>
    <w:p>
      <w:pPr>
        <w:spacing w:line="357" w:lineRule="auto" w:before="26"/>
        <w:ind w:left="620" w:right="5084" w:firstLine="0"/>
        <w:jc w:val="left"/>
        <w:rPr>
          <w:rFonts w:ascii="宋体" w:hAnsi="宋体" w:cs="宋体" w:eastAsia="宋体" w:hint="default"/>
          <w:sz w:val="24"/>
          <w:szCs w:val="24"/>
        </w:rPr>
      </w:pPr>
      <w:r>
        <w:rPr>
          <w:rFonts w:ascii="宋体" w:hAnsi="宋体" w:cs="宋体" w:eastAsia="宋体" w:hint="default"/>
          <w:b/>
          <w:bCs/>
          <w:sz w:val="24"/>
          <w:szCs w:val="24"/>
        </w:rPr>
        <w:t>（一）监事会会议召开情况</w:t>
      </w:r>
      <w:r>
        <w:rPr>
          <w:rFonts w:ascii="宋体" w:hAnsi="宋体" w:cs="宋体" w:eastAsia="宋体" w:hint="default"/>
          <w:b/>
          <w:bCs/>
          <w:w w:val="99"/>
          <w:sz w:val="24"/>
          <w:szCs w:val="24"/>
        </w:rPr>
        <w:t> </w:t>
      </w:r>
      <w:r>
        <w:rPr>
          <w:rFonts w:ascii="宋体" w:hAnsi="宋体" w:cs="宋体" w:eastAsia="宋体" w:hint="default"/>
          <w:sz w:val="24"/>
          <w:szCs w:val="24"/>
        </w:rPr>
        <w:t>报告期内监事会共召开5次会议。</w:t>
      </w:r>
    </w:p>
    <w:p>
      <w:pPr>
        <w:spacing w:line="240" w:lineRule="auto" w:before="10"/>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1366"/>
        <w:gridCol w:w="1784"/>
        <w:gridCol w:w="3990"/>
        <w:gridCol w:w="1680"/>
      </w:tblGrid>
      <w:tr>
        <w:trPr>
          <w:trHeight w:val="850"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监事会届次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监事会会议时间</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监事会议题</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15" w:right="308" w:hanging="106"/>
              <w:jc w:val="left"/>
              <w:rPr>
                <w:rFonts w:ascii="宋体" w:hAnsi="宋体" w:cs="宋体" w:eastAsia="宋体" w:hint="default"/>
                <w:sz w:val="21"/>
                <w:szCs w:val="21"/>
              </w:rPr>
            </w:pPr>
            <w:r>
              <w:rPr>
                <w:rFonts w:ascii="宋体" w:hAnsi="宋体" w:cs="宋体" w:eastAsia="宋体" w:hint="default"/>
                <w:sz w:val="21"/>
                <w:szCs w:val="21"/>
              </w:rPr>
              <w:t>监事会决议 公告时间</w:t>
            </w:r>
          </w:p>
        </w:tc>
      </w:tr>
      <w:tr>
        <w:trPr>
          <w:trHeight w:val="397" w:hRule="exact"/>
        </w:trPr>
        <w:tc>
          <w:tcPr>
            <w:tcW w:w="1366" w:type="dxa"/>
            <w:tcBorders>
              <w:top w:val="single" w:sz="4" w:space="0" w:color="000000"/>
              <w:left w:val="single" w:sz="4" w:space="0" w:color="000000"/>
              <w:bottom w:val="nil" w:sz="6" w:space="0" w:color="auto"/>
              <w:right w:val="single" w:sz="4" w:space="0" w:color="000000"/>
            </w:tcBorders>
          </w:tcPr>
          <w:p>
            <w:pPr/>
          </w:p>
        </w:tc>
        <w:tc>
          <w:tcPr>
            <w:tcW w:w="1784" w:type="dxa"/>
            <w:tcBorders>
              <w:top w:val="single" w:sz="4" w:space="0" w:color="000000"/>
              <w:left w:val="single" w:sz="4" w:space="0" w:color="000000"/>
              <w:bottom w:val="nil" w:sz="6" w:space="0" w:color="auto"/>
              <w:right w:val="single" w:sz="4" w:space="0" w:color="000000"/>
            </w:tcBorders>
          </w:tcPr>
          <w:p>
            <w:pPr/>
          </w:p>
        </w:tc>
        <w:tc>
          <w:tcPr>
            <w:tcW w:w="39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2008</w:t>
            </w:r>
            <w:r>
              <w:rPr>
                <w:rFonts w:ascii="宋体" w:hAnsi="宋体" w:cs="宋体" w:eastAsia="宋体" w:hint="default"/>
                <w:spacing w:val="-2"/>
                <w:sz w:val="21"/>
                <w:szCs w:val="21"/>
              </w:rPr>
              <w:t>年</w:t>
            </w:r>
            <w:r>
              <w:rPr>
                <w:rFonts w:ascii="宋体" w:hAnsi="宋体" w:cs="宋体" w:eastAsia="宋体" w:hint="default"/>
                <w:sz w:val="21"/>
                <w:szCs w:val="21"/>
              </w:rPr>
              <w:t>度监事会工作报告》</w:t>
            </w:r>
          </w:p>
        </w:tc>
        <w:tc>
          <w:tcPr>
            <w:tcW w:w="1680" w:type="dxa"/>
            <w:tcBorders>
              <w:top w:val="single" w:sz="4" w:space="0" w:color="000000"/>
              <w:left w:val="single" w:sz="4" w:space="0" w:color="000000"/>
              <w:bottom w:val="nil" w:sz="6" w:space="0" w:color="auto"/>
              <w:right w:val="single" w:sz="4" w:space="0" w:color="000000"/>
            </w:tcBorders>
          </w:tcPr>
          <w:p>
            <w:pPr/>
          </w:p>
        </w:tc>
      </w:tr>
      <w:tr>
        <w:trPr>
          <w:trHeight w:val="273" w:hRule="exact"/>
        </w:trPr>
        <w:tc>
          <w:tcPr>
            <w:tcW w:w="1366" w:type="dxa"/>
            <w:tcBorders>
              <w:top w:val="nil" w:sz="6" w:space="0" w:color="auto"/>
              <w:left w:val="single" w:sz="4" w:space="0" w:color="000000"/>
              <w:bottom w:val="nil" w:sz="6" w:space="0" w:color="auto"/>
              <w:right w:val="single" w:sz="4" w:space="0" w:color="000000"/>
            </w:tcBorders>
          </w:tcPr>
          <w:p>
            <w:pPr/>
          </w:p>
        </w:tc>
        <w:tc>
          <w:tcPr>
            <w:tcW w:w="1784" w:type="dxa"/>
            <w:tcBorders>
              <w:top w:val="nil" w:sz="6" w:space="0" w:color="auto"/>
              <w:left w:val="single" w:sz="4" w:space="0" w:color="000000"/>
              <w:bottom w:val="nil" w:sz="6" w:space="0" w:color="auto"/>
              <w:right w:val="single" w:sz="4" w:space="0" w:color="000000"/>
            </w:tcBorders>
          </w:tcPr>
          <w:p>
            <w:pPr/>
          </w:p>
        </w:tc>
        <w:tc>
          <w:tcPr>
            <w:tcW w:w="399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2008</w:t>
            </w:r>
            <w:r>
              <w:rPr>
                <w:rFonts w:ascii="宋体" w:hAnsi="宋体" w:cs="宋体" w:eastAsia="宋体" w:hint="default"/>
                <w:spacing w:val="-2"/>
                <w:sz w:val="21"/>
                <w:szCs w:val="21"/>
              </w:rPr>
              <w:t>年</w:t>
            </w:r>
            <w:r>
              <w:rPr>
                <w:rFonts w:ascii="宋体" w:hAnsi="宋体" w:cs="宋体" w:eastAsia="宋体" w:hint="default"/>
                <w:sz w:val="21"/>
                <w:szCs w:val="21"/>
              </w:rPr>
              <w:t>年度报告及报告摘要》</w:t>
            </w:r>
          </w:p>
        </w:tc>
        <w:tc>
          <w:tcPr>
            <w:tcW w:w="1680" w:type="dxa"/>
            <w:tcBorders>
              <w:top w:val="nil" w:sz="6" w:space="0" w:color="auto"/>
              <w:left w:val="single" w:sz="4" w:space="0" w:color="000000"/>
              <w:bottom w:val="nil" w:sz="6" w:space="0" w:color="auto"/>
              <w:right w:val="single" w:sz="4" w:space="0" w:color="000000"/>
            </w:tcBorders>
          </w:tcPr>
          <w:p>
            <w:pPr/>
          </w:p>
        </w:tc>
      </w:tr>
      <w:tr>
        <w:trPr>
          <w:trHeight w:val="546" w:hRule="exact"/>
        </w:trPr>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1"/>
              <w:jc w:val="center"/>
              <w:rPr>
                <w:rFonts w:ascii="宋体" w:hAnsi="宋体" w:cs="宋体" w:eastAsia="宋体" w:hint="default"/>
                <w:sz w:val="21"/>
                <w:szCs w:val="21"/>
              </w:rPr>
            </w:pPr>
            <w:r>
              <w:rPr>
                <w:rFonts w:ascii="宋体" w:hAnsi="宋体" w:cs="宋体" w:eastAsia="宋体" w:hint="default"/>
                <w:sz w:val="21"/>
                <w:szCs w:val="21"/>
              </w:rPr>
              <w:t>五届十二次</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sz w:val="21"/>
              </w:rPr>
              <w:t>2009.04.12</w:t>
            </w:r>
          </w:p>
        </w:tc>
        <w:tc>
          <w:tcPr>
            <w:tcW w:w="399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2008</w:t>
            </w:r>
            <w:r>
              <w:rPr>
                <w:rFonts w:ascii="宋体" w:hAnsi="宋体" w:cs="宋体" w:eastAsia="宋体" w:hint="default"/>
                <w:spacing w:val="-2"/>
                <w:sz w:val="21"/>
                <w:szCs w:val="21"/>
              </w:rPr>
              <w:t>年</w:t>
            </w:r>
            <w:r>
              <w:rPr>
                <w:rFonts w:ascii="宋体" w:hAnsi="宋体" w:cs="宋体" w:eastAsia="宋体" w:hint="default"/>
                <w:sz w:val="21"/>
                <w:szCs w:val="21"/>
              </w:rPr>
              <w:t>度财务决算报告》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2008</w:t>
            </w:r>
            <w:r>
              <w:rPr>
                <w:rFonts w:ascii="宋体" w:hAnsi="宋体" w:cs="宋体" w:eastAsia="宋体" w:hint="default"/>
                <w:spacing w:val="-2"/>
                <w:sz w:val="21"/>
                <w:szCs w:val="21"/>
              </w:rPr>
              <w:t>年</w:t>
            </w:r>
            <w:r>
              <w:rPr>
                <w:rFonts w:ascii="宋体" w:hAnsi="宋体" w:cs="宋体" w:eastAsia="宋体" w:hint="default"/>
                <w:sz w:val="21"/>
                <w:szCs w:val="21"/>
              </w:rPr>
              <w:t>度利润分配预案》</w:t>
            </w:r>
          </w:p>
        </w:tc>
        <w:tc>
          <w:tcPr>
            <w:tcW w:w="1680" w:type="dxa"/>
            <w:tcBorders>
              <w:top w:val="nil" w:sz="6" w:space="0" w:color="auto"/>
              <w:left w:val="single" w:sz="4" w:space="0" w:color="000000"/>
              <w:bottom w:val="nil" w:sz="6" w:space="0" w:color="auto"/>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sz w:val="21"/>
              </w:rPr>
              <w:t>2009.04.14</w:t>
            </w:r>
          </w:p>
        </w:tc>
      </w:tr>
      <w:tr>
        <w:trPr>
          <w:trHeight w:val="273" w:hRule="exact"/>
        </w:trPr>
        <w:tc>
          <w:tcPr>
            <w:tcW w:w="1366" w:type="dxa"/>
            <w:tcBorders>
              <w:top w:val="nil" w:sz="6" w:space="0" w:color="auto"/>
              <w:left w:val="single" w:sz="4" w:space="0" w:color="000000"/>
              <w:bottom w:val="nil" w:sz="6" w:space="0" w:color="auto"/>
              <w:right w:val="single" w:sz="4" w:space="0" w:color="000000"/>
            </w:tcBorders>
          </w:tcPr>
          <w:p>
            <w:pPr/>
          </w:p>
        </w:tc>
        <w:tc>
          <w:tcPr>
            <w:tcW w:w="1784" w:type="dxa"/>
            <w:tcBorders>
              <w:top w:val="nil" w:sz="6" w:space="0" w:color="auto"/>
              <w:left w:val="single" w:sz="4" w:space="0" w:color="000000"/>
              <w:bottom w:val="nil" w:sz="6" w:space="0" w:color="auto"/>
              <w:right w:val="single" w:sz="4" w:space="0" w:color="000000"/>
            </w:tcBorders>
          </w:tcPr>
          <w:p>
            <w:pPr/>
          </w:p>
        </w:tc>
        <w:tc>
          <w:tcPr>
            <w:tcW w:w="3990"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05"/>
                <w:sz w:val="21"/>
                <w:szCs w:val="21"/>
              </w:rPr>
              <w:t>、</w:t>
            </w:r>
            <w:r>
              <w:rPr>
                <w:rFonts w:ascii="宋体" w:hAnsi="宋体" w:cs="宋体" w:eastAsia="宋体" w:hint="default"/>
                <w:sz w:val="21"/>
                <w:szCs w:val="21"/>
              </w:rPr>
              <w:t>《监事</w:t>
            </w:r>
            <w:r>
              <w:rPr>
                <w:rFonts w:ascii="宋体" w:hAnsi="宋体" w:cs="宋体" w:eastAsia="宋体" w:hint="default"/>
                <w:spacing w:val="-2"/>
                <w:sz w:val="21"/>
                <w:szCs w:val="21"/>
              </w:rPr>
              <w:t>会</w:t>
            </w:r>
            <w:r>
              <w:rPr>
                <w:rFonts w:ascii="宋体" w:hAnsi="宋体" w:cs="宋体" w:eastAsia="宋体" w:hint="default"/>
                <w:sz w:val="21"/>
                <w:szCs w:val="21"/>
              </w:rPr>
              <w:t>换届选举议案》</w:t>
            </w:r>
          </w:p>
        </w:tc>
        <w:tc>
          <w:tcPr>
            <w:tcW w:w="1680" w:type="dxa"/>
            <w:tcBorders>
              <w:top w:val="nil" w:sz="6" w:space="0" w:color="auto"/>
              <w:left w:val="single" w:sz="4" w:space="0" w:color="000000"/>
              <w:bottom w:val="nil" w:sz="6" w:space="0" w:color="auto"/>
              <w:right w:val="single" w:sz="4" w:space="0" w:color="000000"/>
            </w:tcBorders>
          </w:tcPr>
          <w:p>
            <w:pPr/>
          </w:p>
        </w:tc>
      </w:tr>
      <w:tr>
        <w:trPr>
          <w:trHeight w:val="273" w:hRule="exact"/>
        </w:trPr>
        <w:tc>
          <w:tcPr>
            <w:tcW w:w="1366" w:type="dxa"/>
            <w:tcBorders>
              <w:top w:val="nil" w:sz="6" w:space="0" w:color="auto"/>
              <w:left w:val="single" w:sz="4" w:space="0" w:color="000000"/>
              <w:bottom w:val="nil" w:sz="6" w:space="0" w:color="auto"/>
              <w:right w:val="single" w:sz="4" w:space="0" w:color="000000"/>
            </w:tcBorders>
          </w:tcPr>
          <w:p>
            <w:pPr/>
          </w:p>
        </w:tc>
        <w:tc>
          <w:tcPr>
            <w:tcW w:w="1784" w:type="dxa"/>
            <w:tcBorders>
              <w:top w:val="nil" w:sz="6" w:space="0" w:color="auto"/>
              <w:left w:val="single" w:sz="4" w:space="0" w:color="000000"/>
              <w:bottom w:val="nil" w:sz="6" w:space="0" w:color="auto"/>
              <w:right w:val="single" w:sz="4" w:space="0" w:color="000000"/>
            </w:tcBorders>
          </w:tcPr>
          <w:p>
            <w:pPr/>
          </w:p>
        </w:tc>
        <w:tc>
          <w:tcPr>
            <w:tcW w:w="399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105"/>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对</w:t>
            </w:r>
            <w:r>
              <w:rPr>
                <w:rFonts w:ascii="宋体" w:hAnsi="宋体" w:cs="宋体" w:eastAsia="宋体" w:hint="default"/>
                <w:sz w:val="21"/>
                <w:szCs w:val="21"/>
              </w:rPr>
              <w:t>子公司计提减值准备的议案》</w:t>
            </w:r>
          </w:p>
        </w:tc>
        <w:tc>
          <w:tcPr>
            <w:tcW w:w="1680" w:type="dxa"/>
            <w:tcBorders>
              <w:top w:val="nil" w:sz="6" w:space="0" w:color="auto"/>
              <w:left w:val="single" w:sz="4" w:space="0" w:color="000000"/>
              <w:bottom w:val="nil" w:sz="6" w:space="0" w:color="auto"/>
              <w:right w:val="single" w:sz="4" w:space="0" w:color="000000"/>
            </w:tcBorders>
          </w:tcPr>
          <w:p>
            <w:pPr/>
          </w:p>
        </w:tc>
      </w:tr>
      <w:tr>
        <w:trPr>
          <w:trHeight w:val="399" w:hRule="exact"/>
        </w:trPr>
        <w:tc>
          <w:tcPr>
            <w:tcW w:w="1366" w:type="dxa"/>
            <w:tcBorders>
              <w:top w:val="nil" w:sz="6" w:space="0" w:color="auto"/>
              <w:left w:val="single" w:sz="4" w:space="0" w:color="000000"/>
              <w:bottom w:val="single" w:sz="4" w:space="0" w:color="000000"/>
              <w:right w:val="single" w:sz="4" w:space="0" w:color="000000"/>
            </w:tcBorders>
          </w:tcPr>
          <w:p>
            <w:pPr/>
          </w:p>
        </w:tc>
        <w:tc>
          <w:tcPr>
            <w:tcW w:w="1784" w:type="dxa"/>
            <w:tcBorders>
              <w:top w:val="nil" w:sz="6" w:space="0" w:color="auto"/>
              <w:left w:val="single" w:sz="4" w:space="0" w:color="000000"/>
              <w:bottom w:val="single" w:sz="4" w:space="0" w:color="000000"/>
              <w:right w:val="single" w:sz="4" w:space="0" w:color="000000"/>
            </w:tcBorders>
          </w:tcPr>
          <w:p>
            <w:pPr/>
          </w:p>
        </w:tc>
        <w:tc>
          <w:tcPr>
            <w:tcW w:w="3990"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105"/>
                <w:sz w:val="21"/>
                <w:szCs w:val="21"/>
              </w:rPr>
              <w:t>、</w:t>
            </w:r>
            <w:r>
              <w:rPr>
                <w:rFonts w:ascii="宋体" w:hAnsi="宋体" w:cs="宋体" w:eastAsia="宋体" w:hint="default"/>
                <w:sz w:val="21"/>
                <w:szCs w:val="21"/>
              </w:rPr>
              <w:t>《公司</w:t>
            </w:r>
            <w:r>
              <w:rPr>
                <w:rFonts w:ascii="宋体" w:hAnsi="宋体" w:cs="宋体" w:eastAsia="宋体" w:hint="default"/>
                <w:spacing w:val="-2"/>
                <w:sz w:val="21"/>
                <w:szCs w:val="21"/>
              </w:rPr>
              <w:t>内</w:t>
            </w:r>
            <w:r>
              <w:rPr>
                <w:rFonts w:ascii="宋体" w:hAnsi="宋体" w:cs="宋体" w:eastAsia="宋体" w:hint="default"/>
                <w:sz w:val="21"/>
                <w:szCs w:val="21"/>
              </w:rPr>
              <w:t>部控制自我评价报告》</w:t>
            </w:r>
          </w:p>
        </w:tc>
        <w:tc>
          <w:tcPr>
            <w:tcW w:w="1680" w:type="dxa"/>
            <w:tcBorders>
              <w:top w:val="nil" w:sz="6" w:space="0" w:color="auto"/>
              <w:left w:val="single" w:sz="4" w:space="0" w:color="000000"/>
              <w:bottom w:val="single" w:sz="4" w:space="0" w:color="000000"/>
              <w:right w:val="single" w:sz="4" w:space="0" w:color="000000"/>
            </w:tcBorders>
          </w:tcPr>
          <w:p>
            <w:pPr/>
          </w:p>
        </w:tc>
      </w:tr>
      <w:tr>
        <w:trPr>
          <w:trHeight w:val="522"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五届十三次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2009.04.22</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《2009年第一季度报告》</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六届一次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2009.05.07</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《选举公司监事会主席的议案》</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sz w:val="21"/>
              </w:rPr>
              <w:t>2009.05.08</w:t>
            </w:r>
          </w:p>
        </w:tc>
      </w:tr>
      <w:tr>
        <w:trPr>
          <w:trHeight w:val="52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六届二次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2009.08.27</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《2009年半年度报告及摘要》</w:t>
            </w: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52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六届三次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2009.10.23</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《2009年第三季度报告》</w:t>
            </w:r>
          </w:p>
        </w:tc>
        <w:tc>
          <w:tcPr>
            <w:tcW w:w="1680"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81"/>
        <w:ind w:left="617" w:right="203" w:firstLine="2"/>
        <w:jc w:val="left"/>
        <w:rPr>
          <w:rFonts w:ascii="宋体" w:hAnsi="宋体" w:cs="宋体" w:eastAsia="宋体" w:hint="default"/>
          <w:sz w:val="24"/>
          <w:szCs w:val="24"/>
        </w:rPr>
      </w:pPr>
      <w:r>
        <w:rPr>
          <w:rFonts w:ascii="宋体" w:hAnsi="宋体" w:cs="宋体" w:eastAsia="宋体" w:hint="default"/>
          <w:b/>
          <w:bCs/>
          <w:sz w:val="24"/>
          <w:szCs w:val="24"/>
        </w:rPr>
        <w:t>（二）对2009年度有关事项发表的独立意见</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报告期内，公司监事会认真履行《公司章程》所赋予的职责，本着勤勉、尽责的</w:t>
      </w:r>
    </w:p>
    <w:p>
      <w:pPr>
        <w:pStyle w:val="Heading3"/>
        <w:spacing w:line="357" w:lineRule="auto"/>
        <w:ind w:left="137" w:right="167"/>
        <w:jc w:val="left"/>
      </w:pPr>
      <w:r>
        <w:rPr>
          <w:spacing w:val="-1"/>
        </w:rPr>
        <w:t>工作态度对公司的经营状况、财务状况和董事、高级管理人员的执行职务情况进行了</w:t>
      </w:r>
      <w:r>
        <w:rPr/>
        <w:t> 监督，对公司的经营提出了合理化建议，并对本年度的有关事项发表如下独立意见：</w:t>
      </w:r>
    </w:p>
    <w:p>
      <w:pPr>
        <w:pStyle w:val="Heading3"/>
        <w:spacing w:line="357" w:lineRule="auto"/>
        <w:ind w:left="617" w:right="0"/>
        <w:jc w:val="left"/>
      </w:pPr>
      <w:r>
        <w:rPr/>
        <w:t>1、公司依法运作情况 </w:t>
      </w:r>
      <w:r>
        <w:rPr>
          <w:spacing w:val="-5"/>
        </w:rPr>
        <w:t>报告期内，公司监事列席了公司召开的所有股东大会、董事会，并根据有关法律、</w:t>
      </w:r>
    </w:p>
    <w:p>
      <w:pPr>
        <w:pStyle w:val="Heading3"/>
        <w:spacing w:line="357" w:lineRule="auto"/>
        <w:ind w:left="137" w:right="0"/>
        <w:jc w:val="left"/>
      </w:pPr>
      <w:r>
        <w:rPr/>
        <w:t>法规，对股东大会、董事会的召开程序、决议事项、决策程序，董事会对股东大会决 议的执行情况、公司董事、经理执行公司职务的情况进行了监督。监事会认为，公司 </w:t>
      </w:r>
      <w:r>
        <w:rPr>
          <w:spacing w:val="-8"/>
        </w:rPr>
        <w:t>董事会能按照《公司法》、《证券法》、《公司章程》、《上市公司治理准则》、《深</w:t>
      </w:r>
      <w:r>
        <w:rPr>
          <w:spacing w:val="-102"/>
        </w:rPr>
        <w:t> </w:t>
      </w:r>
      <w:r>
        <w:rPr>
          <w:spacing w:val="-102"/>
        </w:rPr>
      </w:r>
      <w:r>
        <w:rPr/>
        <w:t>圳证券交易所股票上市规则》等相关法律、法规进行规范运作，能够严格执行股东大</w:t>
      </w:r>
      <w:r>
        <w:rPr/>
        <w:t> 会的各项决议和授权，决策程序科学、合法。公司本着审慎经营的态度，完善公司内</w:t>
      </w:r>
      <w:r>
        <w:rPr>
          <w:spacing w:val="-1"/>
        </w:rPr>
        <w:t> </w:t>
      </w:r>
      <w:r>
        <w:rPr>
          <w:spacing w:val="-6"/>
        </w:rPr>
        <w:t>部控制制度。公司董事、高级管理人员均能履行诚信、勤勉义务。没有发现公司董事、</w:t>
      </w:r>
      <w:r>
        <w:rPr>
          <w:spacing w:val="-83"/>
        </w:rPr>
        <w:t> </w:t>
      </w:r>
      <w:r>
        <w:rPr>
          <w:spacing w:val="-83"/>
        </w:rPr>
      </w:r>
      <w:r>
        <w:rPr/>
        <w:t>经理履行公司职务时有违反法律、法规、公司章程或损害公司利益的行为。</w:t>
      </w:r>
    </w:p>
    <w:p>
      <w:pPr>
        <w:pStyle w:val="Heading3"/>
        <w:spacing w:line="357" w:lineRule="auto"/>
        <w:ind w:left="617" w:right="203"/>
        <w:jc w:val="left"/>
      </w:pPr>
      <w:r>
        <w:rPr/>
        <w:t>2、公司财务检查情况 </w:t>
      </w:r>
      <w:r>
        <w:rPr>
          <w:spacing w:val="-2"/>
        </w:rPr>
        <w:t>报告期内公司监事会采取加强内部审计和经常深入实际等多种形式，对公司财务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0"/>
        <w:ind w:left="4451" w:right="4533" w:firstLine="0"/>
        <w:jc w:val="center"/>
        <w:rPr>
          <w:rFonts w:ascii="Times New Roman" w:hAnsi="Times New Roman" w:cs="Times New Roman" w:eastAsia="Times New Roman" w:hint="default"/>
          <w:sz w:val="18"/>
          <w:szCs w:val="18"/>
        </w:rPr>
      </w:pPr>
      <w:r>
        <w:rPr>
          <w:rFonts w:ascii="Times New Roman"/>
          <w:sz w:val="18"/>
        </w:rPr>
        <w:t>29</w:t>
      </w:r>
    </w:p>
    <w:p>
      <w:pPr>
        <w:spacing w:after="0"/>
        <w:jc w:val="center"/>
        <w:rPr>
          <w:rFonts w:ascii="Times New Roman" w:hAnsi="Times New Roman" w:cs="Times New Roman" w:eastAsia="Times New Roman" w:hint="default"/>
          <w:sz w:val="18"/>
          <w:szCs w:val="18"/>
        </w:rPr>
        <w:sectPr>
          <w:type w:val="continuous"/>
          <w:pgSz w:w="11910" w:h="16840"/>
          <w:pgMar w:top="780" w:bottom="280" w:left="1620" w:right="1080"/>
        </w:sectPr>
      </w:pPr>
    </w:p>
    <w:p>
      <w:pPr>
        <w:spacing w:line="240" w:lineRule="auto" w:before="11"/>
        <w:rPr>
          <w:rFonts w:ascii="Times New Roman" w:hAnsi="Times New Roman" w:cs="Times New Roman" w:eastAsia="Times New Roman" w:hint="default"/>
          <w:sz w:val="26"/>
          <w:szCs w:val="26"/>
        </w:rPr>
      </w:pPr>
    </w:p>
    <w:p>
      <w:pPr>
        <w:pStyle w:val="Heading4"/>
        <w:tabs>
          <w:tab w:pos="6969" w:val="left" w:leader="none"/>
        </w:tabs>
        <w:spacing w:line="240" w:lineRule="auto"/>
        <w:ind w:left="3656" w:right="108"/>
        <w:jc w:val="left"/>
        <w:rPr>
          <w:b w:val="0"/>
          <w:bCs w:val="0"/>
        </w:rPr>
      </w:pPr>
      <w:r>
        <w:rPr/>
        <w:pict>
          <v:shape style="position:absolute;margin-left:65.160004pt;margin-top:-11.486023pt;width:95.052pt;height:25.5pt;mso-position-horizontal-relative:page;mso-position-vertical-relative:paragraph;z-index:2632"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7"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5"/>
          <w:szCs w:val="5"/>
        </w:rPr>
      </w:pPr>
    </w:p>
    <w:p>
      <w:pPr>
        <w:pStyle w:val="Heading3"/>
        <w:spacing w:line="357" w:lineRule="auto" w:before="26"/>
        <w:ind w:right="115"/>
        <w:jc w:val="both"/>
      </w:pPr>
      <w:r>
        <w:rPr>
          <w:spacing w:val="-1"/>
        </w:rPr>
        <w:t>制度执行情况、财务状况进行了认真检查。认为公司2009年度财务报告客观、真实反</w:t>
      </w:r>
      <w:r>
        <w:rPr>
          <w:spacing w:val="-117"/>
        </w:rPr>
        <w:t> </w:t>
      </w:r>
      <w:r>
        <w:rPr>
          <w:spacing w:val="-117"/>
        </w:rPr>
      </w:r>
      <w:r>
        <w:rPr>
          <w:spacing w:val="-1"/>
        </w:rPr>
        <w:t>映了公司的财务状况和经营成果。天健正信会计师事务所有限公司出具的标准无保留</w:t>
      </w:r>
      <w:r>
        <w:rPr/>
        <w:t> 审计意见和对公司有关事项作出的评价是客观公正的。</w:t>
      </w:r>
    </w:p>
    <w:p>
      <w:pPr>
        <w:pStyle w:val="Heading3"/>
        <w:spacing w:line="357" w:lineRule="auto"/>
        <w:ind w:left="624" w:right="4620"/>
        <w:jc w:val="left"/>
      </w:pPr>
      <w:r>
        <w:rPr/>
        <w:t>3、公司最近一次募集资金使用情况 报告期内公司无募集资金使用情况。 4、公司收购、出售资产情况</w:t>
      </w:r>
    </w:p>
    <w:p>
      <w:pPr>
        <w:pStyle w:val="Heading3"/>
        <w:spacing w:line="357" w:lineRule="auto"/>
        <w:ind w:right="108" w:firstLine="480"/>
        <w:jc w:val="left"/>
      </w:pPr>
      <w:r>
        <w:rPr>
          <w:spacing w:val="-2"/>
        </w:rPr>
        <w:t>报告期内公司收购、出售资产的交易价格合理，没有发现内幕交易及损害部分股</w:t>
      </w:r>
      <w:r>
        <w:rPr/>
        <w:t> 东的权益或造成公司资产流失的行为。</w:t>
      </w:r>
    </w:p>
    <w:p>
      <w:pPr>
        <w:pStyle w:val="Heading3"/>
        <w:spacing w:line="357" w:lineRule="auto"/>
        <w:ind w:left="624" w:right="108"/>
        <w:jc w:val="left"/>
      </w:pPr>
      <w:r>
        <w:rPr/>
        <w:t>5、关联交易情况 </w:t>
      </w:r>
      <w:r>
        <w:rPr>
          <w:spacing w:val="-2"/>
        </w:rPr>
        <w:t>报告期内发生的关联交易公平、合理，没有损害上市公司利益和中小股东利益的</w:t>
      </w:r>
    </w:p>
    <w:p>
      <w:pPr>
        <w:pStyle w:val="Heading3"/>
        <w:spacing w:line="240" w:lineRule="auto"/>
        <w:ind w:right="108"/>
        <w:jc w:val="left"/>
      </w:pPr>
      <w:r>
        <w:rPr/>
        <w:t>情况。</w:t>
      </w:r>
    </w:p>
    <w:p>
      <w:pPr>
        <w:pStyle w:val="Heading3"/>
        <w:spacing w:line="357" w:lineRule="auto" w:before="154"/>
        <w:ind w:left="684" w:right="240"/>
        <w:jc w:val="left"/>
      </w:pPr>
      <w:r>
        <w:rPr/>
        <w:t>6、对会计师事务所出具的审计报告意见 本年度天健正信会计师事务所有限公司为本公司2009年度财务报告出具了标准</w:t>
      </w:r>
    </w:p>
    <w:p>
      <w:pPr>
        <w:pStyle w:val="Heading3"/>
        <w:spacing w:line="357" w:lineRule="auto"/>
        <w:ind w:right="97"/>
        <w:jc w:val="left"/>
      </w:pPr>
      <w:r>
        <w:rPr>
          <w:spacing w:val="-1"/>
        </w:rPr>
        <w:t>无保留审计意见的审计报告，监事会认为天健正信会计师事务所出具的审计报告意见</w:t>
      </w:r>
      <w:r>
        <w:rPr/>
        <w:t> 及所涉事项客观公允地反映了公司的实际情况。监事会对该报告内容及结论均无异 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4455" w:right="4429" w:firstLine="0"/>
        <w:jc w:val="center"/>
        <w:rPr>
          <w:rFonts w:ascii="Times New Roman" w:hAnsi="Times New Roman" w:cs="Times New Roman" w:eastAsia="Times New Roman" w:hint="default"/>
          <w:sz w:val="18"/>
          <w:szCs w:val="18"/>
        </w:rPr>
      </w:pPr>
      <w:r>
        <w:rPr>
          <w:rFonts w:ascii="Times New Roman"/>
          <w:sz w:val="18"/>
        </w:rPr>
        <w:t>30</w:t>
      </w:r>
    </w:p>
    <w:p>
      <w:pPr>
        <w:spacing w:after="0"/>
        <w:jc w:val="center"/>
        <w:rPr>
          <w:rFonts w:ascii="Times New Roman" w:hAnsi="Times New Roman" w:cs="Times New Roman" w:eastAsia="Times New Roman" w:hint="default"/>
          <w:sz w:val="18"/>
          <w:szCs w:val="18"/>
        </w:rPr>
        <w:sectPr>
          <w:pgSz w:w="11910" w:h="16840"/>
          <w:pgMar w:top="640" w:bottom="280" w:left="1160" w:right="1640"/>
        </w:sectPr>
      </w:pPr>
    </w:p>
    <w:p>
      <w:pPr>
        <w:spacing w:line="240" w:lineRule="auto" w:before="11"/>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top="640" w:bottom="280" w:left="1620" w:right="1080"/>
        </w:sectPr>
      </w:pPr>
    </w:p>
    <w:p>
      <w:pPr>
        <w:spacing w:line="240" w:lineRule="auto" w:before="8"/>
        <w:rPr>
          <w:rFonts w:ascii="Times New Roman" w:hAnsi="Times New Roman" w:cs="Times New Roman" w:eastAsia="Times New Roman" w:hint="default"/>
          <w:sz w:val="41"/>
          <w:szCs w:val="41"/>
        </w:rPr>
      </w:pPr>
    </w:p>
    <w:p>
      <w:pPr>
        <w:pStyle w:val="Heading1"/>
        <w:spacing w:line="240" w:lineRule="auto"/>
        <w:ind w:left="620" w:right="0"/>
        <w:jc w:val="left"/>
        <w:rPr>
          <w:b w:val="0"/>
          <w:bCs w:val="0"/>
        </w:rPr>
      </w:pPr>
      <w:r>
        <w:rPr/>
        <w:pict>
          <v:shape style="position:absolute;margin-left:87.900002pt;margin-top:-35.428162pt;width:95.033pt;height:25.5pt;mso-position-horizontal-relative:page;mso-position-vertical-relative:paragraph;z-index:2656" type="#_x0000_t75" stroked="false">
            <v:imagedata r:id="rId11" o:title=""/>
          </v:shape>
        </w:pict>
      </w:r>
      <w:r>
        <w:rPr/>
        <w:pict>
          <v:group style="position:absolute;margin-left:86.400002pt;margin-top:-5.488147pt;width:427.2pt;height:.1pt;mso-position-horizontal-relative:page;mso-position-vertical-relative:paragraph;z-index:2680" coordorigin="1728,-110" coordsize="8544,2">
            <v:shape style="position:absolute;left:1728;top:-110;width:8544;height:2" coordorigin="1728,-110" coordsize="8544,0" path="m1728,-110l10272,-110e" filled="false" stroked="true" strokeweight=".71997pt" strokecolor="#000000">
              <v:path arrowok="t"/>
            </v:shape>
            <w10:wrap type="none"/>
          </v:group>
        </w:pict>
      </w:r>
      <w:bookmarkStart w:name="_TOC_250002" w:id="9"/>
      <w:r>
        <w:rPr>
          <w:w w:val="95"/>
        </w:rPr>
        <w:t>九、重要事项</w:t>
      </w:r>
      <w:bookmarkEnd w:id="9"/>
      <w:r>
        <w:rPr>
          <w:b w:val="0"/>
          <w:bCs w:val="0"/>
        </w:rPr>
      </w:r>
    </w:p>
    <w:p>
      <w:pPr>
        <w:pStyle w:val="Heading4"/>
        <w:tabs>
          <w:tab w:pos="3451" w:val="left" w:leader="none"/>
        </w:tabs>
        <w:spacing w:line="240" w:lineRule="auto"/>
        <w:ind w:left="137" w:right="0"/>
        <w:jc w:val="left"/>
        <w:rPr>
          <w:b w:val="0"/>
          <w:bCs w:val="0"/>
        </w:rPr>
      </w:pPr>
      <w:r>
        <w:rPr>
          <w:b w:val="0"/>
          <w:bCs w:val="0"/>
        </w:rPr>
        <w:br w:type="column"/>
      </w:r>
      <w:r>
        <w:rPr/>
        <w:t>2009</w:t>
      </w:r>
      <w:r>
        <w:rPr>
          <w:spacing w:val="-63"/>
        </w:rPr>
        <w:t> </w:t>
      </w:r>
      <w:r>
        <w:rPr/>
        <w:t>年年度报告正文</w:t>
        <w:tab/>
        <w:t>证券代码</w:t>
      </w:r>
      <w:r>
        <w:rPr>
          <w:spacing w:val="-63"/>
        </w:rPr>
        <w:t> </w:t>
      </w:r>
      <w:r>
        <w:rPr/>
        <w:t>000607</w:t>
      </w:r>
      <w:r>
        <w:rPr>
          <w:b w:val="0"/>
          <w:bCs w:val="0"/>
        </w:rPr>
      </w:r>
    </w:p>
    <w:p>
      <w:pPr>
        <w:spacing w:after="0" w:line="240" w:lineRule="auto"/>
        <w:jc w:val="left"/>
        <w:sectPr>
          <w:type w:val="continuous"/>
          <w:pgSz w:w="11910" w:h="16840"/>
          <w:pgMar w:top="780" w:bottom="280" w:left="1620" w:right="1080"/>
          <w:cols w:num="2" w:equalWidth="0">
            <w:col w:w="2304" w:space="1209"/>
            <w:col w:w="5697"/>
          </w:cols>
        </w:sectPr>
      </w:pPr>
    </w:p>
    <w:p>
      <w:pPr>
        <w:spacing w:line="240" w:lineRule="auto" w:before="3"/>
        <w:rPr>
          <w:rFonts w:ascii="黑体" w:hAnsi="黑体" w:cs="黑体" w:eastAsia="黑体" w:hint="default"/>
          <w:b/>
          <w:bCs/>
          <w:sz w:val="12"/>
          <w:szCs w:val="12"/>
        </w:rPr>
      </w:pPr>
    </w:p>
    <w:p>
      <w:pPr>
        <w:spacing w:before="26"/>
        <w:ind w:left="620" w:right="203" w:firstLine="0"/>
        <w:jc w:val="left"/>
        <w:rPr>
          <w:rFonts w:ascii="宋体" w:hAnsi="宋体" w:cs="宋体" w:eastAsia="宋体" w:hint="default"/>
          <w:sz w:val="24"/>
          <w:szCs w:val="24"/>
        </w:rPr>
      </w:pPr>
      <w:r>
        <w:rPr>
          <w:rFonts w:ascii="宋体" w:hAnsi="宋体" w:cs="宋体" w:eastAsia="宋体" w:hint="default"/>
          <w:b/>
          <w:bCs/>
          <w:sz w:val="24"/>
          <w:szCs w:val="24"/>
        </w:rPr>
        <w:t>（一）本年度公司诉讼、仲裁事项</w:t>
      </w:r>
      <w:r>
        <w:rPr>
          <w:rFonts w:ascii="宋体" w:hAnsi="宋体" w:cs="宋体" w:eastAsia="宋体" w:hint="default"/>
          <w:sz w:val="24"/>
          <w:szCs w:val="24"/>
        </w:rPr>
      </w:r>
    </w:p>
    <w:p>
      <w:pPr>
        <w:pStyle w:val="Heading3"/>
        <w:spacing w:line="357" w:lineRule="auto" w:before="154"/>
        <w:ind w:left="137" w:right="84" w:firstLine="480"/>
        <w:jc w:val="left"/>
      </w:pPr>
      <w:r>
        <w:rPr>
          <w:spacing w:val="30"/>
        </w:rPr>
        <w:t>2008年1月7</w:t>
      </w:r>
      <w:r>
        <w:rPr>
          <w:spacing w:val="-56"/>
        </w:rPr>
        <w:t> </w:t>
      </w:r>
      <w:r>
        <w:rPr>
          <w:spacing w:val="-4"/>
        </w:rPr>
        <w:t>日，重庆健桥医药开发有限公司（简称“重庆健桥”）以公司产品</w:t>
      </w:r>
      <w:r>
        <w:rPr/>
        <w:t> </w:t>
      </w:r>
      <w:r>
        <w:rPr>
          <w:spacing w:val="-7"/>
        </w:rPr>
        <w:t>“科泰复”牌双氢青蒿素哌喹片侵犯其复方双氢青蒿素专利权（专利号</w:t>
      </w:r>
      <w:r>
        <w:rPr>
          <w:spacing w:val="-60"/>
        </w:rPr>
        <w:t> </w:t>
      </w:r>
      <w:r>
        <w:rPr/>
        <w:t>ZL00113134.6）</w:t>
      </w:r>
      <w:r>
        <w:rPr/>
        <w:t> 为由向重庆市第一中级人民法院提起诉讼（参见公司</w:t>
      </w:r>
      <w:r>
        <w:rPr>
          <w:spacing w:val="-60"/>
        </w:rPr>
        <w:t> </w:t>
      </w:r>
      <w:r>
        <w:rPr/>
        <w:t>2008-2</w:t>
      </w:r>
      <w:r>
        <w:rPr>
          <w:spacing w:val="-60"/>
        </w:rPr>
        <w:t> </w:t>
      </w:r>
      <w:r>
        <w:rPr>
          <w:spacing w:val="15"/>
        </w:rPr>
        <w:t>号公告）。2008年5月</w:t>
      </w:r>
      <w:r>
        <w:rPr>
          <w:spacing w:val="-60"/>
        </w:rPr>
        <w:t> </w:t>
      </w:r>
      <w:r>
        <w:rPr/>
        <w:t>26</w:t>
      </w:r>
      <w:r>
        <w:rPr>
          <w:spacing w:val="-57"/>
        </w:rPr>
        <w:t> </w:t>
      </w:r>
      <w:r>
        <w:rPr>
          <w:spacing w:val="-3"/>
        </w:rPr>
        <w:t>日，重庆市第一中级人民法院一审判决认定公司“科泰复”产品侵权事实成立，责</w:t>
      </w:r>
      <w:r>
        <w:rPr>
          <w:spacing w:val="-112"/>
        </w:rPr>
        <w:t> </w:t>
      </w:r>
      <w:r>
        <w:rPr>
          <w:spacing w:val="-112"/>
        </w:rPr>
      </w:r>
      <w:r>
        <w:rPr/>
        <w:t>令公司停止生产、销售科泰复牌双氢青蒿素派喹片，立即销毁已生产的该产品，赔偿</w:t>
      </w:r>
      <w:r>
        <w:rPr/>
        <w:t> 原告重庆健桥经济损失</w:t>
      </w:r>
      <w:r>
        <w:rPr>
          <w:spacing w:val="-60"/>
        </w:rPr>
        <w:t> </w:t>
      </w:r>
      <w:r>
        <w:rPr/>
        <w:t>1</w:t>
      </w:r>
      <w:r>
        <w:rPr>
          <w:spacing w:val="-60"/>
        </w:rPr>
        <w:t> </w:t>
      </w:r>
      <w:r>
        <w:rPr/>
        <w:t>元（参见公司</w:t>
      </w:r>
      <w:r>
        <w:rPr>
          <w:spacing w:val="-60"/>
        </w:rPr>
        <w:t> </w:t>
      </w:r>
      <w:r>
        <w:rPr/>
        <w:t>2008-20</w:t>
      </w:r>
      <w:r>
        <w:rPr>
          <w:spacing w:val="-60"/>
        </w:rPr>
        <w:t> </w:t>
      </w:r>
      <w:r>
        <w:rPr/>
        <w:t>号公告）。</w:t>
      </w:r>
    </w:p>
    <w:p>
      <w:pPr>
        <w:pStyle w:val="Heading3"/>
        <w:spacing w:line="357" w:lineRule="auto"/>
        <w:ind w:left="137" w:right="202" w:firstLine="480"/>
        <w:jc w:val="left"/>
      </w:pPr>
      <w:r>
        <w:rPr/>
        <w:t>公司于</w:t>
      </w:r>
      <w:r>
        <w:rPr>
          <w:spacing w:val="-70"/>
        </w:rPr>
        <w:t> </w:t>
      </w:r>
      <w:r>
        <w:rPr>
          <w:spacing w:val="25"/>
        </w:rPr>
        <w:t>2008年7月</w:t>
      </w:r>
      <w:r>
        <w:rPr>
          <w:spacing w:val="-70"/>
        </w:rPr>
        <w:t> </w:t>
      </w:r>
      <w:r>
        <w:rPr/>
        <w:t>29</w:t>
      </w:r>
      <w:r>
        <w:rPr>
          <w:spacing w:val="-70"/>
        </w:rPr>
        <w:t> </w:t>
      </w:r>
      <w:r>
        <w:rPr/>
        <w:t>日向重庆市高级人民法院递交民事上诉状，请求撤销重庆</w:t>
      </w:r>
      <w:r>
        <w:rPr/>
        <w:t> 市第一中级人民法院（2008）渝一中法民初字第</w:t>
      </w:r>
      <w:r>
        <w:rPr>
          <w:spacing w:val="-60"/>
        </w:rPr>
        <w:t> </w:t>
      </w:r>
      <w:r>
        <w:rPr/>
        <w:t>13</w:t>
      </w:r>
      <w:r>
        <w:rPr>
          <w:spacing w:val="-60"/>
        </w:rPr>
        <w:t> </w:t>
      </w:r>
      <w:r>
        <w:rPr/>
        <w:t>号民事判决，依法改判驳回上诉</w:t>
      </w:r>
    </w:p>
    <w:p>
      <w:pPr>
        <w:pStyle w:val="Heading3"/>
        <w:spacing w:line="240" w:lineRule="auto"/>
        <w:ind w:left="137" w:right="203"/>
        <w:jc w:val="left"/>
      </w:pPr>
      <w:r>
        <w:rPr/>
        <w:t>人重庆健桥的全部诉讼请求（参见公司</w:t>
      </w:r>
      <w:r>
        <w:rPr>
          <w:spacing w:val="-60"/>
        </w:rPr>
        <w:t> </w:t>
      </w:r>
      <w:r>
        <w:rPr/>
        <w:t>2008-23</w:t>
      </w:r>
      <w:r>
        <w:rPr>
          <w:spacing w:val="-60"/>
        </w:rPr>
        <w:t> </w:t>
      </w:r>
      <w:r>
        <w:rPr/>
        <w:t>号公告）。</w:t>
      </w:r>
    </w:p>
    <w:p>
      <w:pPr>
        <w:pStyle w:val="Heading3"/>
        <w:spacing w:line="240" w:lineRule="auto" w:before="154"/>
        <w:ind w:left="617" w:right="0"/>
        <w:jc w:val="left"/>
      </w:pPr>
      <w:r>
        <w:rPr/>
        <w:t>公司于</w:t>
      </w:r>
      <w:r>
        <w:rPr>
          <w:spacing w:val="-64"/>
        </w:rPr>
        <w:t> </w:t>
      </w:r>
      <w:r>
        <w:rPr>
          <w:spacing w:val="23"/>
        </w:rPr>
        <w:t>2008年8月</w:t>
      </w:r>
      <w:r>
        <w:rPr>
          <w:spacing w:val="-64"/>
        </w:rPr>
        <w:t> </w:t>
      </w:r>
      <w:r>
        <w:rPr/>
        <w:t>28</w:t>
      </w:r>
      <w:r>
        <w:rPr>
          <w:spacing w:val="-64"/>
        </w:rPr>
        <w:t> </w:t>
      </w:r>
      <w:r>
        <w:rPr/>
        <w:t>日收到国家知识产权局专利复审委员会发来的第</w:t>
      </w:r>
      <w:r>
        <w:rPr>
          <w:spacing w:val="-64"/>
        </w:rPr>
        <w:t> </w:t>
      </w:r>
      <w:r>
        <w:rPr/>
        <w:t>12148</w:t>
      </w:r>
      <w:r>
        <w:rPr>
          <w:spacing w:val="-64"/>
        </w:rPr>
        <w:t> </w:t>
      </w:r>
      <w:r>
        <w:rPr/>
        <w:t>号</w:t>
      </w:r>
    </w:p>
    <w:p>
      <w:pPr>
        <w:pStyle w:val="Heading3"/>
        <w:spacing w:line="357" w:lineRule="auto" w:before="154"/>
        <w:ind w:left="137" w:right="81"/>
        <w:jc w:val="left"/>
      </w:pPr>
      <w:r>
        <w:rPr/>
        <w:t>《无效宣告请求审查决定书》，该决定书认定重庆健桥持有的“抗疟药新药复方双氢 </w:t>
      </w:r>
      <w:r>
        <w:rPr>
          <w:spacing w:val="-4"/>
        </w:rPr>
        <w:t>青蒿素”专利（专利号</w:t>
      </w:r>
      <w:r>
        <w:rPr>
          <w:spacing w:val="-79"/>
        </w:rPr>
        <w:t> </w:t>
      </w:r>
      <w:r>
        <w:rPr/>
        <w:t>ZL00113134.6）不具备创造性，该专利权全部无效。公司将该</w:t>
      </w:r>
      <w:r>
        <w:rPr/>
        <w:t> 决定书作为上诉证据提交给重庆市高级人民法院（参见公司</w:t>
      </w:r>
      <w:r>
        <w:rPr>
          <w:spacing w:val="-81"/>
        </w:rPr>
        <w:t> </w:t>
      </w:r>
      <w:r>
        <w:rPr/>
        <w:t>2008-26</w:t>
      </w:r>
      <w:r>
        <w:rPr>
          <w:spacing w:val="-81"/>
        </w:rPr>
        <w:t> </w:t>
      </w:r>
      <w:r>
        <w:rPr>
          <w:spacing w:val="-14"/>
        </w:rPr>
        <w:t>号公告）。随后，</w:t>
      </w:r>
      <w:r>
        <w:rPr/>
        <w:t> 重庆健桥向北京市第一中级人民法院提起行政诉讼，请求撤销国家知识产权局专利复 审委员会第</w:t>
      </w:r>
      <w:r>
        <w:rPr>
          <w:spacing w:val="-60"/>
        </w:rPr>
        <w:t> </w:t>
      </w:r>
      <w:r>
        <w:rPr/>
        <w:t>12148</w:t>
      </w:r>
      <w:r>
        <w:rPr>
          <w:spacing w:val="-60"/>
        </w:rPr>
        <w:t> </w:t>
      </w:r>
      <w:r>
        <w:rPr/>
        <w:t>号《无效宣告请求审查决定书》。</w:t>
      </w:r>
    </w:p>
    <w:p>
      <w:pPr>
        <w:pStyle w:val="Heading3"/>
        <w:spacing w:line="357" w:lineRule="auto"/>
        <w:ind w:left="137" w:right="220" w:firstLine="480"/>
        <w:jc w:val="both"/>
      </w:pPr>
      <w:r>
        <w:rPr/>
        <w:t>2008</w:t>
      </w:r>
      <w:r>
        <w:rPr>
          <w:spacing w:val="-58"/>
        </w:rPr>
        <w:t> </w:t>
      </w:r>
      <w:r>
        <w:rPr/>
        <w:t>年</w:t>
      </w:r>
      <w:r>
        <w:rPr>
          <w:spacing w:val="-58"/>
        </w:rPr>
        <w:t> </w:t>
      </w:r>
      <w:r>
        <w:rPr/>
        <w:t>12</w:t>
      </w:r>
      <w:r>
        <w:rPr>
          <w:spacing w:val="-58"/>
        </w:rPr>
        <w:t> </w:t>
      </w:r>
      <w:r>
        <w:rPr/>
        <w:t>月</w:t>
      </w:r>
      <w:r>
        <w:rPr>
          <w:spacing w:val="-58"/>
        </w:rPr>
        <w:t> </w:t>
      </w:r>
      <w:r>
        <w:rPr/>
        <w:t>10</w:t>
      </w:r>
      <w:r>
        <w:rPr>
          <w:spacing w:val="-58"/>
        </w:rPr>
        <w:t> </w:t>
      </w:r>
      <w:r>
        <w:rPr>
          <w:spacing w:val="-4"/>
        </w:rPr>
        <w:t>日，重庆市高级人民法院裁定重庆健桥诉公司“科泰复”牌双氢</w:t>
      </w:r>
      <w:r>
        <w:rPr/>
        <w:t> </w:t>
      </w:r>
      <w:r>
        <w:rPr>
          <w:spacing w:val="-3"/>
        </w:rPr>
        <w:t>青蒿素派喹片侵犯其专利权（专利号</w:t>
      </w:r>
      <w:r>
        <w:rPr>
          <w:spacing w:val="-35"/>
        </w:rPr>
        <w:t> </w:t>
      </w:r>
      <w:r>
        <w:rPr>
          <w:spacing w:val="-3"/>
        </w:rPr>
        <w:t>ZL00113134.6）案中止诉讼，待本案专利权行政</w:t>
      </w:r>
      <w:r>
        <w:rPr>
          <w:spacing w:val="-115"/>
        </w:rPr>
        <w:t> </w:t>
      </w:r>
      <w:r>
        <w:rPr>
          <w:spacing w:val="-115"/>
        </w:rPr>
      </w:r>
      <w:r>
        <w:rPr/>
        <w:t>诉讼的审理结果生效后，本案恢复诉讼（参见公司</w:t>
      </w:r>
      <w:r>
        <w:rPr>
          <w:spacing w:val="-71"/>
        </w:rPr>
        <w:t> </w:t>
      </w:r>
      <w:r>
        <w:rPr/>
        <w:t>2008-42</w:t>
      </w:r>
      <w:r>
        <w:rPr>
          <w:spacing w:val="-71"/>
        </w:rPr>
        <w:t> </w:t>
      </w:r>
      <w:r>
        <w:rPr>
          <w:spacing w:val="-5"/>
        </w:rPr>
        <w:t>号公告）。2009</w:t>
      </w:r>
      <w:r>
        <w:rPr>
          <w:spacing w:val="-71"/>
        </w:rPr>
        <w:t> </w:t>
      </w:r>
      <w:r>
        <w:rPr>
          <w:spacing w:val="-5"/>
        </w:rPr>
        <w:t>年，北京</w:t>
      </w:r>
      <w:r>
        <w:rPr/>
        <w:t> 市第一中级人民法院（2008）一中初字第</w:t>
      </w:r>
      <w:r>
        <w:rPr>
          <w:spacing w:val="-60"/>
        </w:rPr>
        <w:t> </w:t>
      </w:r>
      <w:r>
        <w:rPr/>
        <w:t>1755</w:t>
      </w:r>
      <w:r>
        <w:rPr>
          <w:spacing w:val="-60"/>
        </w:rPr>
        <w:t> </w:t>
      </w:r>
      <w:r>
        <w:rPr/>
        <w:t>号行政判决书裁定维持国家知识产权</w:t>
      </w:r>
    </w:p>
    <w:p>
      <w:pPr>
        <w:pStyle w:val="Heading3"/>
        <w:spacing w:line="240" w:lineRule="auto"/>
        <w:ind w:left="137" w:right="203"/>
        <w:jc w:val="left"/>
      </w:pPr>
      <w:r>
        <w:rPr/>
        <w:t>局专利复审委员会于</w:t>
      </w:r>
      <w:r>
        <w:rPr>
          <w:spacing w:val="-60"/>
        </w:rPr>
        <w:t> </w:t>
      </w:r>
      <w:r>
        <w:rPr>
          <w:spacing w:val="30"/>
        </w:rPr>
        <w:t>2008年8月7</w:t>
      </w:r>
      <w:r>
        <w:rPr>
          <w:spacing w:val="-60"/>
        </w:rPr>
        <w:t> </w:t>
      </w:r>
      <w:r>
        <w:rPr/>
        <w:t>日作出的第</w:t>
      </w:r>
      <w:r>
        <w:rPr>
          <w:spacing w:val="-60"/>
        </w:rPr>
        <w:t> </w:t>
      </w:r>
      <w:r>
        <w:rPr/>
        <w:t>12148</w:t>
      </w:r>
      <w:r>
        <w:rPr>
          <w:spacing w:val="-60"/>
        </w:rPr>
        <w:t> </w:t>
      </w:r>
      <w:r>
        <w:rPr/>
        <w:t>号无效宣告请求审查决定（参</w:t>
      </w:r>
    </w:p>
    <w:p>
      <w:pPr>
        <w:pStyle w:val="Heading3"/>
        <w:spacing w:line="240" w:lineRule="auto" w:before="154"/>
        <w:ind w:left="137" w:right="203"/>
        <w:jc w:val="left"/>
      </w:pPr>
      <w:r>
        <w:rPr/>
        <w:t>见公司</w:t>
      </w:r>
      <w:r>
        <w:rPr>
          <w:spacing w:val="-60"/>
        </w:rPr>
        <w:t> </w:t>
      </w:r>
      <w:r>
        <w:rPr/>
        <w:t>2009-41</w:t>
      </w:r>
      <w:r>
        <w:rPr>
          <w:spacing w:val="-60"/>
        </w:rPr>
        <w:t> </w:t>
      </w:r>
      <w:r>
        <w:rPr/>
        <w:t>号公告）。</w:t>
      </w:r>
    </w:p>
    <w:p>
      <w:pPr>
        <w:pStyle w:val="Heading3"/>
        <w:spacing w:line="357" w:lineRule="auto" w:before="154"/>
        <w:ind w:left="137" w:right="206" w:firstLine="482"/>
        <w:jc w:val="left"/>
      </w:pPr>
      <w:r>
        <w:rPr/>
        <w:t>截止</w:t>
      </w:r>
      <w:r>
        <w:rPr>
          <w:spacing w:val="-72"/>
        </w:rPr>
        <w:t> </w:t>
      </w:r>
      <w:r>
        <w:rPr>
          <w:spacing w:val="25"/>
        </w:rPr>
        <w:t>2010年3月</w:t>
      </w:r>
      <w:r>
        <w:rPr>
          <w:spacing w:val="-72"/>
        </w:rPr>
        <w:t> </w:t>
      </w:r>
      <w:r>
        <w:rPr/>
        <w:t>18</w:t>
      </w:r>
      <w:r>
        <w:rPr>
          <w:spacing w:val="-72"/>
        </w:rPr>
        <w:t> </w:t>
      </w:r>
      <w:r>
        <w:rPr/>
        <w:t>日，重庆市高级人民法院尚未恢复审理。若本案败诉，公司</w:t>
      </w:r>
      <w:r>
        <w:rPr/>
        <w:t> </w:t>
      </w:r>
      <w:r>
        <w:rPr>
          <w:spacing w:val="-2"/>
        </w:rPr>
        <w:t>将不能在国内继续生产、销售“科泰复”牌双氢青蒿素哌喹片，对公司的生产经营会</w:t>
      </w:r>
      <w:r>
        <w:rPr>
          <w:spacing w:val="-116"/>
        </w:rPr>
        <w:t> </w:t>
      </w:r>
      <w:r>
        <w:rPr>
          <w:spacing w:val="-116"/>
        </w:rPr>
      </w:r>
      <w:r>
        <w:rPr/>
        <w:t>产生一定负面影响。公司目前无法就该诉讼事项对公司生产经营的影响作出具体估</w:t>
      </w:r>
      <w:r>
        <w:rPr/>
        <w:t> 计。</w:t>
      </w:r>
    </w:p>
    <w:p>
      <w:pPr>
        <w:spacing w:line="357" w:lineRule="auto" w:before="36"/>
        <w:ind w:left="620" w:right="203" w:hanging="3"/>
        <w:jc w:val="left"/>
        <w:rPr>
          <w:rFonts w:ascii="宋体" w:hAnsi="宋体" w:cs="宋体" w:eastAsia="宋体" w:hint="default"/>
          <w:sz w:val="24"/>
          <w:szCs w:val="24"/>
        </w:rPr>
      </w:pPr>
      <w:r>
        <w:rPr>
          <w:rFonts w:ascii="宋体" w:hAnsi="宋体" w:cs="宋体" w:eastAsia="宋体" w:hint="default"/>
          <w:b/>
          <w:bCs/>
          <w:sz w:val="24"/>
          <w:szCs w:val="24"/>
        </w:rPr>
        <w:t>（二）报告期内发生的破产重整相关事项</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报告期内，公司没有发生向法院申请重整、和解或破产清算、法院受理重整、和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76"/>
        <w:ind w:left="4451" w:right="4533" w:firstLine="0"/>
        <w:jc w:val="center"/>
        <w:rPr>
          <w:rFonts w:ascii="Times New Roman" w:hAnsi="Times New Roman" w:cs="Times New Roman" w:eastAsia="Times New Roman" w:hint="default"/>
          <w:sz w:val="18"/>
          <w:szCs w:val="18"/>
        </w:rPr>
      </w:pPr>
      <w:r>
        <w:rPr>
          <w:rFonts w:ascii="Times New Roman"/>
          <w:sz w:val="18"/>
        </w:rPr>
        <w:t>31</w:t>
      </w:r>
    </w:p>
    <w:p>
      <w:pPr>
        <w:spacing w:after="0"/>
        <w:jc w:val="center"/>
        <w:rPr>
          <w:rFonts w:ascii="Times New Roman" w:hAnsi="Times New Roman" w:cs="Times New Roman" w:eastAsia="Times New Roman" w:hint="default"/>
          <w:sz w:val="18"/>
          <w:szCs w:val="18"/>
        </w:rPr>
        <w:sectPr>
          <w:type w:val="continuous"/>
          <w:pgSz w:w="11910" w:h="16840"/>
          <w:pgMar w:top="780" w:bottom="280" w:left="1620" w:right="1080"/>
        </w:sectPr>
      </w:pPr>
    </w:p>
    <w:p>
      <w:pPr>
        <w:spacing w:line="240" w:lineRule="auto" w:before="11"/>
        <w:rPr>
          <w:rFonts w:ascii="Times New Roman" w:hAnsi="Times New Roman" w:cs="Times New Roman" w:eastAsia="Times New Roman" w:hint="default"/>
          <w:sz w:val="26"/>
          <w:szCs w:val="26"/>
        </w:rPr>
      </w:pPr>
    </w:p>
    <w:p>
      <w:pPr>
        <w:pStyle w:val="Heading4"/>
        <w:tabs>
          <w:tab w:pos="6969" w:val="left" w:leader="none"/>
        </w:tabs>
        <w:spacing w:line="240" w:lineRule="auto"/>
        <w:ind w:left="3656" w:right="96"/>
        <w:jc w:val="left"/>
        <w:rPr>
          <w:b w:val="0"/>
          <w:bCs w:val="0"/>
        </w:rPr>
      </w:pPr>
      <w:r>
        <w:rPr/>
        <w:pict>
          <v:shape style="position:absolute;margin-left:65.160004pt;margin-top:-11.486023pt;width:95.052pt;height:25.5pt;mso-position-horizontal-relative:page;mso-position-vertical-relative:paragraph;z-index:2728"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7"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5"/>
          <w:szCs w:val="5"/>
        </w:rPr>
      </w:pPr>
    </w:p>
    <w:p>
      <w:pPr>
        <w:pStyle w:val="Heading3"/>
        <w:spacing w:line="240" w:lineRule="auto" w:before="26"/>
        <w:ind w:right="0"/>
        <w:jc w:val="both"/>
      </w:pPr>
      <w:r>
        <w:rPr/>
        <w:t>解或破产清算、公司重整期间等发生的法院裁定结果及其他重大事项。</w:t>
      </w:r>
    </w:p>
    <w:p>
      <w:pPr>
        <w:spacing w:before="154"/>
        <w:ind w:left="624" w:right="96" w:firstLine="0"/>
        <w:jc w:val="left"/>
        <w:rPr>
          <w:rFonts w:ascii="宋体" w:hAnsi="宋体" w:cs="宋体" w:eastAsia="宋体" w:hint="default"/>
          <w:sz w:val="24"/>
          <w:szCs w:val="24"/>
        </w:rPr>
      </w:pPr>
      <w:r>
        <w:rPr>
          <w:rFonts w:ascii="宋体" w:hAnsi="宋体" w:cs="宋体" w:eastAsia="宋体" w:hint="default"/>
          <w:b/>
          <w:bCs/>
          <w:sz w:val="24"/>
          <w:szCs w:val="24"/>
        </w:rPr>
        <w:t>（三）无持有其他上市公司股权情况</w:t>
      </w:r>
      <w:r>
        <w:rPr>
          <w:rFonts w:ascii="宋体" w:hAnsi="宋体" w:cs="宋体" w:eastAsia="宋体" w:hint="default"/>
          <w:sz w:val="24"/>
          <w:szCs w:val="24"/>
        </w:rPr>
      </w:r>
    </w:p>
    <w:p>
      <w:pPr>
        <w:spacing w:line="357" w:lineRule="auto" w:before="154"/>
        <w:ind w:left="626" w:right="217" w:firstLine="0"/>
        <w:jc w:val="left"/>
        <w:rPr>
          <w:rFonts w:ascii="宋体" w:hAnsi="宋体" w:cs="宋体" w:eastAsia="宋体" w:hint="default"/>
          <w:sz w:val="24"/>
          <w:szCs w:val="24"/>
        </w:rPr>
      </w:pPr>
      <w:r>
        <w:rPr>
          <w:rFonts w:ascii="宋体" w:hAnsi="宋体" w:cs="宋体" w:eastAsia="宋体" w:hint="default"/>
          <w:b/>
          <w:bCs/>
          <w:sz w:val="24"/>
          <w:szCs w:val="24"/>
        </w:rPr>
        <w:t>（四）报告期内收购、出售资产事项</w:t>
      </w:r>
      <w:r>
        <w:rPr>
          <w:rFonts w:ascii="宋体" w:hAnsi="宋体" w:cs="宋体" w:eastAsia="宋体" w:hint="default"/>
          <w:b/>
          <w:bCs/>
          <w:w w:val="99"/>
          <w:sz w:val="24"/>
          <w:szCs w:val="24"/>
        </w:rPr>
        <w:t> </w:t>
      </w:r>
      <w:r>
        <w:rPr>
          <w:rFonts w:ascii="宋体" w:hAnsi="宋体" w:cs="宋体" w:eastAsia="宋体" w:hint="default"/>
          <w:spacing w:val="-1"/>
          <w:sz w:val="24"/>
          <w:szCs w:val="24"/>
        </w:rPr>
        <w:t>1、公司五届二十五次董事会同意公司以1156.10万元的价格受让子公司北京华立</w:t>
      </w:r>
    </w:p>
    <w:p>
      <w:pPr>
        <w:pStyle w:val="Heading3"/>
        <w:spacing w:line="357" w:lineRule="auto"/>
        <w:ind w:right="231"/>
        <w:jc w:val="both"/>
      </w:pPr>
      <w:r>
        <w:rPr/>
        <w:t>九州医药有限公司持有的广东华立万特医药有限公司51%的股权。转让完成后北京华</w:t>
      </w:r>
      <w:r>
        <w:rPr>
          <w:spacing w:val="-49"/>
        </w:rPr>
        <w:t> </w:t>
      </w:r>
      <w:r>
        <w:rPr>
          <w:spacing w:val="-49"/>
        </w:rPr>
      </w:r>
      <w:r>
        <w:rPr/>
        <w:t>立九州医药有限公司持有广东华立万特医药有限公司19%的股权，公司持有广东华立</w:t>
      </w:r>
      <w:r>
        <w:rPr>
          <w:spacing w:val="-49"/>
        </w:rPr>
        <w:t> </w:t>
      </w:r>
      <w:r>
        <w:rPr>
          <w:spacing w:val="-49"/>
        </w:rPr>
      </w:r>
      <w:r>
        <w:rPr/>
        <w:t>万特医药有限公司51%的股权。报告期内交易已完成。</w:t>
      </w:r>
    </w:p>
    <w:p>
      <w:pPr>
        <w:pStyle w:val="Heading3"/>
        <w:spacing w:line="357" w:lineRule="auto"/>
        <w:ind w:right="235" w:firstLine="482"/>
        <w:jc w:val="both"/>
      </w:pPr>
      <w:r>
        <w:rPr>
          <w:spacing w:val="-1"/>
        </w:rPr>
        <w:t>2、公司五届二十六次董事会同意公司以7059.20万元的价格转让公司持有的子公</w:t>
      </w:r>
      <w:r>
        <w:rPr/>
        <w:t> </w:t>
      </w:r>
      <w:r>
        <w:rPr>
          <w:spacing w:val="-1"/>
        </w:rPr>
        <w:t>司北京华立九州医药有限公司88.24%的股权。转让完成后公司不再持有北京华立九州</w:t>
      </w:r>
      <w:r>
        <w:rPr>
          <w:spacing w:val="-116"/>
        </w:rPr>
        <w:t> </w:t>
      </w:r>
      <w:r>
        <w:rPr>
          <w:spacing w:val="-116"/>
        </w:rPr>
      </w:r>
      <w:r>
        <w:rPr/>
        <w:t>医药有限公司的股权。报告期内交易已完成。</w:t>
      </w:r>
    </w:p>
    <w:p>
      <w:pPr>
        <w:pStyle w:val="Heading3"/>
        <w:spacing w:line="357" w:lineRule="auto"/>
        <w:ind w:right="230" w:firstLine="482"/>
        <w:jc w:val="both"/>
      </w:pPr>
      <w:r>
        <w:rPr/>
        <w:t>3、公司六届四次董事会同意将公司持有四川同人泰药业有限公司65.24%的股权</w:t>
      </w:r>
      <w:r>
        <w:rPr>
          <w:spacing w:val="2"/>
        </w:rPr>
        <w:t> </w:t>
      </w:r>
      <w:r>
        <w:rPr/>
        <w:t>作价人民币652.4万元及子公司重庆华立武陵山制药有限公司持有四川同人泰药业有</w:t>
      </w:r>
      <w:r>
        <w:rPr>
          <w:spacing w:val="-52"/>
        </w:rPr>
        <w:t> </w:t>
      </w:r>
      <w:r>
        <w:rPr>
          <w:spacing w:val="-52"/>
        </w:rPr>
      </w:r>
      <w:r>
        <w:rPr/>
        <w:t>限公司4.76%的股权作价47.6万元一并转让给金隆化工集团有限公司。转让完成后公</w:t>
      </w:r>
      <w:r>
        <w:rPr>
          <w:spacing w:val="-47"/>
        </w:rPr>
        <w:t> </w:t>
      </w:r>
      <w:r>
        <w:rPr>
          <w:spacing w:val="-47"/>
        </w:rPr>
      </w:r>
      <w:r>
        <w:rPr>
          <w:spacing w:val="-1"/>
        </w:rPr>
        <w:t>司及重庆华立武陵山制药有限公司将不再持有四川同人泰药业有限公司股权。报告期</w:t>
      </w:r>
      <w:r>
        <w:rPr/>
        <w:t> 内交易已完成。</w:t>
      </w:r>
    </w:p>
    <w:p>
      <w:pPr>
        <w:pStyle w:val="Heading3"/>
        <w:spacing w:line="357" w:lineRule="auto"/>
        <w:ind w:right="231" w:firstLine="482"/>
        <w:jc w:val="both"/>
      </w:pPr>
      <w:r>
        <w:rPr/>
        <w:t>4、公司六届六次董事会同意公司以1300万元的价格转让公司持有的子公司广东 美康万特医药有限公司（原名为：广东华立万特医药有限公司）51%的股权给美康九</w:t>
      </w:r>
      <w:r>
        <w:rPr>
          <w:spacing w:val="-49"/>
        </w:rPr>
        <w:t> </w:t>
      </w:r>
      <w:r>
        <w:rPr>
          <w:spacing w:val="-49"/>
        </w:rPr>
      </w:r>
      <w:r>
        <w:rPr>
          <w:spacing w:val="-1"/>
        </w:rPr>
        <w:t>州医药有限公司。转让完成后公司不再持有广东美康万特医药有限公司的股权。报告</w:t>
      </w:r>
      <w:r>
        <w:rPr/>
        <w:t> 期内交易已完成。</w:t>
      </w:r>
    </w:p>
    <w:p>
      <w:pPr>
        <w:spacing w:line="357" w:lineRule="auto" w:before="36"/>
        <w:ind w:left="624" w:right="96" w:firstLine="2"/>
        <w:jc w:val="left"/>
        <w:rPr>
          <w:rFonts w:ascii="宋体" w:hAnsi="宋体" w:cs="宋体" w:eastAsia="宋体" w:hint="default"/>
          <w:sz w:val="24"/>
          <w:szCs w:val="24"/>
        </w:rPr>
      </w:pPr>
      <w:r>
        <w:rPr>
          <w:rFonts w:ascii="宋体" w:hAnsi="宋体" w:cs="宋体" w:eastAsia="宋体" w:hint="default"/>
          <w:b/>
          <w:bCs/>
          <w:sz w:val="24"/>
          <w:szCs w:val="24"/>
        </w:rPr>
        <w:t>（五）报告期内发生的关联交易事项</w:t>
      </w:r>
      <w:r>
        <w:rPr>
          <w:rFonts w:ascii="宋体" w:hAnsi="宋体" w:cs="宋体" w:eastAsia="宋体" w:hint="default"/>
          <w:b/>
          <w:bCs/>
          <w:w w:val="99"/>
          <w:sz w:val="24"/>
          <w:szCs w:val="24"/>
        </w:rPr>
        <w:t> </w:t>
      </w:r>
      <w:r>
        <w:rPr>
          <w:rFonts w:ascii="宋体" w:hAnsi="宋体" w:cs="宋体" w:eastAsia="宋体" w:hint="default"/>
          <w:sz w:val="24"/>
          <w:szCs w:val="24"/>
        </w:rPr>
        <w:t>1、报告期内发生的日常关联交易事项详见会计报表附注六、关联方关系及其交</w:t>
      </w:r>
    </w:p>
    <w:p>
      <w:pPr>
        <w:pStyle w:val="Heading3"/>
        <w:spacing w:line="240" w:lineRule="auto"/>
        <w:ind w:right="0"/>
        <w:jc w:val="both"/>
      </w:pPr>
      <w:r>
        <w:rPr/>
        <w:t>易。</w:t>
      </w:r>
    </w:p>
    <w:p>
      <w:pPr>
        <w:pStyle w:val="Heading3"/>
        <w:spacing w:line="240" w:lineRule="auto" w:before="154"/>
        <w:ind w:left="624" w:right="0"/>
        <w:jc w:val="left"/>
      </w:pPr>
      <w:r>
        <w:rPr/>
        <w:t>2、报告期内公司没有《上市公司信息披露管理办法》规定的重大关联交易情况。</w:t>
      </w:r>
    </w:p>
    <w:p>
      <w:pPr>
        <w:pStyle w:val="Heading3"/>
        <w:spacing w:line="357" w:lineRule="auto" w:before="154"/>
        <w:ind w:left="624" w:right="96"/>
        <w:jc w:val="left"/>
      </w:pPr>
      <w:r>
        <w:rPr/>
        <w:t>3、关联交易的定价原则 </w:t>
      </w:r>
      <w:r>
        <w:rPr>
          <w:spacing w:val="-2"/>
        </w:rPr>
        <w:t>以诚实、信用、自愿、公平、合理的市场定价原则作为公司与关联方发生关联交</w:t>
      </w:r>
      <w:r>
        <w:rPr/>
      </w:r>
    </w:p>
    <w:p>
      <w:pPr>
        <w:pStyle w:val="Heading3"/>
        <w:spacing w:line="357" w:lineRule="auto"/>
        <w:ind w:left="624" w:right="4620" w:hanging="480"/>
        <w:jc w:val="left"/>
      </w:pPr>
      <w:r>
        <w:rPr/>
        <w:t>易的定价原则。 4、对关联交易必要性和持续性的说明</w:t>
      </w:r>
    </w:p>
    <w:p>
      <w:pPr>
        <w:pStyle w:val="Heading3"/>
        <w:spacing w:line="357" w:lineRule="auto"/>
        <w:ind w:right="231" w:firstLine="482"/>
        <w:jc w:val="both"/>
      </w:pPr>
      <w:r>
        <w:rPr/>
        <w:t>为了发挥集团的整体优势，实现企业资源的共享，减少企业运作成本,正常的且</w:t>
      </w:r>
      <w:r>
        <w:rPr>
          <w:spacing w:val="2"/>
        </w:rPr>
        <w:t> </w:t>
      </w:r>
      <w:r>
        <w:rPr>
          <w:spacing w:val="-1"/>
        </w:rPr>
        <w:t>与日常经营活动相关的关联交易是有必要的，并会对公司主营业务的持续发展产生有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76"/>
        <w:ind w:left="4455" w:right="4548" w:firstLine="0"/>
        <w:jc w:val="center"/>
        <w:rPr>
          <w:rFonts w:ascii="Times New Roman" w:hAnsi="Times New Roman" w:cs="Times New Roman" w:eastAsia="Times New Roman" w:hint="default"/>
          <w:sz w:val="18"/>
          <w:szCs w:val="18"/>
        </w:rPr>
      </w:pPr>
      <w:r>
        <w:rPr>
          <w:rFonts w:ascii="Times New Roman"/>
          <w:sz w:val="18"/>
        </w:rPr>
        <w:t>32</w:t>
      </w:r>
    </w:p>
    <w:p>
      <w:pPr>
        <w:spacing w:after="0"/>
        <w:jc w:val="center"/>
        <w:rPr>
          <w:rFonts w:ascii="Times New Roman" w:hAnsi="Times New Roman" w:cs="Times New Roman" w:eastAsia="Times New Roman" w:hint="default"/>
          <w:sz w:val="18"/>
          <w:szCs w:val="18"/>
        </w:rPr>
        <w:sectPr>
          <w:pgSz w:w="11910" w:h="16840"/>
          <w:pgMar w:top="640" w:bottom="280" w:left="1160" w:right="1520"/>
        </w:sectPr>
      </w:pPr>
    </w:p>
    <w:p>
      <w:pPr>
        <w:spacing w:line="240" w:lineRule="auto" w:before="11"/>
        <w:rPr>
          <w:rFonts w:ascii="Times New Roman" w:hAnsi="Times New Roman" w:cs="Times New Roman" w:eastAsia="Times New Roman" w:hint="default"/>
          <w:sz w:val="26"/>
          <w:szCs w:val="26"/>
        </w:rPr>
      </w:pPr>
    </w:p>
    <w:p>
      <w:pPr>
        <w:pStyle w:val="Heading4"/>
        <w:tabs>
          <w:tab w:pos="6963" w:val="left" w:leader="none"/>
        </w:tabs>
        <w:spacing w:line="240" w:lineRule="auto"/>
        <w:ind w:left="3650" w:right="0"/>
        <w:jc w:val="left"/>
        <w:rPr>
          <w:b w:val="0"/>
          <w:bCs w:val="0"/>
        </w:rPr>
      </w:pPr>
      <w:r>
        <w:rPr/>
        <w:pict>
          <v:shape style="position:absolute;margin-left:87.900002pt;margin-top:-11.486023pt;width:95.033pt;height:25.5pt;mso-position-horizontal-relative:page;mso-position-vertical-relative:paragraph;z-index:2776"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5"/>
          <w:szCs w:val="5"/>
        </w:rPr>
      </w:pPr>
    </w:p>
    <w:p>
      <w:pPr>
        <w:pStyle w:val="Heading3"/>
        <w:spacing w:line="357" w:lineRule="auto" w:before="26"/>
        <w:ind w:left="138" w:right="0"/>
        <w:jc w:val="left"/>
      </w:pPr>
      <w:r>
        <w:rPr/>
        <w:t>利的影响。公司将严格按照有关规章制度规范与关联方的关联交易行为,以公平、合</w:t>
      </w:r>
      <w:r>
        <w:rPr>
          <w:spacing w:val="-47"/>
        </w:rPr>
        <w:t> </w:t>
      </w:r>
      <w:r>
        <w:rPr/>
        <w:t>理的市场定价原则作为公司与关联方发生关系交易的定价原则。</w:t>
      </w:r>
    </w:p>
    <w:p>
      <w:pPr>
        <w:spacing w:before="36"/>
        <w:ind w:left="620" w:right="0" w:firstLine="0"/>
        <w:jc w:val="left"/>
        <w:rPr>
          <w:rFonts w:ascii="宋体" w:hAnsi="宋体" w:cs="宋体" w:eastAsia="宋体" w:hint="default"/>
          <w:sz w:val="24"/>
          <w:szCs w:val="24"/>
        </w:rPr>
      </w:pPr>
      <w:r>
        <w:rPr>
          <w:rFonts w:ascii="宋体" w:hAnsi="宋体" w:cs="宋体" w:eastAsia="宋体" w:hint="default"/>
          <w:b/>
          <w:bCs/>
          <w:spacing w:val="-5"/>
          <w:sz w:val="24"/>
          <w:szCs w:val="24"/>
        </w:rPr>
        <w:t>（六）在报告期内发生或以前期间发生但延续到报告期的担保情况（单位：万元）</w:t>
      </w:r>
      <w:r>
        <w:rPr>
          <w:rFonts w:ascii="宋体" w:hAnsi="宋体" w:cs="宋体" w:eastAsia="宋体" w:hint="default"/>
          <w:spacing w:val="-5"/>
          <w:sz w:val="24"/>
          <w:szCs w:val="24"/>
        </w:rPr>
      </w:r>
    </w:p>
    <w:p>
      <w:pPr>
        <w:spacing w:line="240" w:lineRule="auto" w:before="10"/>
        <w:rPr>
          <w:rFonts w:ascii="宋体" w:hAnsi="宋体" w:cs="宋体" w:eastAsia="宋体" w:hint="default"/>
          <w:b/>
          <w:bCs/>
          <w:sz w:val="14"/>
          <w:szCs w:val="14"/>
        </w:rPr>
      </w:pPr>
    </w:p>
    <w:tbl>
      <w:tblPr>
        <w:tblW w:w="0" w:type="auto"/>
        <w:jc w:val="left"/>
        <w:tblInd w:w="133" w:type="dxa"/>
        <w:tblLayout w:type="fixed"/>
        <w:tblCellMar>
          <w:top w:w="0" w:type="dxa"/>
          <w:left w:w="0" w:type="dxa"/>
          <w:bottom w:w="0" w:type="dxa"/>
          <w:right w:w="0" w:type="dxa"/>
        </w:tblCellMar>
        <w:tblLook w:val="01E0"/>
      </w:tblPr>
      <w:tblGrid>
        <w:gridCol w:w="2206"/>
        <w:gridCol w:w="1986"/>
        <w:gridCol w:w="744"/>
        <w:gridCol w:w="390"/>
        <w:gridCol w:w="1576"/>
        <w:gridCol w:w="840"/>
        <w:gridCol w:w="840"/>
        <w:gridCol w:w="974"/>
      </w:tblGrid>
      <w:tr>
        <w:trPr>
          <w:trHeight w:val="468" w:hRule="exact"/>
        </w:trPr>
        <w:tc>
          <w:tcPr>
            <w:tcW w:w="9556"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8"/>
              <w:ind w:left="2672"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782" w:hRule="exact"/>
        </w:trPr>
        <w:tc>
          <w:tcPr>
            <w:tcW w:w="2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19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before="78"/>
              <w:ind w:left="8" w:right="0"/>
              <w:jc w:val="center"/>
              <w:rPr>
                <w:rFonts w:ascii="宋体" w:hAnsi="宋体" w:cs="宋体" w:eastAsia="宋体" w:hint="default"/>
                <w:sz w:val="21"/>
                <w:szCs w:val="21"/>
              </w:rPr>
            </w:pPr>
            <w:r>
              <w:rPr>
                <w:rFonts w:ascii="宋体" w:hAnsi="宋体" w:cs="宋体" w:eastAsia="宋体" w:hint="default"/>
                <w:sz w:val="21"/>
                <w:szCs w:val="21"/>
              </w:rPr>
              <w:t>发生日期</w:t>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（协议签署日）</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担保期</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8"/>
              <w:ind w:left="99" w:right="98"/>
              <w:jc w:val="left"/>
              <w:rPr>
                <w:rFonts w:ascii="宋体" w:hAnsi="宋体" w:cs="宋体" w:eastAsia="宋体" w:hint="default"/>
                <w:sz w:val="21"/>
                <w:szCs w:val="21"/>
              </w:rPr>
            </w:pPr>
            <w:r>
              <w:rPr>
                <w:rFonts w:ascii="宋体" w:hAnsi="宋体" w:cs="宋体" w:eastAsia="宋体" w:hint="default"/>
                <w:sz w:val="21"/>
                <w:szCs w:val="21"/>
              </w:rPr>
              <w:t>是否履 行完毕</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8"/>
              <w:ind w:left="61" w:right="61"/>
              <w:jc w:val="left"/>
              <w:rPr>
                <w:rFonts w:ascii="宋体" w:hAnsi="宋体" w:cs="宋体" w:eastAsia="宋体" w:hint="default"/>
                <w:sz w:val="21"/>
                <w:szCs w:val="21"/>
              </w:rPr>
            </w:pPr>
            <w:r>
              <w:rPr>
                <w:rFonts w:ascii="宋体" w:hAnsi="宋体" w:cs="宋体" w:eastAsia="宋体" w:hint="default"/>
                <w:sz w:val="21"/>
                <w:szCs w:val="21"/>
              </w:rPr>
              <w:t>是否为关 联方担保</w:t>
            </w:r>
          </w:p>
        </w:tc>
      </w:tr>
      <w:tr>
        <w:trPr>
          <w:trHeight w:val="340"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7"/>
              <w:jc w:val="center"/>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0" w:right="0"/>
              <w:jc w:val="left"/>
              <w:rPr>
                <w:rFonts w:ascii="宋体" w:hAnsi="宋体" w:cs="宋体" w:eastAsia="宋体" w:hint="default"/>
                <w:sz w:val="21"/>
                <w:szCs w:val="21"/>
              </w:rPr>
            </w:pPr>
            <w:r>
              <w:rPr>
                <w:rFonts w:ascii="宋体"/>
                <w:sz w:val="21"/>
              </w:rPr>
              <w:t>2,000.00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41"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7"/>
              <w:jc w:val="center"/>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0" w:right="0"/>
              <w:jc w:val="left"/>
              <w:rPr>
                <w:rFonts w:ascii="宋体" w:hAnsi="宋体" w:cs="宋体" w:eastAsia="宋体" w:hint="default"/>
                <w:sz w:val="21"/>
                <w:szCs w:val="21"/>
              </w:rPr>
            </w:pPr>
            <w:r>
              <w:rPr>
                <w:rFonts w:ascii="宋体"/>
                <w:sz w:val="21"/>
              </w:rPr>
              <w:t>4,000.00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40" w:hRule="exact"/>
        </w:trPr>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47"/>
              <w:jc w:val="center"/>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0" w:right="0"/>
              <w:jc w:val="left"/>
              <w:rPr>
                <w:rFonts w:ascii="宋体" w:hAnsi="宋体" w:cs="宋体" w:eastAsia="宋体" w:hint="default"/>
                <w:sz w:val="21"/>
                <w:szCs w:val="21"/>
              </w:rPr>
            </w:pPr>
            <w:r>
              <w:rPr>
                <w:rFonts w:ascii="宋体"/>
                <w:sz w:val="21"/>
              </w:rPr>
              <w:t>3,000.00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40" w:hRule="exact"/>
        </w:trPr>
        <w:tc>
          <w:tcPr>
            <w:tcW w:w="2206" w:type="dxa"/>
            <w:tcBorders>
              <w:top w:val="single" w:sz="4" w:space="0" w:color="000000"/>
              <w:left w:val="single" w:sz="4" w:space="0" w:color="000000"/>
              <w:bottom w:val="single" w:sz="15" w:space="0" w:color="DCDCDC"/>
              <w:right w:val="single" w:sz="4" w:space="0" w:color="000000"/>
            </w:tcBorders>
          </w:tcPr>
          <w:p>
            <w:pPr>
              <w:pStyle w:val="TableParagraph"/>
              <w:spacing w:line="270" w:lineRule="exact"/>
              <w:ind w:right="47"/>
              <w:jc w:val="center"/>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986" w:type="dxa"/>
            <w:tcBorders>
              <w:top w:val="single" w:sz="4" w:space="0" w:color="000000"/>
              <w:left w:val="single" w:sz="4" w:space="0" w:color="000000"/>
              <w:bottom w:val="single" w:sz="15" w:space="0" w:color="DCDCDC"/>
              <w:right w:val="single" w:sz="4" w:space="0" w:color="000000"/>
            </w:tcBorders>
          </w:tcPr>
          <w:p>
            <w:pPr>
              <w:pStyle w:val="TableParagraph"/>
              <w:spacing w:line="270" w:lineRule="exact"/>
              <w:ind w:left="2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0" w:right="0"/>
              <w:jc w:val="left"/>
              <w:rPr>
                <w:rFonts w:ascii="宋体" w:hAnsi="宋体" w:cs="宋体" w:eastAsia="宋体" w:hint="default"/>
                <w:sz w:val="21"/>
                <w:szCs w:val="21"/>
              </w:rPr>
            </w:pPr>
            <w:r>
              <w:rPr>
                <w:rFonts w:ascii="宋体"/>
                <w:sz w:val="21"/>
              </w:rPr>
              <w:t>3,000.00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连带责任担保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41" w:hRule="exact"/>
        </w:trPr>
        <w:tc>
          <w:tcPr>
            <w:tcW w:w="419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5364" w:type="dxa"/>
            <w:gridSpan w:val="6"/>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z w:val="21"/>
              </w:rPr>
              <w:t>12,000.00</w:t>
            </w:r>
          </w:p>
        </w:tc>
      </w:tr>
      <w:tr>
        <w:trPr>
          <w:trHeight w:val="354" w:hRule="exact"/>
        </w:trPr>
        <w:tc>
          <w:tcPr>
            <w:tcW w:w="419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报告期末担保余额合计（A）</w:t>
            </w:r>
          </w:p>
        </w:tc>
        <w:tc>
          <w:tcPr>
            <w:tcW w:w="5364" w:type="dxa"/>
            <w:gridSpan w:val="6"/>
            <w:tcBorders>
              <w:top w:val="single" w:sz="4" w:space="0" w:color="000000"/>
              <w:left w:val="single" w:sz="4" w:space="0" w:color="000000"/>
              <w:bottom w:val="single" w:sz="15" w:space="0" w:color="DCDCDC"/>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z w:val="21"/>
              </w:rPr>
              <w:t>12,000.00</w:t>
            </w:r>
          </w:p>
        </w:tc>
      </w:tr>
      <w:tr>
        <w:trPr>
          <w:trHeight w:val="310" w:hRule="exact"/>
        </w:trPr>
        <w:tc>
          <w:tcPr>
            <w:tcW w:w="9556"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56" w:hRule="exact"/>
        </w:trPr>
        <w:tc>
          <w:tcPr>
            <w:tcW w:w="419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364" w:type="dxa"/>
            <w:gridSpan w:val="6"/>
            <w:tcBorders>
              <w:top w:val="single" w:sz="12" w:space="0" w:color="DCDCDC"/>
              <w:left w:val="single" w:sz="13" w:space="0" w:color="DCDCDC"/>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z w:val="21"/>
              </w:rPr>
              <w:t>20,005.41</w:t>
            </w:r>
          </w:p>
        </w:tc>
      </w:tr>
      <w:tr>
        <w:trPr>
          <w:trHeight w:val="354" w:hRule="exact"/>
        </w:trPr>
        <w:tc>
          <w:tcPr>
            <w:tcW w:w="419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报告期末对子公司担保余额合计（B）</w:t>
            </w:r>
          </w:p>
        </w:tc>
        <w:tc>
          <w:tcPr>
            <w:tcW w:w="5364" w:type="dxa"/>
            <w:gridSpan w:val="6"/>
            <w:tcBorders>
              <w:top w:val="single" w:sz="4" w:space="0" w:color="000000"/>
              <w:left w:val="single" w:sz="4" w:space="0" w:color="000000"/>
              <w:bottom w:val="single" w:sz="15" w:space="0" w:color="DCDCDC"/>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pacing w:val="-1"/>
                <w:sz w:val="21"/>
              </w:rPr>
              <w:t>19,781.13</w:t>
            </w:r>
            <w:r>
              <w:rPr>
                <w:rFonts w:ascii="宋体"/>
                <w:sz w:val="21"/>
              </w:rPr>
            </w:r>
          </w:p>
        </w:tc>
      </w:tr>
      <w:tr>
        <w:trPr>
          <w:trHeight w:val="310" w:hRule="exact"/>
        </w:trPr>
        <w:tc>
          <w:tcPr>
            <w:tcW w:w="9556"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2986" w:right="0"/>
              <w:jc w:val="left"/>
              <w:rPr>
                <w:rFonts w:ascii="宋体" w:hAnsi="宋体" w:cs="宋体" w:eastAsia="宋体" w:hint="default"/>
                <w:sz w:val="21"/>
                <w:szCs w:val="21"/>
              </w:rPr>
            </w:pPr>
            <w:r>
              <w:rPr>
                <w:rFonts w:ascii="宋体" w:hAnsi="宋体" w:cs="宋体" w:eastAsia="宋体" w:hint="default"/>
                <w:sz w:val="21"/>
                <w:szCs w:val="21"/>
              </w:rPr>
              <w:t>公司担保总额（包括对子公司的担保）</w:t>
            </w:r>
          </w:p>
        </w:tc>
      </w:tr>
      <w:tr>
        <w:trPr>
          <w:trHeight w:val="356" w:hRule="exact"/>
        </w:trPr>
        <w:tc>
          <w:tcPr>
            <w:tcW w:w="419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担保总额（A+B）</w:t>
            </w:r>
          </w:p>
        </w:tc>
        <w:tc>
          <w:tcPr>
            <w:tcW w:w="5364" w:type="dxa"/>
            <w:gridSpan w:val="6"/>
            <w:tcBorders>
              <w:top w:val="single" w:sz="12" w:space="0" w:color="DCDCDC"/>
              <w:left w:val="single" w:sz="13" w:space="0" w:color="DCDCDC"/>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pacing w:val="-1"/>
                <w:sz w:val="21"/>
              </w:rPr>
              <w:t>31,781.13</w:t>
            </w:r>
          </w:p>
        </w:tc>
      </w:tr>
      <w:tr>
        <w:trPr>
          <w:trHeight w:val="354" w:hRule="exact"/>
        </w:trPr>
        <w:tc>
          <w:tcPr>
            <w:tcW w:w="419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left="22"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5364" w:type="dxa"/>
            <w:gridSpan w:val="6"/>
            <w:tcBorders>
              <w:top w:val="single" w:sz="4" w:space="0" w:color="000000"/>
              <w:left w:val="single" w:sz="4" w:space="0" w:color="000000"/>
              <w:bottom w:val="single" w:sz="15" w:space="0" w:color="DCDCDC"/>
              <w:right w:val="single" w:sz="4" w:space="0" w:color="000000"/>
            </w:tcBorders>
          </w:tcPr>
          <w:p>
            <w:pPr>
              <w:pStyle w:val="TableParagraph"/>
              <w:spacing w:line="270" w:lineRule="exact"/>
              <w:ind w:right="23"/>
              <w:jc w:val="right"/>
              <w:rPr>
                <w:rFonts w:ascii="宋体" w:hAnsi="宋体" w:cs="宋体" w:eastAsia="宋体" w:hint="default"/>
                <w:sz w:val="21"/>
                <w:szCs w:val="21"/>
              </w:rPr>
            </w:pPr>
            <w:r>
              <w:rPr>
                <w:rFonts w:ascii="宋体"/>
                <w:sz w:val="21"/>
              </w:rPr>
              <w:t>64.77%</w:t>
            </w:r>
          </w:p>
        </w:tc>
      </w:tr>
      <w:tr>
        <w:trPr>
          <w:trHeight w:val="325" w:hRule="exact"/>
        </w:trPr>
        <w:tc>
          <w:tcPr>
            <w:tcW w:w="9556"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38" w:hRule="exact"/>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left="22" w:right="-32"/>
              <w:jc w:val="left"/>
              <w:rPr>
                <w:rFonts w:ascii="宋体" w:hAnsi="宋体" w:cs="宋体" w:eastAsia="宋体" w:hint="default"/>
                <w:sz w:val="21"/>
                <w:szCs w:val="21"/>
              </w:rPr>
            </w:pPr>
            <w:r>
              <w:rPr>
                <w:rFonts w:ascii="宋体" w:hAnsi="宋体" w:cs="宋体" w:eastAsia="宋体" w:hint="default"/>
                <w:spacing w:val="-1"/>
                <w:sz w:val="21"/>
                <w:szCs w:val="21"/>
              </w:rPr>
              <w:t>为股东、实际控制人及其关联方提供担保的金额（C）</w:t>
            </w:r>
            <w:r>
              <w:rPr>
                <w:rFonts w:ascii="宋体" w:hAnsi="宋体" w:cs="宋体" w:eastAsia="宋体" w:hint="default"/>
                <w:sz w:val="21"/>
                <w:szCs w:val="21"/>
              </w:rPr>
            </w:r>
          </w:p>
        </w:tc>
        <w:tc>
          <w:tcPr>
            <w:tcW w:w="4620" w:type="dxa"/>
            <w:gridSpan w:val="5"/>
            <w:tcBorders>
              <w:top w:val="single" w:sz="12" w:space="0" w:color="DCDCDC"/>
              <w:left w:val="single" w:sz="10" w:space="0" w:color="DCDCDC"/>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12,000.00</w:t>
            </w:r>
            <w:r>
              <w:rPr>
                <w:rFonts w:ascii="宋体"/>
                <w:sz w:val="21"/>
              </w:rPr>
            </w:r>
          </w:p>
        </w:tc>
      </w:tr>
      <w:tr>
        <w:trPr>
          <w:trHeight w:val="606" w:hRule="exact"/>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2" w:lineRule="exact" w:before="19"/>
              <w:ind w:left="22" w:right="123"/>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宋体" w:hAnsi="宋体" w:cs="宋体" w:eastAsia="宋体" w:hint="default"/>
                <w:sz w:val="21"/>
                <w:szCs w:val="21"/>
              </w:rPr>
              <w:t>70%的被担保对象提供</w:t>
            </w:r>
            <w:r>
              <w:rPr>
                <w:rFonts w:ascii="宋体" w:hAnsi="宋体" w:cs="宋体" w:eastAsia="宋体" w:hint="default"/>
                <w:sz w:val="21"/>
                <w:szCs w:val="21"/>
              </w:rPr>
              <w:t> 的债务担保金额（D）</w:t>
            </w:r>
          </w:p>
        </w:tc>
        <w:tc>
          <w:tcPr>
            <w:tcW w:w="4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1"/>
              <w:jc w:val="right"/>
              <w:rPr>
                <w:rFonts w:ascii="宋体" w:hAnsi="宋体" w:cs="宋体" w:eastAsia="宋体" w:hint="default"/>
                <w:sz w:val="21"/>
                <w:szCs w:val="21"/>
              </w:rPr>
            </w:pPr>
            <w:r>
              <w:rPr>
                <w:rFonts w:ascii="宋体"/>
                <w:spacing w:val="-1"/>
                <w:sz w:val="21"/>
              </w:rPr>
              <w:t>5,005.41</w:t>
            </w:r>
          </w:p>
        </w:tc>
      </w:tr>
      <w:tr>
        <w:trPr>
          <w:trHeight w:val="338" w:hRule="exact"/>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22"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2"/>
                <w:sz w:val="21"/>
                <w:szCs w:val="21"/>
              </w:rPr>
              <w:t> </w:t>
            </w:r>
            <w:r>
              <w:rPr>
                <w:rFonts w:ascii="宋体" w:hAnsi="宋体" w:cs="宋体" w:eastAsia="宋体" w:hint="default"/>
                <w:sz w:val="21"/>
                <w:szCs w:val="21"/>
              </w:rPr>
              <w:t>50%部分的金额（E）</w:t>
            </w:r>
          </w:p>
        </w:tc>
        <w:tc>
          <w:tcPr>
            <w:tcW w:w="4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2"/>
              <w:jc w:val="right"/>
              <w:rPr>
                <w:rFonts w:ascii="宋体" w:hAnsi="宋体" w:cs="宋体" w:eastAsia="宋体" w:hint="default"/>
                <w:sz w:val="21"/>
                <w:szCs w:val="21"/>
              </w:rPr>
            </w:pPr>
            <w:r>
              <w:rPr>
                <w:rFonts w:ascii="宋体"/>
                <w:sz w:val="21"/>
              </w:rPr>
              <w:t>5,005.41</w:t>
            </w:r>
          </w:p>
        </w:tc>
      </w:tr>
      <w:tr>
        <w:trPr>
          <w:trHeight w:val="340" w:hRule="exact"/>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left="22" w:right="0"/>
              <w:jc w:val="left"/>
              <w:rPr>
                <w:rFonts w:ascii="宋体" w:hAnsi="宋体" w:cs="宋体" w:eastAsia="宋体" w:hint="default"/>
                <w:sz w:val="21"/>
                <w:szCs w:val="21"/>
              </w:rPr>
            </w:pPr>
            <w:r>
              <w:rPr>
                <w:rFonts w:ascii="宋体" w:hAnsi="宋体" w:cs="宋体" w:eastAsia="宋体" w:hint="default"/>
                <w:sz w:val="21"/>
                <w:szCs w:val="21"/>
              </w:rPr>
              <w:t>上述三项担保金额合计（C+D+E）</w:t>
            </w:r>
          </w:p>
        </w:tc>
        <w:tc>
          <w:tcPr>
            <w:tcW w:w="4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2"/>
              <w:jc w:val="right"/>
              <w:rPr>
                <w:rFonts w:ascii="宋体" w:hAnsi="宋体" w:cs="宋体" w:eastAsia="宋体" w:hint="default"/>
                <w:sz w:val="21"/>
                <w:szCs w:val="21"/>
              </w:rPr>
            </w:pPr>
            <w:r>
              <w:rPr>
                <w:rFonts w:ascii="宋体"/>
                <w:sz w:val="21"/>
              </w:rPr>
              <w:t>17,005.41</w:t>
            </w:r>
          </w:p>
        </w:tc>
      </w:tr>
      <w:tr>
        <w:trPr>
          <w:trHeight w:val="740" w:hRule="exact"/>
        </w:trPr>
        <w:tc>
          <w:tcPr>
            <w:tcW w:w="4936"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4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23"/>
              <w:jc w:val="left"/>
              <w:rPr>
                <w:rFonts w:ascii="宋体" w:hAnsi="宋体" w:cs="宋体" w:eastAsia="宋体" w:hint="default"/>
                <w:sz w:val="21"/>
                <w:szCs w:val="21"/>
              </w:rPr>
            </w:pPr>
            <w:r>
              <w:rPr>
                <w:rFonts w:ascii="宋体" w:hAnsi="宋体" w:cs="宋体" w:eastAsia="宋体" w:hint="default"/>
                <w:spacing w:val="-3"/>
                <w:sz w:val="21"/>
                <w:szCs w:val="21"/>
              </w:rPr>
              <w:t>被担保单位经营情况正常，未到期担保承担的连带</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清偿责任可能性较小。</w:t>
            </w:r>
          </w:p>
        </w:tc>
      </w:tr>
    </w:tbl>
    <w:p>
      <w:pPr>
        <w:pStyle w:val="Heading3"/>
        <w:spacing w:line="357" w:lineRule="auto" w:before="81"/>
        <w:ind w:left="617" w:right="0" w:hanging="60"/>
        <w:jc w:val="left"/>
      </w:pPr>
      <w:r>
        <w:rPr>
          <w:rFonts w:ascii="宋体" w:hAnsi="宋体" w:cs="宋体" w:eastAsia="宋体" w:hint="default"/>
          <w:b/>
          <w:bCs/>
        </w:rPr>
        <w:t>（七）重大合同及其履行情况</w:t>
      </w:r>
      <w:r>
        <w:rPr>
          <w:rFonts w:ascii="宋体" w:hAnsi="宋体" w:cs="宋体" w:eastAsia="宋体" w:hint="default"/>
          <w:b/>
          <w:bCs/>
          <w:w w:val="99"/>
        </w:rPr>
        <w:t> </w:t>
      </w:r>
      <w:r>
        <w:rPr/>
        <w:t>报告期内本公司各项业务活动均履行正常，无重大合同纠纷发生。 报告期内公司无托管、承包、租赁其它公司资产事项。 关联方租赁上市公司子公司资产情况： </w:t>
      </w:r>
      <w:r>
        <w:rPr>
          <w:spacing w:val="-4"/>
        </w:rPr>
        <w:t>1、子公司华立仪表集团与浙江华立电力科技有限公司签订的《房屋租赁合同》，</w:t>
      </w:r>
    </w:p>
    <w:p>
      <w:pPr>
        <w:pStyle w:val="Heading3"/>
        <w:spacing w:line="357" w:lineRule="auto"/>
        <w:ind w:left="137" w:right="817"/>
        <w:jc w:val="both"/>
      </w:pPr>
      <w:r>
        <w:rPr/>
        <w:t>华立仪表集团将五常华立科技园南区2号厂房一层房屋面积为1,600.00平方米（建筑</w:t>
      </w:r>
      <w:r>
        <w:rPr>
          <w:spacing w:val="-51"/>
        </w:rPr>
        <w:t> </w:t>
      </w:r>
      <w:r>
        <w:rPr>
          <w:spacing w:val="-51"/>
        </w:rPr>
      </w:r>
      <w:r>
        <w:rPr>
          <w:spacing w:val="-2"/>
        </w:rPr>
        <w:t>面积）的房产租赁给其使用，年租金675,881.28元，租赁期限为3年，自2008年3月20</w:t>
      </w:r>
      <w:r>
        <w:rPr>
          <w:spacing w:val="-107"/>
        </w:rPr>
        <w:t> </w:t>
      </w:r>
      <w:r>
        <w:rPr>
          <w:spacing w:val="-107"/>
        </w:rPr>
      </w:r>
      <w:r>
        <w:rPr>
          <w:spacing w:val="-1"/>
        </w:rPr>
        <w:t>日至2011年3月19日止。华立仪表集团将五常华立科技园行政办公大楼西区9层，面积</w:t>
      </w:r>
      <w:r>
        <w:rPr>
          <w:spacing w:val="-115"/>
        </w:rPr>
        <w:t> </w:t>
      </w:r>
      <w:r>
        <w:rPr>
          <w:spacing w:val="-115"/>
        </w:rPr>
      </w:r>
      <w:r>
        <w:rPr>
          <w:spacing w:val="-2"/>
        </w:rPr>
        <w:t>为1,134.52平方米（建筑面积）的房产租赁给其使用，年租金为1,076,659.48元，租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4451" w:right="5133" w:firstLine="0"/>
        <w:jc w:val="center"/>
        <w:rPr>
          <w:rFonts w:ascii="Times New Roman" w:hAnsi="Times New Roman" w:cs="Times New Roman" w:eastAsia="Times New Roman" w:hint="default"/>
          <w:sz w:val="18"/>
          <w:szCs w:val="18"/>
        </w:rPr>
      </w:pPr>
      <w:r>
        <w:rPr>
          <w:rFonts w:ascii="Times New Roman"/>
          <w:sz w:val="18"/>
        </w:rPr>
        <w:t>33</w:t>
      </w:r>
    </w:p>
    <w:p>
      <w:pPr>
        <w:spacing w:after="0"/>
        <w:jc w:val="center"/>
        <w:rPr>
          <w:rFonts w:ascii="Times New Roman" w:hAnsi="Times New Roman" w:cs="Times New Roman" w:eastAsia="Times New Roman" w:hint="default"/>
          <w:sz w:val="18"/>
          <w:szCs w:val="18"/>
        </w:rPr>
        <w:sectPr>
          <w:pgSz w:w="11910" w:h="16840"/>
          <w:pgMar w:top="640" w:bottom="280" w:left="1620" w:right="480"/>
        </w:sectPr>
      </w:pPr>
    </w:p>
    <w:p>
      <w:pPr>
        <w:spacing w:line="240" w:lineRule="auto" w:before="11"/>
        <w:rPr>
          <w:rFonts w:ascii="Times New Roman" w:hAnsi="Times New Roman" w:cs="Times New Roman" w:eastAsia="Times New Roman" w:hint="default"/>
          <w:sz w:val="26"/>
          <w:szCs w:val="26"/>
        </w:rPr>
      </w:pPr>
    </w:p>
    <w:p>
      <w:pPr>
        <w:pStyle w:val="Heading4"/>
        <w:tabs>
          <w:tab w:pos="7589" w:val="left" w:leader="none"/>
        </w:tabs>
        <w:spacing w:line="240" w:lineRule="auto"/>
        <w:ind w:left="4276" w:right="1004"/>
        <w:jc w:val="left"/>
        <w:rPr>
          <w:b w:val="0"/>
          <w:bCs w:val="0"/>
        </w:rPr>
      </w:pPr>
      <w:r>
        <w:rPr/>
        <w:pict>
          <v:shape style="position:absolute;margin-left:65.160004pt;margin-top:-11.486023pt;width:95.052pt;height:25.5pt;mso-position-horizontal-relative:page;mso-position-vertical-relative:paragraph;z-index:2824"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727"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5"/>
          <w:szCs w:val="5"/>
        </w:rPr>
      </w:pPr>
    </w:p>
    <w:p>
      <w:pPr>
        <w:pStyle w:val="Heading3"/>
        <w:spacing w:line="357" w:lineRule="auto" w:before="26"/>
        <w:ind w:left="1244" w:right="1004" w:hanging="480"/>
        <w:jc w:val="left"/>
      </w:pPr>
      <w:r>
        <w:rPr/>
        <w:t>赁期限为2009年7月1日至2011年1月31日止。 </w:t>
      </w:r>
      <w:r>
        <w:rPr>
          <w:spacing w:val="-8"/>
        </w:rPr>
        <w:t>2、子公司华立仪表集团与浙江华立电网控制系统有限公司签订《房屋租赁合同》，</w:t>
      </w:r>
    </w:p>
    <w:p>
      <w:pPr>
        <w:pStyle w:val="Heading3"/>
        <w:spacing w:line="357" w:lineRule="auto"/>
        <w:ind w:left="764" w:right="1132"/>
        <w:jc w:val="both"/>
      </w:pPr>
      <w:r>
        <w:rPr>
          <w:spacing w:val="4"/>
        </w:rPr>
        <w:t>约定将杭州市余杭区五常大道181号华立科技园行政办公楼西区9层面积为429.48平</w:t>
      </w:r>
      <w:r>
        <w:rPr>
          <w:spacing w:val="-91"/>
        </w:rPr>
        <w:t> </w:t>
      </w:r>
      <w:r>
        <w:rPr>
          <w:spacing w:val="-91"/>
        </w:rPr>
      </w:r>
      <w:r>
        <w:rPr/>
        <w:t>方米（建筑面积）的房产租赁给其使用，年租金407,576.52元，租赁期限为2009年7</w:t>
      </w:r>
      <w:r>
        <w:rPr>
          <w:spacing w:val="-52"/>
        </w:rPr>
        <w:t> </w:t>
      </w:r>
      <w:r>
        <w:rPr>
          <w:spacing w:val="-52"/>
        </w:rPr>
      </w:r>
      <w:r>
        <w:rPr/>
        <w:t>月1日至2011年1月31日止。</w:t>
      </w:r>
    </w:p>
    <w:p>
      <w:pPr>
        <w:pStyle w:val="Heading3"/>
        <w:spacing w:line="357" w:lineRule="auto"/>
        <w:ind w:left="764" w:right="1004" w:firstLine="480"/>
        <w:jc w:val="left"/>
      </w:pPr>
      <w:r>
        <w:rPr>
          <w:spacing w:val="-5"/>
        </w:rPr>
        <w:t>3、子公司华立仪表集团与华方医药科技有限公司签订《房屋租赁合同》，约定将</w:t>
      </w:r>
      <w:r>
        <w:rPr/>
        <w:t> </w:t>
      </w:r>
      <w:r>
        <w:rPr>
          <w:spacing w:val="-1"/>
        </w:rPr>
        <w:t>余杭区五常街道五常大道181号仪表园区3#厂房一层面积1,448.04平方米（建筑面积）</w:t>
      </w:r>
      <w:r>
        <w:rPr>
          <w:spacing w:val="-112"/>
        </w:rPr>
        <w:t> </w:t>
      </w:r>
      <w:r>
        <w:rPr>
          <w:spacing w:val="-112"/>
        </w:rPr>
      </w:r>
      <w:r>
        <w:rPr/>
        <w:t>的商业物流库房租赁给其使用，年租金260,647.20元，租赁期限为2年，自2009年6月</w:t>
      </w:r>
      <w:r>
        <w:rPr/>
        <w:t> 1日至2011年5月31日止。</w:t>
      </w:r>
    </w:p>
    <w:p>
      <w:pPr>
        <w:pStyle w:val="Heading3"/>
        <w:spacing w:line="357" w:lineRule="auto"/>
        <w:ind w:left="764" w:right="1004" w:firstLine="480"/>
        <w:jc w:val="left"/>
      </w:pPr>
      <w:r>
        <w:rPr>
          <w:spacing w:val="-8"/>
        </w:rPr>
        <w:t>4、子公司华立仪表集团与杭州华立电力系统工程有限公司签订《房屋租赁合同》，</w:t>
      </w:r>
      <w:r>
        <w:rPr/>
        <w:t> 约定将五常华立科技园行政办公大楼面积</w:t>
      </w:r>
      <w:r>
        <w:rPr>
          <w:spacing w:val="-53"/>
        </w:rPr>
        <w:t> </w:t>
      </w:r>
      <w:r>
        <w:rPr/>
        <w:t>507</w:t>
      </w:r>
      <w:r>
        <w:rPr>
          <w:spacing w:val="-53"/>
        </w:rPr>
        <w:t> </w:t>
      </w:r>
      <w:r>
        <w:rPr>
          <w:spacing w:val="-3"/>
        </w:rPr>
        <w:t>平方米（建筑面积）的房产租赁给其使</w:t>
      </w:r>
    </w:p>
    <w:p>
      <w:pPr>
        <w:pStyle w:val="Heading3"/>
        <w:spacing w:line="357" w:lineRule="auto"/>
        <w:ind w:left="764" w:right="1070"/>
        <w:jc w:val="both"/>
      </w:pPr>
      <w:r>
        <w:rPr/>
        <w:t>用，年租金</w:t>
      </w:r>
      <w:r>
        <w:rPr>
          <w:spacing w:val="-56"/>
        </w:rPr>
        <w:t> </w:t>
      </w:r>
      <w:r>
        <w:rPr/>
        <w:t>481,143</w:t>
      </w:r>
      <w:r>
        <w:rPr>
          <w:spacing w:val="-54"/>
        </w:rPr>
        <w:t> </w:t>
      </w:r>
      <w:r>
        <w:rPr/>
        <w:t>元，租赁期限为</w:t>
      </w:r>
      <w:r>
        <w:rPr>
          <w:spacing w:val="-56"/>
        </w:rPr>
        <w:t> </w:t>
      </w:r>
      <w:r>
        <w:rPr/>
        <w:t>3</w:t>
      </w:r>
      <w:r>
        <w:rPr>
          <w:spacing w:val="-56"/>
        </w:rPr>
        <w:t> </w:t>
      </w:r>
      <w:r>
        <w:rPr/>
        <w:t>年，自</w:t>
      </w:r>
      <w:r>
        <w:rPr>
          <w:spacing w:val="-56"/>
        </w:rPr>
        <w:t> </w:t>
      </w:r>
      <w:r>
        <w:rPr/>
        <w:t>2008</w:t>
      </w:r>
      <w:r>
        <w:rPr>
          <w:spacing w:val="-56"/>
        </w:rPr>
        <w:t> </w:t>
      </w:r>
      <w:r>
        <w:rPr/>
        <w:t>年</w:t>
      </w:r>
      <w:r>
        <w:rPr>
          <w:spacing w:val="-55"/>
        </w:rPr>
        <w:t> </w:t>
      </w:r>
      <w:r>
        <w:rPr>
          <w:spacing w:val="43"/>
        </w:rPr>
        <w:t>2月1</w:t>
      </w:r>
      <w:r>
        <w:rPr>
          <w:spacing w:val="-55"/>
        </w:rPr>
        <w:t> </w:t>
      </w:r>
      <w:r>
        <w:rPr/>
        <w:t>日至</w:t>
      </w:r>
      <w:r>
        <w:rPr>
          <w:spacing w:val="-55"/>
        </w:rPr>
        <w:t> </w:t>
      </w:r>
      <w:r>
        <w:rPr>
          <w:spacing w:val="27"/>
        </w:rPr>
        <w:t>2011年1月</w:t>
      </w:r>
      <w:r>
        <w:rPr>
          <w:spacing w:val="-56"/>
        </w:rPr>
        <w:t> </w:t>
      </w:r>
      <w:r>
        <w:rPr>
          <w:spacing w:val="21"/>
        </w:rPr>
        <w:t>31日</w:t>
      </w:r>
      <w:r>
        <w:rPr>
          <w:spacing w:val="-56"/>
        </w:rPr>
        <w:t> </w:t>
      </w:r>
      <w:r>
        <w:rPr/>
        <w:t>止。</w:t>
      </w:r>
    </w:p>
    <w:p>
      <w:pPr>
        <w:pStyle w:val="Heading3"/>
        <w:spacing w:line="357" w:lineRule="auto"/>
        <w:ind w:left="764" w:right="996" w:firstLine="480"/>
        <w:jc w:val="left"/>
      </w:pPr>
      <w:r>
        <w:rPr>
          <w:spacing w:val="-5"/>
        </w:rPr>
        <w:t>5、子公司华立仪表集团与浙江华立通信集团有限公司签订《房屋租赁合同》，约</w:t>
      </w:r>
      <w:r>
        <w:rPr>
          <w:spacing w:val="-12"/>
        </w:rPr>
        <w:t> </w:t>
      </w:r>
      <w:r>
        <w:rPr/>
        <w:t>定将余杭区闲林镇联胜路</w:t>
      </w:r>
      <w:r>
        <w:rPr>
          <w:spacing w:val="-60"/>
        </w:rPr>
        <w:t> </w:t>
      </w:r>
      <w:r>
        <w:rPr/>
        <w:t>8</w:t>
      </w:r>
      <w:r>
        <w:rPr>
          <w:spacing w:val="-60"/>
        </w:rPr>
        <w:t> </w:t>
      </w:r>
      <w:r>
        <w:rPr/>
        <w:t>号仪表园区</w:t>
      </w:r>
      <w:r>
        <w:rPr>
          <w:spacing w:val="-60"/>
        </w:rPr>
        <w:t> </w:t>
      </w:r>
      <w:r>
        <w:rPr/>
        <w:t>B1</w:t>
      </w:r>
      <w:r>
        <w:rPr>
          <w:spacing w:val="-60"/>
        </w:rPr>
        <w:t> </w:t>
      </w:r>
      <w:r>
        <w:rPr/>
        <w:t>厂房一层西侧面积</w:t>
      </w:r>
      <w:r>
        <w:rPr>
          <w:spacing w:val="-60"/>
        </w:rPr>
        <w:t> </w:t>
      </w:r>
      <w:r>
        <w:rPr/>
        <w:t>334</w:t>
      </w:r>
      <w:r>
        <w:rPr>
          <w:spacing w:val="-60"/>
        </w:rPr>
        <w:t> </w:t>
      </w:r>
      <w:r>
        <w:rPr>
          <w:spacing w:val="-4"/>
        </w:rPr>
        <w:t>平方米（建筑面积）</w:t>
      </w:r>
      <w:r>
        <w:rPr/>
        <w:t> 的房产租赁给其使用，年租金</w:t>
      </w:r>
      <w:r>
        <w:rPr>
          <w:spacing w:val="-63"/>
        </w:rPr>
        <w:t> </w:t>
      </w:r>
      <w:r>
        <w:rPr/>
        <w:t>108,900</w:t>
      </w:r>
      <w:r>
        <w:rPr>
          <w:spacing w:val="-63"/>
        </w:rPr>
        <w:t> </w:t>
      </w:r>
      <w:r>
        <w:rPr/>
        <w:t>元，租赁期限为</w:t>
      </w:r>
      <w:r>
        <w:rPr>
          <w:spacing w:val="-63"/>
        </w:rPr>
        <w:t> </w:t>
      </w:r>
      <w:r>
        <w:rPr/>
        <w:t>2</w:t>
      </w:r>
      <w:r>
        <w:rPr>
          <w:spacing w:val="-63"/>
        </w:rPr>
        <w:t> </w:t>
      </w:r>
      <w:r>
        <w:rPr>
          <w:spacing w:val="-4"/>
        </w:rPr>
        <w:t>年，自</w:t>
      </w:r>
      <w:r>
        <w:rPr>
          <w:spacing w:val="-63"/>
        </w:rPr>
        <w:t> </w:t>
      </w:r>
      <w:r>
        <w:rPr>
          <w:spacing w:val="25"/>
        </w:rPr>
        <w:t>2008年1月</w:t>
      </w:r>
      <w:r>
        <w:rPr>
          <w:spacing w:val="-63"/>
        </w:rPr>
        <w:t> </w:t>
      </w:r>
      <w:r>
        <w:rPr/>
        <w:t>21</w:t>
      </w:r>
      <w:r>
        <w:rPr>
          <w:spacing w:val="-63"/>
        </w:rPr>
        <w:t> </w:t>
      </w:r>
      <w:r>
        <w:rPr/>
        <w:t>日至</w:t>
      </w:r>
    </w:p>
    <w:p>
      <w:pPr>
        <w:pStyle w:val="Heading3"/>
        <w:spacing w:line="240" w:lineRule="auto"/>
        <w:ind w:left="764" w:right="0"/>
        <w:jc w:val="both"/>
      </w:pPr>
      <w:r>
        <w:rPr>
          <w:spacing w:val="25"/>
        </w:rPr>
        <w:t>2010年1月</w:t>
      </w:r>
      <w:r>
        <w:rPr>
          <w:spacing w:val="-58"/>
        </w:rPr>
        <w:t> </w:t>
      </w:r>
      <w:r>
        <w:rPr/>
        <w:t>20</w:t>
      </w:r>
      <w:r>
        <w:rPr>
          <w:spacing w:val="-58"/>
        </w:rPr>
        <w:t> </w:t>
      </w:r>
      <w:r>
        <w:rPr/>
        <w:t>日止。</w:t>
      </w:r>
    </w:p>
    <w:p>
      <w:pPr>
        <w:spacing w:line="357" w:lineRule="auto" w:before="154"/>
        <w:ind w:left="1244" w:right="1560" w:firstLine="2"/>
        <w:jc w:val="left"/>
        <w:rPr>
          <w:rFonts w:ascii="宋体" w:hAnsi="宋体" w:cs="宋体" w:eastAsia="宋体" w:hint="default"/>
          <w:sz w:val="24"/>
          <w:szCs w:val="24"/>
        </w:rPr>
      </w:pPr>
      <w:r>
        <w:rPr>
          <w:rFonts w:ascii="宋体" w:hAnsi="宋体" w:cs="宋体" w:eastAsia="宋体" w:hint="default"/>
          <w:b/>
          <w:bCs/>
          <w:sz w:val="24"/>
          <w:szCs w:val="24"/>
        </w:rPr>
        <w:t>（八）委托理财情况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报告期内公司未发生委托他人进行现金资产管理事项，也无委托理财计划。</w:t>
      </w:r>
    </w:p>
    <w:p>
      <w:pPr>
        <w:spacing w:before="36"/>
        <w:ind w:left="1244" w:right="1004" w:firstLine="0"/>
        <w:jc w:val="left"/>
        <w:rPr>
          <w:rFonts w:ascii="宋体" w:hAnsi="宋体" w:cs="宋体" w:eastAsia="宋体" w:hint="default"/>
          <w:sz w:val="24"/>
          <w:szCs w:val="24"/>
        </w:rPr>
      </w:pPr>
      <w:r>
        <w:rPr>
          <w:rFonts w:ascii="宋体" w:hAnsi="宋体" w:cs="宋体" w:eastAsia="宋体" w:hint="default"/>
          <w:b/>
          <w:bCs/>
          <w:sz w:val="24"/>
          <w:szCs w:val="24"/>
        </w:rPr>
        <w:t>（九）公司或持股5%以上股东无在报告期内或持续到报告期内的承诺事项。</w:t>
      </w:r>
      <w:r>
        <w:rPr>
          <w:rFonts w:ascii="宋体" w:hAnsi="宋体" w:cs="宋体" w:eastAsia="宋体" w:hint="default"/>
          <w:sz w:val="24"/>
          <w:szCs w:val="24"/>
        </w:rPr>
      </w:r>
    </w:p>
    <w:p>
      <w:pPr>
        <w:spacing w:line="357" w:lineRule="auto" w:before="154"/>
        <w:ind w:left="1244" w:right="1117" w:firstLine="0"/>
        <w:jc w:val="left"/>
        <w:rPr>
          <w:rFonts w:ascii="宋体" w:hAnsi="宋体" w:cs="宋体" w:eastAsia="宋体" w:hint="default"/>
          <w:sz w:val="24"/>
          <w:szCs w:val="24"/>
        </w:rPr>
      </w:pPr>
      <w:r>
        <w:rPr>
          <w:rFonts w:ascii="宋体" w:hAnsi="宋体" w:cs="宋体" w:eastAsia="宋体" w:hint="default"/>
          <w:b/>
          <w:bCs/>
          <w:sz w:val="24"/>
          <w:szCs w:val="24"/>
        </w:rPr>
        <w:t>（十）公司聘任、解聘会计师事务所情况。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公司拟续聘天健正信会计师事务所有限公司为公司2010年度财务审计机构，聘期</w:t>
      </w:r>
    </w:p>
    <w:p>
      <w:pPr>
        <w:pStyle w:val="Heading3"/>
        <w:spacing w:line="240" w:lineRule="auto"/>
        <w:ind w:left="764" w:right="0"/>
        <w:jc w:val="both"/>
      </w:pPr>
      <w:r>
        <w:rPr/>
        <w:t>为一年。2009年公司支付其审计费用为63万元。</w:t>
      </w:r>
    </w:p>
    <w:p>
      <w:pPr>
        <w:spacing w:line="357" w:lineRule="auto" w:before="154"/>
        <w:ind w:left="764" w:right="1117" w:firstLine="480"/>
        <w:jc w:val="left"/>
        <w:rPr>
          <w:rFonts w:ascii="宋体" w:hAnsi="宋体" w:cs="宋体" w:eastAsia="宋体" w:hint="default"/>
          <w:sz w:val="24"/>
          <w:szCs w:val="24"/>
        </w:rPr>
      </w:pPr>
      <w:r>
        <w:rPr>
          <w:rFonts w:ascii="宋体" w:hAnsi="宋体" w:cs="宋体" w:eastAsia="宋体" w:hint="default"/>
          <w:b/>
          <w:bCs/>
          <w:spacing w:val="-2"/>
          <w:sz w:val="24"/>
          <w:szCs w:val="24"/>
        </w:rPr>
        <w:t>（十一）公司、公司董事会及董事在报告期内无受中国证监会稽查、中国证监会</w:t>
      </w:r>
      <w:r>
        <w:rPr>
          <w:rFonts w:ascii="宋体" w:hAnsi="宋体" w:cs="宋体" w:eastAsia="宋体" w:hint="default"/>
          <w:b/>
          <w:bCs/>
          <w:w w:val="99"/>
          <w:sz w:val="24"/>
          <w:szCs w:val="24"/>
        </w:rPr>
        <w:t> </w:t>
      </w:r>
      <w:r>
        <w:rPr>
          <w:rFonts w:ascii="宋体" w:hAnsi="宋体" w:cs="宋体" w:eastAsia="宋体" w:hint="default"/>
          <w:b/>
          <w:bCs/>
          <w:sz w:val="24"/>
          <w:szCs w:val="24"/>
        </w:rPr>
        <w:t>行政处罚、通报批评、证券交易所公开谴责的情形。</w:t>
      </w:r>
      <w:r>
        <w:rPr>
          <w:rFonts w:ascii="宋体" w:hAnsi="宋体" w:cs="宋体" w:eastAsia="宋体" w:hint="default"/>
          <w:sz w:val="24"/>
          <w:szCs w:val="24"/>
        </w:rPr>
      </w:r>
    </w:p>
    <w:p>
      <w:pPr>
        <w:spacing w:before="36"/>
        <w:ind w:left="1244" w:right="1004" w:firstLine="0"/>
        <w:jc w:val="left"/>
        <w:rPr>
          <w:rFonts w:ascii="宋体" w:hAnsi="宋体" w:cs="宋体" w:eastAsia="宋体" w:hint="default"/>
          <w:sz w:val="24"/>
          <w:szCs w:val="24"/>
        </w:rPr>
      </w:pPr>
      <w:r>
        <w:rPr>
          <w:rFonts w:ascii="宋体" w:hAnsi="宋体" w:cs="宋体" w:eastAsia="宋体" w:hint="default"/>
          <w:b/>
          <w:bCs/>
          <w:sz w:val="24"/>
          <w:szCs w:val="24"/>
        </w:rPr>
        <w:t>（十二）报告期接待调研、沟通、采访等活动情况</w:t>
      </w:r>
      <w:r>
        <w:rPr>
          <w:rFonts w:ascii="宋体" w:hAnsi="宋体" w:cs="宋体" w:eastAsia="宋体" w:hint="default"/>
          <w:sz w:val="24"/>
          <w:szCs w:val="24"/>
        </w:rPr>
      </w:r>
    </w:p>
    <w:p>
      <w:pPr>
        <w:spacing w:line="240" w:lineRule="auto" w:before="10"/>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1980"/>
        <w:gridCol w:w="1260"/>
        <w:gridCol w:w="900"/>
        <w:gridCol w:w="3571"/>
        <w:gridCol w:w="2804"/>
      </w:tblGrid>
      <w:tr>
        <w:trPr>
          <w:trHeight w:val="39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39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71" w:type="dxa"/>
            <w:tcBorders>
              <w:top w:val="single" w:sz="4" w:space="0" w:color="000000"/>
              <w:left w:val="single" w:sz="4" w:space="0" w:color="000000"/>
              <w:bottom w:val="single" w:sz="4" w:space="0" w:color="000000"/>
              <w:right w:val="single" w:sz="4" w:space="0" w:color="000000"/>
            </w:tcBorders>
          </w:tcPr>
          <w:p>
            <w:pPr>
              <w:pStyle w:val="TableParagraph"/>
              <w:tabs>
                <w:tab w:pos="2542" w:val="left" w:leader="none"/>
              </w:tabs>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成都信德投资有限公司</w:t>
              <w:tab/>
              <w:t>杨士贤</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
              <w:jc w:val="center"/>
              <w:rPr>
                <w:rFonts w:ascii="宋体" w:hAnsi="宋体" w:cs="宋体" w:eastAsia="宋体" w:hint="default"/>
                <w:sz w:val="21"/>
                <w:szCs w:val="21"/>
              </w:rPr>
            </w:pPr>
            <w:r>
              <w:rPr>
                <w:rFonts w:ascii="宋体" w:hAnsi="宋体" w:cs="宋体" w:eastAsia="宋体" w:hint="default"/>
                <w:sz w:val="21"/>
                <w:szCs w:val="21"/>
              </w:rPr>
              <w:t>公司基本情况，没有提供资料</w:t>
            </w:r>
          </w:p>
        </w:tc>
      </w:tr>
      <w:tr>
        <w:trPr>
          <w:trHeight w:val="39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3571" w:type="dxa"/>
            <w:tcBorders>
              <w:top w:val="single" w:sz="4" w:space="0" w:color="000000"/>
              <w:left w:val="single" w:sz="4" w:space="0" w:color="000000"/>
              <w:bottom w:val="single" w:sz="4" w:space="0" w:color="000000"/>
              <w:right w:val="single" w:sz="4" w:space="0" w:color="000000"/>
            </w:tcBorders>
          </w:tcPr>
          <w:p>
            <w:pPr>
              <w:pStyle w:val="TableParagraph"/>
              <w:tabs>
                <w:tab w:pos="2542" w:val="left" w:leader="none"/>
              </w:tabs>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日信证券有限责任公司</w:t>
              <w:tab/>
              <w:t>庞剑锋</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
              <w:jc w:val="center"/>
              <w:rPr>
                <w:rFonts w:ascii="宋体" w:hAnsi="宋体" w:cs="宋体" w:eastAsia="宋体" w:hint="default"/>
                <w:sz w:val="21"/>
                <w:szCs w:val="21"/>
              </w:rPr>
            </w:pPr>
            <w:r>
              <w:rPr>
                <w:rFonts w:ascii="宋体" w:hAnsi="宋体" w:cs="宋体" w:eastAsia="宋体" w:hint="default"/>
                <w:sz w:val="21"/>
                <w:szCs w:val="21"/>
              </w:rPr>
              <w:t>公司基本情况，没有提供资料</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before="76"/>
        <w:ind w:left="5075" w:right="5448" w:firstLine="0"/>
        <w:jc w:val="center"/>
        <w:rPr>
          <w:rFonts w:ascii="Times New Roman" w:hAnsi="Times New Roman" w:cs="Times New Roman" w:eastAsia="Times New Roman" w:hint="default"/>
          <w:sz w:val="18"/>
          <w:szCs w:val="18"/>
        </w:rPr>
      </w:pPr>
      <w:r>
        <w:rPr>
          <w:rFonts w:ascii="Times New Roman"/>
          <w:sz w:val="18"/>
        </w:rPr>
        <w:t>34</w:t>
      </w:r>
    </w:p>
    <w:p>
      <w:pPr>
        <w:spacing w:after="0"/>
        <w:jc w:val="center"/>
        <w:rPr>
          <w:rFonts w:ascii="Times New Roman" w:hAnsi="Times New Roman" w:cs="Times New Roman" w:eastAsia="Times New Roman" w:hint="default"/>
          <w:sz w:val="18"/>
          <w:szCs w:val="18"/>
        </w:rPr>
        <w:sectPr>
          <w:pgSz w:w="11910" w:h="16840"/>
          <w:pgMar w:top="640" w:bottom="280" w:left="540" w:right="620"/>
        </w:sectPr>
      </w:pPr>
    </w:p>
    <w:p>
      <w:pPr>
        <w:spacing w:line="240" w:lineRule="auto" w:before="11"/>
        <w:rPr>
          <w:rFonts w:ascii="Times New Roman" w:hAnsi="Times New Roman" w:cs="Times New Roman" w:eastAsia="Times New Roman" w:hint="default"/>
          <w:sz w:val="26"/>
          <w:szCs w:val="26"/>
        </w:rPr>
      </w:pPr>
    </w:p>
    <w:p>
      <w:pPr>
        <w:pStyle w:val="Heading4"/>
        <w:tabs>
          <w:tab w:pos="7603" w:val="left" w:leader="none"/>
        </w:tabs>
        <w:spacing w:line="240" w:lineRule="auto"/>
        <w:ind w:left="4290" w:right="0"/>
        <w:jc w:val="left"/>
        <w:rPr>
          <w:b w:val="0"/>
          <w:bCs w:val="0"/>
        </w:rPr>
      </w:pPr>
      <w:r>
        <w:rPr/>
        <w:pict>
          <v:shape style="position:absolute;margin-left:87.900002pt;margin-top:-11.486023pt;width:95.033pt;height:25.5pt;mso-position-horizontal-relative:page;mso-position-vertical-relative:paragraph;z-index:2872"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74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1"/>
        <w:rPr>
          <w:rFonts w:ascii="黑体" w:hAnsi="黑体" w:cs="黑体" w:eastAsia="黑体" w:hint="default"/>
          <w:b/>
          <w:bCs/>
          <w:sz w:val="10"/>
          <w:szCs w:val="10"/>
        </w:rPr>
      </w:pPr>
    </w:p>
    <w:tbl>
      <w:tblPr>
        <w:tblW w:w="0" w:type="auto"/>
        <w:jc w:val="left"/>
        <w:tblInd w:w="115" w:type="dxa"/>
        <w:tblLayout w:type="fixed"/>
        <w:tblCellMar>
          <w:top w:w="0" w:type="dxa"/>
          <w:left w:w="0" w:type="dxa"/>
          <w:bottom w:w="0" w:type="dxa"/>
          <w:right w:w="0" w:type="dxa"/>
        </w:tblCellMar>
        <w:tblLook w:val="01E0"/>
      </w:tblPr>
      <w:tblGrid>
        <w:gridCol w:w="1980"/>
        <w:gridCol w:w="1260"/>
        <w:gridCol w:w="900"/>
        <w:gridCol w:w="3571"/>
        <w:gridCol w:w="2804"/>
      </w:tblGrid>
      <w:tr>
        <w:trPr>
          <w:trHeight w:val="39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571" w:type="dxa"/>
            <w:tcBorders>
              <w:top w:val="single" w:sz="4" w:space="0" w:color="000000"/>
              <w:left w:val="single" w:sz="4" w:space="0" w:color="000000"/>
              <w:bottom w:val="single" w:sz="4" w:space="0" w:color="000000"/>
              <w:right w:val="single" w:sz="4" w:space="0" w:color="000000"/>
            </w:tcBorders>
          </w:tcPr>
          <w:p>
            <w:pPr>
              <w:pStyle w:val="TableParagraph"/>
              <w:tabs>
                <w:tab w:pos="2753" w:val="left" w:leader="none"/>
              </w:tabs>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上海从容投资管理有限公司</w:t>
              <w:tab/>
              <w:t>涂畅</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
              <w:jc w:val="center"/>
              <w:rPr>
                <w:rFonts w:ascii="宋体" w:hAnsi="宋体" w:cs="宋体" w:eastAsia="宋体" w:hint="default"/>
                <w:sz w:val="21"/>
                <w:szCs w:val="21"/>
              </w:rPr>
            </w:pPr>
            <w:r>
              <w:rPr>
                <w:rFonts w:ascii="宋体" w:hAnsi="宋体" w:cs="宋体" w:eastAsia="宋体" w:hint="default"/>
                <w:sz w:val="21"/>
                <w:szCs w:val="21"/>
              </w:rPr>
              <w:t>公司基本情况，没有提供资料</w:t>
            </w:r>
          </w:p>
        </w:tc>
      </w:tr>
      <w:tr>
        <w:trPr>
          <w:trHeight w:val="39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571" w:type="dxa"/>
            <w:tcBorders>
              <w:top w:val="single" w:sz="4" w:space="0" w:color="000000"/>
              <w:left w:val="single" w:sz="4" w:space="0" w:color="000000"/>
              <w:bottom w:val="single" w:sz="4" w:space="0" w:color="000000"/>
              <w:right w:val="single" w:sz="4" w:space="0" w:color="000000"/>
            </w:tcBorders>
          </w:tcPr>
          <w:p>
            <w:pPr>
              <w:pStyle w:val="TableParagraph"/>
              <w:tabs>
                <w:tab w:pos="2543" w:val="left" w:leader="none"/>
              </w:tabs>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新世纪基金管理有限公司</w:t>
              <w:tab/>
              <w:t>栾江伟</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
              <w:jc w:val="center"/>
              <w:rPr>
                <w:rFonts w:ascii="宋体" w:hAnsi="宋体" w:cs="宋体" w:eastAsia="宋体" w:hint="default"/>
                <w:sz w:val="21"/>
                <w:szCs w:val="21"/>
              </w:rPr>
            </w:pPr>
            <w:r>
              <w:rPr>
                <w:rFonts w:ascii="宋体" w:hAnsi="宋体" w:cs="宋体" w:eastAsia="宋体" w:hint="default"/>
                <w:sz w:val="21"/>
                <w:szCs w:val="21"/>
              </w:rPr>
              <w:t>公司基本情况，没有提供资料</w:t>
            </w:r>
          </w:p>
        </w:tc>
      </w:tr>
      <w:tr>
        <w:trPr>
          <w:trHeight w:val="39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571" w:type="dxa"/>
            <w:tcBorders>
              <w:top w:val="single" w:sz="4" w:space="0" w:color="000000"/>
              <w:left w:val="single" w:sz="4" w:space="0" w:color="000000"/>
              <w:bottom w:val="single" w:sz="4" w:space="0" w:color="000000"/>
              <w:right w:val="single" w:sz="4" w:space="0" w:color="000000"/>
            </w:tcBorders>
          </w:tcPr>
          <w:p>
            <w:pPr>
              <w:pStyle w:val="TableParagraph"/>
              <w:tabs>
                <w:tab w:pos="2752" w:val="left" w:leader="none"/>
              </w:tabs>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安信证券股份有限公司</w:t>
              <w:tab/>
              <w:t>洪露</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
              <w:jc w:val="center"/>
              <w:rPr>
                <w:rFonts w:ascii="宋体" w:hAnsi="宋体" w:cs="宋体" w:eastAsia="宋体" w:hint="default"/>
                <w:sz w:val="21"/>
                <w:szCs w:val="21"/>
              </w:rPr>
            </w:pPr>
            <w:r>
              <w:rPr>
                <w:rFonts w:ascii="宋体" w:hAnsi="宋体" w:cs="宋体" w:eastAsia="宋体" w:hint="default"/>
                <w:sz w:val="21"/>
                <w:szCs w:val="21"/>
              </w:rPr>
              <w:t>公司基本情况，没有提供资料</w:t>
            </w:r>
          </w:p>
        </w:tc>
      </w:tr>
      <w:tr>
        <w:trPr>
          <w:trHeight w:val="39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571" w:type="dxa"/>
            <w:tcBorders>
              <w:top w:val="single" w:sz="4" w:space="0" w:color="000000"/>
              <w:left w:val="single" w:sz="4" w:space="0" w:color="000000"/>
              <w:bottom w:val="single" w:sz="4" w:space="0" w:color="000000"/>
              <w:right w:val="single" w:sz="4" w:space="0" w:color="000000"/>
            </w:tcBorders>
          </w:tcPr>
          <w:p>
            <w:pPr>
              <w:pStyle w:val="TableParagraph"/>
              <w:tabs>
                <w:tab w:pos="2752" w:val="left" w:leader="none"/>
              </w:tabs>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安信证券股份有限公司</w:t>
              <w:tab/>
              <w:t>赵楠</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
              <w:jc w:val="center"/>
              <w:rPr>
                <w:rFonts w:ascii="宋体" w:hAnsi="宋体" w:cs="宋体" w:eastAsia="宋体" w:hint="default"/>
                <w:sz w:val="21"/>
                <w:szCs w:val="21"/>
              </w:rPr>
            </w:pPr>
            <w:r>
              <w:rPr>
                <w:rFonts w:ascii="宋体" w:hAnsi="宋体" w:cs="宋体" w:eastAsia="宋体" w:hint="default"/>
                <w:sz w:val="21"/>
                <w:szCs w:val="21"/>
              </w:rPr>
              <w:t>公司基本情况，没有提供资料</w:t>
            </w:r>
          </w:p>
        </w:tc>
      </w:tr>
      <w:tr>
        <w:trPr>
          <w:trHeight w:val="39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571" w:type="dxa"/>
            <w:tcBorders>
              <w:top w:val="single" w:sz="4" w:space="0" w:color="000000"/>
              <w:left w:val="single" w:sz="4" w:space="0" w:color="000000"/>
              <w:bottom w:val="single" w:sz="4" w:space="0" w:color="000000"/>
              <w:right w:val="single" w:sz="4" w:space="0" w:color="000000"/>
            </w:tcBorders>
          </w:tcPr>
          <w:p>
            <w:pPr>
              <w:pStyle w:val="TableParagraph"/>
              <w:tabs>
                <w:tab w:pos="2752" w:val="left" w:leader="none"/>
              </w:tabs>
              <w:spacing w:line="240" w:lineRule="auto" w:before="23"/>
              <w:ind w:left="22" w:right="0"/>
              <w:jc w:val="left"/>
              <w:rPr>
                <w:rFonts w:ascii="宋体" w:hAnsi="宋体" w:cs="宋体" w:eastAsia="宋体" w:hint="default"/>
                <w:sz w:val="21"/>
                <w:szCs w:val="21"/>
              </w:rPr>
            </w:pPr>
            <w:r>
              <w:rPr>
                <w:rFonts w:ascii="宋体" w:hAnsi="宋体" w:cs="宋体" w:eastAsia="宋体" w:hint="default"/>
                <w:sz w:val="21"/>
                <w:szCs w:val="21"/>
              </w:rPr>
              <w:t>长江证券有限责任公司</w:t>
              <w:tab/>
              <w:t>张骞</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
              <w:jc w:val="center"/>
              <w:rPr>
                <w:rFonts w:ascii="宋体" w:hAnsi="宋体" w:cs="宋体" w:eastAsia="宋体" w:hint="default"/>
                <w:sz w:val="21"/>
                <w:szCs w:val="21"/>
              </w:rPr>
            </w:pPr>
            <w:r>
              <w:rPr>
                <w:rFonts w:ascii="宋体" w:hAnsi="宋体" w:cs="宋体" w:eastAsia="宋体" w:hint="default"/>
                <w:sz w:val="21"/>
                <w:szCs w:val="21"/>
              </w:rPr>
              <w:t>公司基本情况，没有提供资料</w:t>
            </w:r>
          </w:p>
        </w:tc>
      </w:tr>
      <w:tr>
        <w:trPr>
          <w:trHeight w:val="39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571" w:type="dxa"/>
            <w:tcBorders>
              <w:top w:val="single" w:sz="4" w:space="0" w:color="000000"/>
              <w:left w:val="single" w:sz="4" w:space="0" w:color="000000"/>
              <w:bottom w:val="single" w:sz="4" w:space="0" w:color="000000"/>
              <w:right w:val="single" w:sz="4" w:space="0" w:color="000000"/>
            </w:tcBorders>
          </w:tcPr>
          <w:p>
            <w:pPr>
              <w:pStyle w:val="TableParagraph"/>
              <w:tabs>
                <w:tab w:pos="2753" w:val="left" w:leader="none"/>
              </w:tabs>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上海凯石投资管理有限公司</w:t>
              <w:tab/>
              <w:t>薛滔</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5"/>
              <w:jc w:val="center"/>
              <w:rPr>
                <w:rFonts w:ascii="宋体" w:hAnsi="宋体" w:cs="宋体" w:eastAsia="宋体" w:hint="default"/>
                <w:sz w:val="21"/>
                <w:szCs w:val="21"/>
              </w:rPr>
            </w:pPr>
            <w:r>
              <w:rPr>
                <w:rFonts w:ascii="宋体" w:hAnsi="宋体" w:cs="宋体" w:eastAsia="宋体" w:hint="default"/>
                <w:sz w:val="21"/>
                <w:szCs w:val="21"/>
              </w:rPr>
              <w:t>公司基本情况，没有提供资料</w:t>
            </w:r>
          </w:p>
        </w:tc>
      </w:tr>
      <w:tr>
        <w:trPr>
          <w:trHeight w:val="39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17"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3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21"/>
                <w:szCs w:val="21"/>
              </w:rPr>
            </w:pPr>
            <w:r>
              <w:rPr>
                <w:rFonts w:ascii="宋体" w:hAnsi="宋体" w:cs="宋体" w:eastAsia="宋体" w:hint="default"/>
                <w:sz w:val="21"/>
                <w:szCs w:val="21"/>
              </w:rPr>
              <w:t>交银施罗德基金管理有限公司</w:t>
            </w:r>
            <w:r>
              <w:rPr>
                <w:rFonts w:ascii="宋体" w:hAnsi="宋体" w:cs="宋体" w:eastAsia="宋体" w:hint="default"/>
                <w:spacing w:val="-2"/>
                <w:sz w:val="21"/>
                <w:szCs w:val="21"/>
              </w:rPr>
              <w:t> </w:t>
            </w:r>
            <w:r>
              <w:rPr>
                <w:rFonts w:ascii="宋体" w:hAnsi="宋体" w:cs="宋体" w:eastAsia="宋体" w:hint="default"/>
                <w:sz w:val="21"/>
                <w:szCs w:val="21"/>
              </w:rPr>
              <w:t>李德亮</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4"/>
              <w:jc w:val="center"/>
              <w:rPr>
                <w:rFonts w:ascii="宋体" w:hAnsi="宋体" w:cs="宋体" w:eastAsia="宋体" w:hint="default"/>
                <w:sz w:val="21"/>
                <w:szCs w:val="21"/>
              </w:rPr>
            </w:pPr>
            <w:r>
              <w:rPr>
                <w:rFonts w:ascii="宋体" w:hAnsi="宋体" w:cs="宋体" w:eastAsia="宋体" w:hint="default"/>
                <w:sz w:val="21"/>
                <w:szCs w:val="21"/>
              </w:rPr>
              <w:t>公司基本情况，没有提供资料</w:t>
            </w: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23"/>
          <w:szCs w:val="23"/>
        </w:rPr>
      </w:pPr>
    </w:p>
    <w:p>
      <w:pPr>
        <w:spacing w:before="76"/>
        <w:ind w:left="5091" w:right="5453" w:firstLine="0"/>
        <w:jc w:val="center"/>
        <w:rPr>
          <w:rFonts w:ascii="Times New Roman" w:hAnsi="Times New Roman" w:cs="Times New Roman" w:eastAsia="Times New Roman" w:hint="default"/>
          <w:sz w:val="18"/>
          <w:szCs w:val="18"/>
        </w:rPr>
      </w:pPr>
      <w:r>
        <w:rPr>
          <w:rFonts w:ascii="Times New Roman"/>
          <w:sz w:val="18"/>
        </w:rPr>
        <w:t>35</w:t>
      </w:r>
    </w:p>
    <w:p>
      <w:pPr>
        <w:spacing w:after="0"/>
        <w:jc w:val="center"/>
        <w:rPr>
          <w:rFonts w:ascii="Times New Roman" w:hAnsi="Times New Roman" w:cs="Times New Roman" w:eastAsia="Times New Roman" w:hint="default"/>
          <w:sz w:val="18"/>
          <w:szCs w:val="18"/>
        </w:rPr>
        <w:sectPr>
          <w:pgSz w:w="11910" w:h="16840"/>
          <w:pgMar w:top="640" w:bottom="280" w:left="980" w:right="160"/>
        </w:sectPr>
      </w:pPr>
    </w:p>
    <w:p>
      <w:pPr>
        <w:spacing w:line="240" w:lineRule="auto" w:before="11"/>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pgSz w:w="11910" w:h="16840"/>
          <w:pgMar w:top="640" w:bottom="280" w:left="1160" w:right="1600"/>
        </w:sectPr>
      </w:pPr>
    </w:p>
    <w:p>
      <w:pPr>
        <w:spacing w:line="240" w:lineRule="auto" w:before="8"/>
        <w:rPr>
          <w:rFonts w:ascii="Times New Roman" w:hAnsi="Times New Roman" w:cs="Times New Roman" w:eastAsia="Times New Roman" w:hint="default"/>
          <w:sz w:val="41"/>
          <w:szCs w:val="41"/>
        </w:rPr>
      </w:pPr>
    </w:p>
    <w:p>
      <w:pPr>
        <w:pStyle w:val="Heading1"/>
        <w:spacing w:line="240" w:lineRule="auto"/>
        <w:ind w:left="564" w:right="0"/>
        <w:jc w:val="left"/>
        <w:rPr>
          <w:b w:val="0"/>
          <w:bCs w:val="0"/>
        </w:rPr>
      </w:pPr>
      <w:r>
        <w:rPr/>
        <w:pict>
          <v:shape style="position:absolute;margin-left:65.160004pt;margin-top:-35.428162pt;width:95.052pt;height:25.5pt;mso-position-horizontal-relative:page;mso-position-vertical-relative:paragraph;z-index:2896" type="#_x0000_t75" stroked="false">
            <v:imagedata r:id="rId5" o:title=""/>
          </v:shape>
        </w:pict>
      </w:r>
      <w:bookmarkStart w:name="_TOC_250001" w:id="10"/>
      <w:r>
        <w:rPr>
          <w:w w:val="95"/>
        </w:rPr>
        <w:t>十、财务报告</w:t>
      </w:r>
      <w:bookmarkEnd w:id="10"/>
      <w:r>
        <w:rPr>
          <w:b w:val="0"/>
          <w:bCs w:val="0"/>
        </w:rPr>
      </w:r>
    </w:p>
    <w:p>
      <w:pPr>
        <w:pStyle w:val="Heading4"/>
        <w:tabs>
          <w:tab w:pos="3456" w:val="left" w:leader="none"/>
        </w:tabs>
        <w:spacing w:line="240" w:lineRule="auto"/>
        <w:ind w:left="143" w:right="0"/>
        <w:jc w:val="left"/>
        <w:rPr>
          <w:b w:val="0"/>
          <w:bCs w:val="0"/>
        </w:rPr>
      </w:pPr>
      <w:r>
        <w:rPr>
          <w:b w:val="0"/>
          <w:bCs w:val="0"/>
        </w:rPr>
        <w:br w:type="column"/>
      </w:r>
      <w:r>
        <w:rPr/>
        <w:t>2009</w:t>
      </w:r>
      <w:r>
        <w:rPr>
          <w:spacing w:val="-63"/>
        </w:rPr>
        <w:t> </w:t>
      </w:r>
      <w:r>
        <w:rPr/>
        <w:t>年年度报告正文</w:t>
        <w:tab/>
        <w:t>证券代码</w:t>
      </w:r>
      <w:r>
        <w:rPr>
          <w:spacing w:val="-63"/>
        </w:rPr>
        <w:t> </w:t>
      </w:r>
      <w:r>
        <w:rPr/>
        <w:t>000607</w:t>
      </w:r>
      <w:r>
        <w:rPr>
          <w:b w:val="0"/>
          <w:bCs w:val="0"/>
        </w:rPr>
      </w: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0"/>
          <w:szCs w:val="20"/>
        </w:rPr>
      </w:pPr>
    </w:p>
    <w:p>
      <w:pPr>
        <w:spacing w:before="0"/>
        <w:ind w:left="281" w:right="0" w:firstLine="0"/>
        <w:jc w:val="left"/>
        <w:rPr>
          <w:rFonts w:ascii="黑体" w:hAnsi="黑体" w:cs="黑体" w:eastAsia="黑体" w:hint="default"/>
          <w:sz w:val="28"/>
          <w:szCs w:val="28"/>
        </w:rPr>
      </w:pPr>
      <w:r>
        <w:rPr/>
        <w:pict>
          <v:group style="position:absolute;margin-left:63.720001pt;margin-top:-23.728136pt;width:427.2pt;height:.1pt;mso-position-horizontal-relative:page;mso-position-vertical-relative:paragraph;z-index:2920" coordorigin="1274,-475" coordsize="8544,2">
            <v:shape style="position:absolute;left:1274;top:-475;width:8544;height:2" coordorigin="1274,-475" coordsize="8544,0" path="m1274,-475l9818,-475e" filled="false" stroked="true" strokeweight=".71997pt" strokecolor="#000000">
              <v:path arrowok="t"/>
            </v:shape>
            <w10:wrap type="none"/>
          </v:group>
        </w:pict>
      </w:r>
      <w:r>
        <w:rPr>
          <w:rFonts w:ascii="黑体" w:hAnsi="黑体" w:cs="黑体" w:eastAsia="黑体" w:hint="default"/>
          <w:b/>
          <w:bCs/>
          <w:sz w:val="28"/>
          <w:szCs w:val="28"/>
        </w:rPr>
        <w:t>审 计 报</w:t>
      </w:r>
      <w:r>
        <w:rPr>
          <w:rFonts w:ascii="黑体" w:hAnsi="黑体" w:cs="黑体" w:eastAsia="黑体" w:hint="default"/>
          <w:b/>
          <w:bCs/>
          <w:spacing w:val="-8"/>
          <w:sz w:val="28"/>
          <w:szCs w:val="28"/>
        </w:rPr>
        <w:t> </w:t>
      </w:r>
      <w:r>
        <w:rPr>
          <w:rFonts w:ascii="黑体" w:hAnsi="黑体" w:cs="黑体" w:eastAsia="黑体" w:hint="default"/>
          <w:b/>
          <w:bCs/>
          <w:sz w:val="28"/>
          <w:szCs w:val="28"/>
        </w:rPr>
        <w:t>告</w:t>
      </w:r>
      <w:r>
        <w:rPr>
          <w:rFonts w:ascii="黑体" w:hAnsi="黑体" w:cs="黑体" w:eastAsia="黑体" w:hint="default"/>
          <w:sz w:val="28"/>
          <w:szCs w:val="28"/>
        </w:rPr>
      </w:r>
    </w:p>
    <w:p>
      <w:pPr>
        <w:spacing w:after="0"/>
        <w:jc w:val="left"/>
        <w:rPr>
          <w:rFonts w:ascii="黑体" w:hAnsi="黑体" w:cs="黑体" w:eastAsia="黑体" w:hint="default"/>
          <w:sz w:val="28"/>
          <w:szCs w:val="28"/>
        </w:rPr>
        <w:sectPr>
          <w:type w:val="continuous"/>
          <w:pgSz w:w="11910" w:h="16840"/>
          <w:pgMar w:top="780" w:bottom="280" w:left="1160" w:right="1600"/>
          <w:cols w:num="2" w:equalWidth="0">
            <w:col w:w="2247" w:space="1267"/>
            <w:col w:w="5636"/>
          </w:cols>
        </w:sectPr>
      </w:pPr>
    </w:p>
    <w:p>
      <w:pPr>
        <w:spacing w:line="240" w:lineRule="auto" w:before="11"/>
        <w:rPr>
          <w:rFonts w:ascii="黑体" w:hAnsi="黑体" w:cs="黑体" w:eastAsia="黑体" w:hint="default"/>
          <w:b/>
          <w:bCs/>
          <w:sz w:val="11"/>
          <w:szCs w:val="11"/>
        </w:rPr>
      </w:pPr>
    </w:p>
    <w:p>
      <w:pPr>
        <w:spacing w:after="0" w:line="240" w:lineRule="auto"/>
        <w:rPr>
          <w:rFonts w:ascii="黑体" w:hAnsi="黑体" w:cs="黑体" w:eastAsia="黑体" w:hint="default"/>
          <w:sz w:val="11"/>
          <w:szCs w:val="11"/>
        </w:rPr>
        <w:sectPr>
          <w:type w:val="continuous"/>
          <w:pgSz w:w="11910" w:h="16840"/>
          <w:pgMar w:top="780" w:bottom="280" w:left="1160" w:right="1600"/>
        </w:sectPr>
      </w:pPr>
    </w:p>
    <w:p>
      <w:pPr>
        <w:spacing w:line="240" w:lineRule="auto" w:before="8"/>
        <w:rPr>
          <w:rFonts w:ascii="黑体" w:hAnsi="黑体" w:cs="黑体" w:eastAsia="黑体" w:hint="default"/>
          <w:b/>
          <w:bCs/>
          <w:sz w:val="33"/>
          <w:szCs w:val="33"/>
        </w:rPr>
      </w:pPr>
    </w:p>
    <w:p>
      <w:pPr>
        <w:spacing w:before="0"/>
        <w:ind w:left="144" w:right="0" w:firstLine="0"/>
        <w:jc w:val="left"/>
        <w:rPr>
          <w:rFonts w:ascii="宋体" w:hAnsi="宋体" w:cs="宋体" w:eastAsia="宋体" w:hint="default"/>
          <w:sz w:val="24"/>
          <w:szCs w:val="24"/>
        </w:rPr>
      </w:pPr>
      <w:r>
        <w:rPr>
          <w:rFonts w:ascii="宋体" w:hAnsi="宋体" w:cs="宋体" w:eastAsia="宋体" w:hint="default"/>
          <w:b/>
          <w:bCs/>
          <w:w w:val="95"/>
          <w:sz w:val="24"/>
          <w:szCs w:val="24"/>
        </w:rPr>
        <w:t>重庆华立药业股份有限公司全体股东：</w:t>
      </w:r>
      <w:r>
        <w:rPr>
          <w:rFonts w:ascii="宋体" w:hAnsi="宋体" w:cs="宋体" w:eastAsia="宋体" w:hint="default"/>
          <w:sz w:val="24"/>
          <w:szCs w:val="24"/>
        </w:rPr>
      </w:r>
    </w:p>
    <w:p>
      <w:pPr>
        <w:pStyle w:val="Heading4"/>
        <w:spacing w:line="240" w:lineRule="auto"/>
        <w:ind w:left="144" w:right="0"/>
        <w:jc w:val="left"/>
        <w:rPr>
          <w:rFonts w:ascii="宋体" w:hAnsi="宋体" w:cs="宋体" w:eastAsia="宋体" w:hint="default"/>
          <w:b w:val="0"/>
          <w:bCs w:val="0"/>
        </w:rPr>
      </w:pPr>
      <w:r>
        <w:rPr>
          <w:b w:val="0"/>
          <w:bCs w:val="0"/>
        </w:rPr>
        <w:br w:type="column"/>
      </w:r>
      <w:r>
        <w:rPr>
          <w:rFonts w:ascii="宋体" w:hAnsi="宋体" w:cs="宋体" w:eastAsia="宋体" w:hint="default"/>
        </w:rPr>
        <w:t>天健正信审（2010）GF字第030024号</w:t>
      </w:r>
      <w:r>
        <w:rPr>
          <w:rFonts w:ascii="宋体" w:hAnsi="宋体" w:cs="宋体" w:eastAsia="宋体" w:hint="default"/>
          <w:b w:val="0"/>
          <w:bCs w:val="0"/>
        </w:rPr>
      </w:r>
    </w:p>
    <w:p>
      <w:pPr>
        <w:spacing w:after="0" w:line="240" w:lineRule="auto"/>
        <w:jc w:val="left"/>
        <w:rPr>
          <w:rFonts w:ascii="宋体" w:hAnsi="宋体" w:cs="宋体" w:eastAsia="宋体" w:hint="default"/>
        </w:rPr>
        <w:sectPr>
          <w:type w:val="continuous"/>
          <w:pgSz w:w="11910" w:h="16840"/>
          <w:pgMar w:top="780" w:bottom="280" w:left="1160" w:right="1600"/>
          <w:cols w:num="2" w:equalWidth="0">
            <w:col w:w="4229" w:space="255"/>
            <w:col w:w="4666"/>
          </w:cols>
        </w:sectPr>
      </w:pPr>
    </w:p>
    <w:p>
      <w:pPr>
        <w:spacing w:line="240" w:lineRule="auto" w:before="1"/>
        <w:rPr>
          <w:rFonts w:ascii="宋体" w:hAnsi="宋体" w:cs="宋体" w:eastAsia="宋体" w:hint="default"/>
          <w:b/>
          <w:bCs/>
          <w:sz w:val="10"/>
          <w:szCs w:val="10"/>
        </w:rPr>
      </w:pPr>
    </w:p>
    <w:p>
      <w:pPr>
        <w:pStyle w:val="Heading3"/>
        <w:spacing w:line="304" w:lineRule="auto" w:before="26"/>
        <w:ind w:right="151" w:firstLine="480"/>
        <w:jc w:val="both"/>
      </w:pPr>
      <w:r>
        <w:rPr>
          <w:spacing w:val="-2"/>
        </w:rPr>
        <w:t>我们审计了后附的重庆华立药业股份有限公司（以下简称“华立药业公司”）财</w:t>
      </w:r>
      <w:r>
        <w:rPr>
          <w:spacing w:val="3"/>
        </w:rPr>
        <w:t> </w:t>
      </w:r>
      <w:r>
        <w:rPr/>
        <w:t>务报表，包括</w:t>
      </w:r>
      <w:r>
        <w:rPr>
          <w:spacing w:val="-57"/>
        </w:rPr>
        <w:t> </w:t>
      </w:r>
      <w:r>
        <w:rPr/>
        <w:t>2009</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日的资产负债表、合并资产负债表，2009</w:t>
      </w:r>
      <w:r>
        <w:rPr>
          <w:spacing w:val="-57"/>
        </w:rPr>
        <w:t> </w:t>
      </w:r>
      <w:r>
        <w:rPr/>
        <w:t>年度的利润</w:t>
      </w:r>
      <w:r>
        <w:rPr/>
        <w:t> </w:t>
      </w:r>
      <w:r>
        <w:rPr>
          <w:spacing w:val="-2"/>
        </w:rPr>
        <w:t>表、合并利润表和现金流量表、合并现金流量表、股东权益变动表、合并股东权益变</w:t>
      </w:r>
      <w:r>
        <w:rPr>
          <w:spacing w:val="-117"/>
        </w:rPr>
        <w:t> </w:t>
      </w:r>
      <w:r>
        <w:rPr>
          <w:spacing w:val="-117"/>
        </w:rPr>
      </w:r>
      <w:r>
        <w:rPr/>
        <w:t>动表以及财务报表附注。</w:t>
      </w:r>
    </w:p>
    <w:p>
      <w:pPr>
        <w:spacing w:line="304" w:lineRule="auto" w:before="20"/>
        <w:ind w:left="629" w:right="95" w:hanging="5"/>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按照企业会计准则的规定编制财务报表是华立药业公司管理层的责任。这种责任</w:t>
      </w:r>
    </w:p>
    <w:p>
      <w:pPr>
        <w:pStyle w:val="Heading3"/>
        <w:spacing w:line="304" w:lineRule="auto" w:before="22"/>
        <w:ind w:right="150"/>
        <w:jc w:val="both"/>
      </w:pPr>
      <w:r>
        <w:rPr/>
        <w:t>包括：（1）设计、实施和维护与财务报表编制相关的内部控制，以使财务报表不存</w:t>
      </w:r>
      <w:r>
        <w:rPr>
          <w:spacing w:val="-47"/>
        </w:rPr>
        <w:t> </w:t>
      </w:r>
      <w:r>
        <w:rPr>
          <w:spacing w:val="-2"/>
        </w:rPr>
        <w:t>在由于舞弊或错误而导致的重大错报；（2）选择和运用恰当的会计政策；（3）做出</w:t>
      </w:r>
      <w:r>
        <w:rPr>
          <w:spacing w:val="-113"/>
        </w:rPr>
        <w:t> </w:t>
      </w:r>
      <w:r>
        <w:rPr>
          <w:spacing w:val="-113"/>
        </w:rPr>
      </w:r>
      <w:r>
        <w:rPr/>
        <w:t>合理的会计估计。</w:t>
      </w:r>
    </w:p>
    <w:p>
      <w:pPr>
        <w:spacing w:line="304" w:lineRule="auto" w:before="22"/>
        <w:ind w:left="629" w:right="95" w:firstLine="0"/>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我们的责任是在实施审计工作的基础上对财务报表发表审计意见。我们按照中国</w:t>
      </w:r>
    </w:p>
    <w:p>
      <w:pPr>
        <w:pStyle w:val="Heading3"/>
        <w:spacing w:line="304" w:lineRule="auto" w:before="20"/>
        <w:ind w:right="149"/>
        <w:jc w:val="both"/>
      </w:pPr>
      <w:r>
        <w:rPr>
          <w:spacing w:val="-1"/>
        </w:rPr>
        <w:t>注册会计师审计准则的规定执行了审计工作。中国注册会计师审计准则要求我们遵守</w:t>
      </w:r>
      <w:r>
        <w:rPr/>
        <w:t> </w:t>
      </w:r>
      <w:r>
        <w:rPr>
          <w:spacing w:val="5"/>
        </w:rPr>
        <w:t>职业道德规范，计划和实施审计工作以对财务报表是否不存在重大错报获取合理保</w:t>
      </w:r>
      <w:r>
        <w:rPr>
          <w:spacing w:val="-106"/>
        </w:rPr>
        <w:t> </w:t>
      </w:r>
      <w:r>
        <w:rPr>
          <w:spacing w:val="-106"/>
        </w:rPr>
      </w:r>
      <w:r>
        <w:rPr/>
        <w:t>证。</w:t>
      </w:r>
    </w:p>
    <w:p>
      <w:pPr>
        <w:pStyle w:val="Heading3"/>
        <w:spacing w:line="304" w:lineRule="auto" w:before="20"/>
        <w:ind w:right="155" w:firstLine="484"/>
        <w:jc w:val="both"/>
      </w:pPr>
      <w:r>
        <w:rPr>
          <w:spacing w:val="-2"/>
        </w:rPr>
        <w:t>审计工作涉及实施审计程序，以获取有关财务报表金额和披露的审计证据。选择</w:t>
      </w:r>
      <w:r>
        <w:rPr/>
        <w:t> </w:t>
      </w:r>
      <w:r>
        <w:rPr>
          <w:spacing w:val="-1"/>
        </w:rPr>
        <w:t>的审计程序取决于注册会计师的判断，包括对由于舞弊或错误导致的财务报表重大错</w:t>
      </w:r>
      <w:r>
        <w:rPr/>
        <w:t> </w:t>
      </w:r>
      <w:r>
        <w:rPr>
          <w:spacing w:val="-1"/>
        </w:rPr>
        <w:t>报风险的评估。在进行风险评估时，我们考虑与财务报表编制相关的内部控制，以设</w:t>
      </w:r>
      <w:r>
        <w:rPr/>
        <w:t> </w:t>
      </w:r>
      <w:r>
        <w:rPr>
          <w:spacing w:val="-1"/>
        </w:rPr>
        <w:t>计恰当的审计程序，但目的并非对内部控制的有效性发表意见。审计工作还包括评价</w:t>
      </w:r>
      <w:r>
        <w:rPr/>
        <w:t> </w:t>
      </w:r>
      <w:r>
        <w:rPr>
          <w:spacing w:val="-1"/>
        </w:rPr>
        <w:t>管理层选用会计政策的恰当性和作出会计估计的合理性，以及评价财务报表的总体列</w:t>
      </w:r>
      <w:r>
        <w:rPr/>
        <w:t> 报。</w:t>
      </w:r>
    </w:p>
    <w:p>
      <w:pPr>
        <w:pStyle w:val="Heading3"/>
        <w:spacing w:line="304" w:lineRule="auto" w:before="20"/>
        <w:ind w:left="629" w:right="95"/>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spacing w:val="-2"/>
        </w:rPr>
        <w:t>我们认为，华立药业公司财务报表已经按照企业会计准则的规定编制，在所有重</w:t>
      </w:r>
    </w:p>
    <w:p>
      <w:pPr>
        <w:pStyle w:val="Heading3"/>
        <w:spacing w:line="307" w:lineRule="auto" w:before="20"/>
        <w:ind w:right="95"/>
        <w:jc w:val="left"/>
      </w:pPr>
      <w:r>
        <w:rPr>
          <w:spacing w:val="4"/>
        </w:rPr>
        <w:t>大方面公允反映了华立药业公司2009年12月31日的财务状况以及2009年度的经营成</w:t>
      </w:r>
      <w:r>
        <w:rPr>
          <w:spacing w:val="-88"/>
        </w:rPr>
        <w:t> </w:t>
      </w:r>
      <w:r>
        <w:rPr>
          <w:spacing w:val="-88"/>
        </w:rPr>
      </w:r>
      <w:r>
        <w:rPr/>
        <w:t>果和现金流量。</w:t>
      </w:r>
    </w:p>
    <w:p>
      <w:pPr>
        <w:spacing w:line="240" w:lineRule="auto" w:before="1"/>
        <w:rPr>
          <w:rFonts w:ascii="宋体" w:hAnsi="宋体" w:cs="宋体" w:eastAsia="宋体" w:hint="default"/>
          <w:sz w:val="31"/>
          <w:szCs w:val="31"/>
        </w:rPr>
      </w:pPr>
    </w:p>
    <w:p>
      <w:pPr>
        <w:pStyle w:val="Heading3"/>
        <w:tabs>
          <w:tab w:pos="4944" w:val="left" w:leader="none"/>
          <w:tab w:pos="7344" w:val="left" w:leader="none"/>
        </w:tabs>
        <w:spacing w:line="357" w:lineRule="auto" w:before="0"/>
        <w:ind w:left="1584" w:right="1559" w:hanging="600"/>
        <w:jc w:val="left"/>
      </w:pPr>
      <w:r>
        <w:rPr/>
        <w:t>天健正信会计师事务所</w:t>
        <w:tab/>
        <w:t>中国注册会计师：龙文虎 有限公司</w:t>
        <w:tab/>
        <w:t>中国注册会计师：张</w:t>
        <w:tab/>
        <w:t>凯</w:t>
      </w:r>
    </w:p>
    <w:p>
      <w:pPr>
        <w:pStyle w:val="Heading3"/>
        <w:tabs>
          <w:tab w:pos="4764" w:val="left" w:leader="none"/>
        </w:tabs>
        <w:spacing w:line="240" w:lineRule="auto"/>
        <w:ind w:left="1464" w:right="95"/>
        <w:jc w:val="left"/>
      </w:pPr>
      <w:r>
        <w:rPr/>
        <w:t>中国·北京</w:t>
        <w:tab/>
      </w:r>
      <w:r>
        <w:rPr>
          <w:spacing w:val="15"/>
        </w:rPr>
        <w:t>报告日期：2010年3月</w:t>
      </w:r>
      <w:r>
        <w:rPr>
          <w:spacing w:val="-60"/>
        </w:rPr>
        <w:t> </w:t>
      </w:r>
      <w:r>
        <w:rPr>
          <w:spacing w:val="20"/>
        </w:rPr>
        <w:t>18日</w:t>
      </w:r>
      <w:r>
        <w:rPr>
          <w:spacing w:val="-60"/>
        </w:rPr>
        <w:t> </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76"/>
        <w:ind w:left="4455" w:right="4468" w:firstLine="0"/>
        <w:jc w:val="center"/>
        <w:rPr>
          <w:rFonts w:ascii="Times New Roman" w:hAnsi="Times New Roman" w:cs="Times New Roman" w:eastAsia="Times New Roman" w:hint="default"/>
          <w:sz w:val="18"/>
          <w:szCs w:val="18"/>
        </w:rPr>
      </w:pPr>
      <w:r>
        <w:rPr>
          <w:rFonts w:ascii="Times New Roman"/>
          <w:sz w:val="18"/>
        </w:rPr>
        <w:t>36</w:t>
      </w:r>
    </w:p>
    <w:p>
      <w:pPr>
        <w:spacing w:after="0"/>
        <w:jc w:val="center"/>
        <w:rPr>
          <w:rFonts w:ascii="Times New Roman" w:hAnsi="Times New Roman" w:cs="Times New Roman" w:eastAsia="Times New Roman" w:hint="default"/>
          <w:sz w:val="18"/>
          <w:szCs w:val="18"/>
        </w:rPr>
        <w:sectPr>
          <w:type w:val="continuous"/>
          <w:pgSz w:w="11910" w:h="16840"/>
          <w:pgMar w:top="780" w:bottom="280" w:left="1160" w:right="1600"/>
        </w:sectPr>
      </w:pPr>
    </w:p>
    <w:p>
      <w:pPr>
        <w:spacing w:line="240" w:lineRule="auto" w:before="11"/>
        <w:rPr>
          <w:rFonts w:ascii="Times New Roman" w:hAnsi="Times New Roman" w:cs="Times New Roman" w:eastAsia="Times New Roman" w:hint="default"/>
          <w:sz w:val="26"/>
          <w:szCs w:val="26"/>
        </w:rPr>
      </w:pPr>
    </w:p>
    <w:p>
      <w:pPr>
        <w:pStyle w:val="Heading4"/>
        <w:tabs>
          <w:tab w:pos="6963" w:val="left" w:leader="none"/>
        </w:tabs>
        <w:spacing w:line="240" w:lineRule="auto"/>
        <w:ind w:left="3650" w:right="478"/>
        <w:jc w:val="left"/>
        <w:rPr>
          <w:b w:val="0"/>
          <w:bCs w:val="0"/>
        </w:rPr>
      </w:pPr>
      <w:r>
        <w:rPr/>
        <w:pict>
          <v:shape style="position:absolute;margin-left:87.900002pt;margin-top:-11.486023pt;width:95.033pt;height:25.5pt;mso-position-horizontal-relative:page;mso-position-vertical-relative:paragraph;z-index:2968"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3"/>
        <w:rPr>
          <w:rFonts w:ascii="黑体" w:hAnsi="黑体" w:cs="黑体" w:eastAsia="黑体" w:hint="default"/>
          <w:b/>
          <w:bCs/>
          <w:sz w:val="24"/>
          <w:szCs w:val="24"/>
        </w:rPr>
      </w:pPr>
    </w:p>
    <w:p>
      <w:pPr>
        <w:spacing w:before="26"/>
        <w:ind w:left="0" w:right="483" w:firstLine="0"/>
        <w:jc w:val="center"/>
        <w:rPr>
          <w:rFonts w:ascii="宋体" w:hAnsi="宋体" w:cs="宋体" w:eastAsia="宋体" w:hint="default"/>
          <w:sz w:val="24"/>
          <w:szCs w:val="24"/>
        </w:rPr>
      </w:pPr>
      <w:r>
        <w:rPr>
          <w:rFonts w:ascii="宋体" w:hAnsi="宋体" w:cs="宋体" w:eastAsia="宋体" w:hint="default"/>
          <w:b/>
          <w:bCs/>
          <w:sz w:val="24"/>
          <w:szCs w:val="24"/>
        </w:rPr>
        <w:t>资产负债表</w:t>
      </w:r>
      <w:r>
        <w:rPr>
          <w:rFonts w:ascii="宋体" w:hAnsi="宋体" w:cs="宋体" w:eastAsia="宋体" w:hint="default"/>
          <w:sz w:val="24"/>
          <w:szCs w:val="24"/>
        </w:rPr>
      </w:r>
    </w:p>
    <w:p>
      <w:pPr>
        <w:spacing w:line="240" w:lineRule="auto" w:before="7"/>
        <w:rPr>
          <w:rFonts w:ascii="宋体" w:hAnsi="宋体" w:cs="宋体" w:eastAsia="宋体" w:hint="default"/>
          <w:b/>
          <w:bCs/>
          <w:sz w:val="18"/>
          <w:szCs w:val="18"/>
        </w:rPr>
      </w:pPr>
    </w:p>
    <w:p>
      <w:pPr>
        <w:pStyle w:val="BodyText"/>
        <w:tabs>
          <w:tab w:pos="4304" w:val="left" w:leader="none"/>
          <w:tab w:pos="6561" w:val="left" w:leader="none"/>
        </w:tabs>
        <w:spacing w:line="240" w:lineRule="auto" w:before="0"/>
        <w:ind w:left="0" w:right="560"/>
        <w:jc w:val="center"/>
      </w:pPr>
      <w:r>
        <w:rPr/>
        <w:t>编制单位：重庆华立药业股份有限公司</w:t>
        <w:tab/>
        <w:t>2009</w:t>
      </w:r>
      <w:r>
        <w:rPr>
          <w:spacing w:val="-53"/>
        </w:rPr>
        <w:t> </w:t>
      </w:r>
      <w:r>
        <w:rPr/>
        <w:t>年</w:t>
      </w:r>
      <w:r>
        <w:rPr>
          <w:spacing w:val="-53"/>
        </w:rPr>
        <w:t> </w:t>
      </w:r>
      <w:r>
        <w:rPr>
          <w:spacing w:val="-1"/>
        </w:rPr>
        <w:t>1</w:t>
      </w:r>
      <w:r>
        <w:rPr/>
        <w:t>2</w:t>
      </w:r>
      <w:r>
        <w:rPr>
          <w:spacing w:val="-53"/>
        </w:rPr>
        <w:t> </w:t>
      </w:r>
      <w:r>
        <w:rPr/>
        <w:t>月</w:t>
      </w:r>
      <w:r>
        <w:rPr>
          <w:spacing w:val="-53"/>
        </w:rPr>
        <w:t> </w:t>
      </w:r>
      <w:r>
        <w:rPr>
          <w:spacing w:val="-1"/>
        </w:rPr>
        <w:t>3</w:t>
      </w:r>
      <w:r>
        <w:rPr/>
        <w:t>1</w:t>
      </w:r>
      <w:r>
        <w:rPr>
          <w:spacing w:val="-52"/>
        </w:rPr>
        <w:t> </w:t>
      </w:r>
      <w:r>
        <w:rPr/>
        <w:t>日</w:t>
        <w:tab/>
      </w:r>
      <w:r>
        <w:rPr>
          <w:spacing w:val="-1"/>
        </w:rPr>
        <w:t>单位</w:t>
      </w:r>
      <w:r>
        <w:rPr>
          <w:spacing w:val="-105"/>
        </w:rPr>
        <w:t>：</w:t>
      </w:r>
      <w:r>
        <w:rPr/>
        <w:t>（</w:t>
      </w:r>
      <w:r>
        <w:rPr>
          <w:spacing w:val="-2"/>
        </w:rPr>
        <w:t>人</w:t>
      </w:r>
      <w:r>
        <w:rPr/>
        <w:t>民币）元</w:t>
      </w:r>
    </w:p>
    <w:p>
      <w:pPr>
        <w:spacing w:line="240" w:lineRule="auto" w:before="6"/>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2836"/>
        <w:gridCol w:w="1680"/>
        <w:gridCol w:w="1574"/>
        <w:gridCol w:w="1680"/>
        <w:gridCol w:w="1576"/>
      </w:tblGrid>
      <w:tr>
        <w:trPr>
          <w:trHeight w:val="151" w:hRule="exact"/>
        </w:trPr>
        <w:tc>
          <w:tcPr>
            <w:tcW w:w="2836" w:type="dxa"/>
            <w:tcBorders>
              <w:top w:val="single" w:sz="4" w:space="0" w:color="000000"/>
              <w:left w:val="single" w:sz="4" w:space="0" w:color="000000"/>
              <w:bottom w:val="nil" w:sz="6" w:space="0" w:color="auto"/>
              <w:right w:val="single" w:sz="4" w:space="0" w:color="000000"/>
            </w:tcBorders>
            <w:shd w:val="clear" w:color="auto" w:fill="DCDCDC"/>
          </w:tcPr>
          <w:p>
            <w:pPr/>
          </w:p>
        </w:tc>
        <w:tc>
          <w:tcPr>
            <w:tcW w:w="325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5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21" w:hRule="exact"/>
        </w:trPr>
        <w:tc>
          <w:tcPr>
            <w:tcW w:w="2836"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54" w:type="dxa"/>
            <w:gridSpan w:val="2"/>
            <w:vMerge/>
            <w:tcBorders>
              <w:left w:val="single" w:sz="4" w:space="0" w:color="000000"/>
              <w:bottom w:val="single" w:sz="4" w:space="0" w:color="000000"/>
              <w:right w:val="single" w:sz="4" w:space="0" w:color="000000"/>
            </w:tcBorders>
            <w:shd w:val="clear" w:color="auto" w:fill="DCDCDC"/>
          </w:tcPr>
          <w:p>
            <w:pPr/>
          </w:p>
        </w:tc>
        <w:tc>
          <w:tcPr>
            <w:tcW w:w="3256" w:type="dxa"/>
            <w:gridSpan w:val="2"/>
            <w:vMerge/>
            <w:tcBorders>
              <w:left w:val="single" w:sz="4" w:space="0" w:color="000000"/>
              <w:bottom w:val="single" w:sz="4" w:space="0" w:color="000000"/>
              <w:right w:val="single" w:sz="4" w:space="0" w:color="000000"/>
            </w:tcBorders>
            <w:shd w:val="clear" w:color="auto" w:fill="DCDCDC"/>
          </w:tcPr>
          <w:p>
            <w:pPr/>
          </w:p>
        </w:tc>
      </w:tr>
      <w:tr>
        <w:trPr>
          <w:trHeight w:val="113" w:hRule="exact"/>
        </w:trPr>
        <w:tc>
          <w:tcPr>
            <w:tcW w:w="2836" w:type="dxa"/>
            <w:vMerge/>
            <w:tcBorders>
              <w:left w:val="single" w:sz="4" w:space="0" w:color="000000"/>
              <w:bottom w:val="nil" w:sz="6" w:space="0" w:color="auto"/>
              <w:right w:val="single" w:sz="4" w:space="0" w:color="000000"/>
            </w:tcBorders>
            <w:shd w:val="clear" w:color="auto" w:fill="DCDCDC"/>
          </w:tcPr>
          <w:p>
            <w:pPr/>
          </w:p>
        </w:tc>
        <w:tc>
          <w:tcPr>
            <w:tcW w:w="1680" w:type="dxa"/>
            <w:vMerge w:val="restart"/>
            <w:tcBorders>
              <w:top w:val="single" w:sz="4" w:space="0" w:color="000000"/>
              <w:left w:val="single" w:sz="4" w:space="0" w:color="000000"/>
              <w:right w:val="single" w:sz="4" w:space="0" w:color="000000"/>
            </w:tcBorders>
            <w:shd w:val="clear" w:color="auto" w:fill="DCDCDC"/>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74" w:type="dxa"/>
            <w:vMerge w:val="restart"/>
            <w:tcBorders>
              <w:top w:val="single" w:sz="4" w:space="0" w:color="000000"/>
              <w:left w:val="single" w:sz="4" w:space="0" w:color="000000"/>
              <w:right w:val="single" w:sz="4" w:space="0" w:color="000000"/>
            </w:tcBorders>
            <w:shd w:val="clear" w:color="auto" w:fill="DCDCDC"/>
          </w:tcPr>
          <w:p>
            <w:pPr>
              <w:pStyle w:val="TableParagraph"/>
              <w:spacing w:line="226" w:lineRule="exact"/>
              <w:ind w:left="51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680" w:type="dxa"/>
            <w:vMerge w:val="restart"/>
            <w:tcBorders>
              <w:top w:val="single" w:sz="4" w:space="0" w:color="000000"/>
              <w:left w:val="single" w:sz="4" w:space="0" w:color="000000"/>
              <w:right w:val="single" w:sz="4" w:space="0" w:color="000000"/>
            </w:tcBorders>
            <w:shd w:val="clear" w:color="auto" w:fill="DCDCDC"/>
          </w:tcPr>
          <w:p>
            <w:pPr>
              <w:pStyle w:val="TableParagraph"/>
              <w:spacing w:line="226"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76" w:type="dxa"/>
            <w:vMerge w:val="restart"/>
            <w:tcBorders>
              <w:top w:val="single" w:sz="4" w:space="0" w:color="000000"/>
              <w:left w:val="single" w:sz="4" w:space="0" w:color="000000"/>
              <w:right w:val="single" w:sz="4" w:space="0" w:color="000000"/>
            </w:tcBorders>
            <w:shd w:val="clear" w:color="auto" w:fill="DCDCDC"/>
          </w:tcPr>
          <w:p>
            <w:pPr>
              <w:pStyle w:val="TableParagraph"/>
              <w:spacing w:line="226" w:lineRule="exact"/>
              <w:ind w:left="512"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181" w:hRule="exact"/>
        </w:trPr>
        <w:tc>
          <w:tcPr>
            <w:tcW w:w="2836"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c>
          <w:tcPr>
            <w:tcW w:w="1574" w:type="dxa"/>
            <w:vMerge/>
            <w:tcBorders>
              <w:left w:val="single" w:sz="4" w:space="0" w:color="000000"/>
              <w:bottom w:val="single" w:sz="4" w:space="0" w:color="000000"/>
              <w:right w:val="single" w:sz="4" w:space="0" w:color="000000"/>
            </w:tcBorders>
            <w:shd w:val="clear" w:color="auto" w:fill="DCDCDC"/>
          </w:tcPr>
          <w:p>
            <w:pPr/>
          </w:p>
        </w:tc>
        <w:tc>
          <w:tcPr>
            <w:tcW w:w="1680" w:type="dxa"/>
            <w:vMerge/>
            <w:tcBorders>
              <w:left w:val="single" w:sz="4" w:space="0" w:color="000000"/>
              <w:bottom w:val="single" w:sz="4" w:space="0" w:color="000000"/>
              <w:right w:val="single" w:sz="4" w:space="0" w:color="000000"/>
            </w:tcBorders>
            <w:shd w:val="clear" w:color="auto" w:fill="DCDCDC"/>
          </w:tcPr>
          <w:p>
            <w:pPr/>
          </w:p>
        </w:tc>
        <w:tc>
          <w:tcPr>
            <w:tcW w:w="1576" w:type="dxa"/>
            <w:vMerge/>
            <w:tcBorders>
              <w:left w:val="single" w:sz="4" w:space="0" w:color="000000"/>
              <w:bottom w:val="single" w:sz="4" w:space="0" w:color="000000"/>
              <w:right w:val="single" w:sz="4" w:space="0" w:color="000000"/>
            </w:tcBorders>
            <w:shd w:val="clear" w:color="auto" w:fill="DCDCDC"/>
          </w:tcPr>
          <w:p>
            <w:pPr/>
          </w:p>
        </w:tc>
      </w:tr>
      <w:tr>
        <w:trPr>
          <w:trHeight w:val="26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80" w:type="dxa"/>
            <w:tcBorders>
              <w:top w:val="single" w:sz="9" w:space="0" w:color="DCDCDC"/>
              <w:left w:val="single" w:sz="4" w:space="0" w:color="000000"/>
              <w:bottom w:val="single" w:sz="4" w:space="0" w:color="000000"/>
              <w:right w:val="single" w:sz="4" w:space="0" w:color="000000"/>
            </w:tcBorders>
          </w:tcPr>
          <w:p>
            <w:pPr>
              <w:pStyle w:val="TableParagraph"/>
              <w:spacing w:line="230" w:lineRule="exact"/>
              <w:ind w:right="22"/>
              <w:jc w:val="right"/>
              <w:rPr>
                <w:rFonts w:ascii="宋体" w:hAnsi="宋体" w:cs="宋体" w:eastAsia="宋体" w:hint="default"/>
                <w:sz w:val="18"/>
                <w:szCs w:val="18"/>
              </w:rPr>
            </w:pPr>
            <w:r>
              <w:rPr>
                <w:rFonts w:ascii="宋体"/>
                <w:sz w:val="18"/>
              </w:rPr>
              <w:t>434,578,888.77</w:t>
            </w:r>
          </w:p>
        </w:tc>
        <w:tc>
          <w:tcPr>
            <w:tcW w:w="1574" w:type="dxa"/>
            <w:tcBorders>
              <w:top w:val="single" w:sz="9" w:space="0" w:color="DCDCDC"/>
              <w:left w:val="single" w:sz="4" w:space="0" w:color="000000"/>
              <w:bottom w:val="single" w:sz="4" w:space="0" w:color="000000"/>
              <w:right w:val="single" w:sz="4" w:space="0" w:color="000000"/>
            </w:tcBorders>
          </w:tcPr>
          <w:p>
            <w:pPr>
              <w:pStyle w:val="TableParagraph"/>
              <w:spacing w:line="230" w:lineRule="exact"/>
              <w:ind w:right="20"/>
              <w:jc w:val="right"/>
              <w:rPr>
                <w:rFonts w:ascii="宋体" w:hAnsi="宋体" w:cs="宋体" w:eastAsia="宋体" w:hint="default"/>
                <w:sz w:val="18"/>
                <w:szCs w:val="18"/>
              </w:rPr>
            </w:pPr>
            <w:r>
              <w:rPr>
                <w:rFonts w:ascii="宋体"/>
                <w:sz w:val="18"/>
              </w:rPr>
              <w:t>111,007,729.83</w:t>
            </w:r>
          </w:p>
        </w:tc>
        <w:tc>
          <w:tcPr>
            <w:tcW w:w="1680" w:type="dxa"/>
            <w:tcBorders>
              <w:top w:val="single" w:sz="9" w:space="0" w:color="DCDCDC"/>
              <w:left w:val="single" w:sz="4" w:space="0" w:color="000000"/>
              <w:bottom w:val="single" w:sz="4" w:space="0" w:color="000000"/>
              <w:right w:val="single" w:sz="4" w:space="0" w:color="000000"/>
            </w:tcBorders>
          </w:tcPr>
          <w:p>
            <w:pPr>
              <w:pStyle w:val="TableParagraph"/>
              <w:spacing w:line="230" w:lineRule="exact"/>
              <w:ind w:right="22"/>
              <w:jc w:val="right"/>
              <w:rPr>
                <w:rFonts w:ascii="宋体" w:hAnsi="宋体" w:cs="宋体" w:eastAsia="宋体" w:hint="default"/>
                <w:sz w:val="18"/>
                <w:szCs w:val="18"/>
              </w:rPr>
            </w:pPr>
            <w:r>
              <w:rPr>
                <w:rFonts w:ascii="宋体"/>
                <w:sz w:val="18"/>
              </w:rPr>
              <w:t>345,855,591.00</w:t>
            </w:r>
          </w:p>
        </w:tc>
        <w:tc>
          <w:tcPr>
            <w:tcW w:w="1576" w:type="dxa"/>
            <w:tcBorders>
              <w:top w:val="single" w:sz="9" w:space="0" w:color="DCDCDC"/>
              <w:left w:val="single" w:sz="4" w:space="0" w:color="000000"/>
              <w:bottom w:val="single" w:sz="4" w:space="0" w:color="000000"/>
              <w:right w:val="single" w:sz="4" w:space="0" w:color="000000"/>
            </w:tcBorders>
          </w:tcPr>
          <w:p>
            <w:pPr>
              <w:pStyle w:val="TableParagraph"/>
              <w:spacing w:line="230" w:lineRule="exact"/>
              <w:ind w:right="22"/>
              <w:jc w:val="right"/>
              <w:rPr>
                <w:rFonts w:ascii="宋体" w:hAnsi="宋体" w:cs="宋体" w:eastAsia="宋体" w:hint="default"/>
                <w:sz w:val="18"/>
                <w:szCs w:val="18"/>
              </w:rPr>
            </w:pPr>
            <w:r>
              <w:rPr>
                <w:rFonts w:ascii="宋体"/>
                <w:sz w:val="18"/>
              </w:rPr>
              <w:t>33,997,372.43</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12,328,050.40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500,000.00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26,342,184.39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320,000.00</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366,443,760.03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759,395.70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693,719,930.22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3,208,488.96</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55,104,368.53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12,847,493.30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74,311,617.67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15,026,081.24</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13,650,000.00</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118,776,362.68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129,866,037.50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136,262,574.05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253,609,493.21</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195,995,712.99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1,471,792.19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277,981,024.58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1,094,359.22</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680" w:type="dxa"/>
            <w:tcBorders>
              <w:top w:val="single" w:sz="4" w:space="0" w:color="000000"/>
              <w:left w:val="single" w:sz="4" w:space="0" w:color="000000"/>
              <w:bottom w:val="single" w:sz="9" w:space="0" w:color="DCDCDC"/>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1,183,227,143.40</w:t>
            </w:r>
          </w:p>
        </w:tc>
        <w:tc>
          <w:tcPr>
            <w:tcW w:w="1574" w:type="dxa"/>
            <w:tcBorders>
              <w:top w:val="single" w:sz="4" w:space="0" w:color="000000"/>
              <w:left w:val="single" w:sz="4" w:space="0" w:color="000000"/>
              <w:bottom w:val="single" w:sz="9" w:space="0" w:color="DCDCDC"/>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256,452,448.52</w:t>
            </w:r>
          </w:p>
        </w:tc>
        <w:tc>
          <w:tcPr>
            <w:tcW w:w="1680" w:type="dxa"/>
            <w:tcBorders>
              <w:top w:val="single" w:sz="4" w:space="0" w:color="000000"/>
              <w:left w:val="single" w:sz="4" w:space="0" w:color="000000"/>
              <w:bottom w:val="single" w:sz="9" w:space="0" w:color="DCDCDC"/>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1,554,472,921.91</w:t>
            </w:r>
          </w:p>
        </w:tc>
        <w:tc>
          <w:tcPr>
            <w:tcW w:w="1576" w:type="dxa"/>
            <w:tcBorders>
              <w:top w:val="single" w:sz="4" w:space="0" w:color="000000"/>
              <w:left w:val="single" w:sz="4" w:space="0" w:color="000000"/>
              <w:bottom w:val="single" w:sz="9" w:space="0" w:color="DCDCDC"/>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320,905,795.06</w:t>
            </w:r>
          </w:p>
        </w:tc>
      </w:tr>
      <w:tr>
        <w:trPr>
          <w:trHeight w:val="26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ind w:left="20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680" w:type="dxa"/>
            <w:tcBorders>
              <w:top w:val="single" w:sz="11" w:space="0" w:color="DCDCDC"/>
              <w:left w:val="single" w:sz="4" w:space="0" w:color="000000"/>
              <w:bottom w:val="single" w:sz="4" w:space="0" w:color="000000"/>
              <w:right w:val="single" w:sz="4" w:space="0" w:color="000000"/>
            </w:tcBorders>
          </w:tcPr>
          <w:p>
            <w:pPr/>
          </w:p>
        </w:tc>
        <w:tc>
          <w:tcPr>
            <w:tcW w:w="1574" w:type="dxa"/>
            <w:tcBorders>
              <w:top w:val="single" w:sz="11" w:space="0" w:color="DCDCDC"/>
              <w:left w:val="single" w:sz="4" w:space="0" w:color="000000"/>
              <w:bottom w:val="single" w:sz="4" w:space="0" w:color="000000"/>
              <w:right w:val="single" w:sz="4" w:space="0" w:color="000000"/>
            </w:tcBorders>
          </w:tcPr>
          <w:p>
            <w:pPr/>
          </w:p>
        </w:tc>
        <w:tc>
          <w:tcPr>
            <w:tcW w:w="1680" w:type="dxa"/>
            <w:tcBorders>
              <w:top w:val="single" w:sz="11" w:space="0" w:color="DCDCDC"/>
              <w:left w:val="single" w:sz="4" w:space="0" w:color="000000"/>
              <w:bottom w:val="single" w:sz="4" w:space="0" w:color="000000"/>
              <w:right w:val="single" w:sz="4" w:space="0" w:color="000000"/>
            </w:tcBorders>
          </w:tcPr>
          <w:p>
            <w:pPr/>
          </w:p>
        </w:tc>
        <w:tc>
          <w:tcPr>
            <w:tcW w:w="1576" w:type="dxa"/>
            <w:tcBorders>
              <w:top w:val="single" w:sz="11" w:space="0" w:color="DCDCDC"/>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29,565,687.14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455,529,037.35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46,849,726.44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367,797,960.77</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610,885,396.12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39,319,065.57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664,943,436.21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41,276,443.65</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28,026,660.16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24,999,725.77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174,674,903.05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29,576,313.19</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7,684,593.58</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15,305,236.33</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199,943,663.23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29,864,426.25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218,910,942.49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30,308,062.29</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28,285,851.25</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80,483,398.80</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6,512,023.12</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7,239,058.08</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11,624,459.68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3,596,611.04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9,994,849.00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2,806,183.60</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922,528,334.28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553,308,865.98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1,218,401,550.40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471,764,963.50</w:t>
            </w:r>
          </w:p>
        </w:tc>
      </w:tr>
      <w:tr>
        <w:trPr>
          <w:trHeight w:val="295"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680" w:type="dxa"/>
            <w:tcBorders>
              <w:top w:val="single" w:sz="4" w:space="0" w:color="000000"/>
              <w:left w:val="single" w:sz="4" w:space="0" w:color="000000"/>
              <w:bottom w:val="single" w:sz="9" w:space="0" w:color="DCDCDC"/>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2,105,755,477.68</w:t>
            </w:r>
          </w:p>
        </w:tc>
        <w:tc>
          <w:tcPr>
            <w:tcW w:w="1574" w:type="dxa"/>
            <w:tcBorders>
              <w:top w:val="single" w:sz="4" w:space="0" w:color="000000"/>
              <w:left w:val="single" w:sz="4" w:space="0" w:color="000000"/>
              <w:bottom w:val="single" w:sz="9" w:space="0" w:color="DCDCDC"/>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809,761,314.50</w:t>
            </w:r>
          </w:p>
        </w:tc>
        <w:tc>
          <w:tcPr>
            <w:tcW w:w="1680" w:type="dxa"/>
            <w:tcBorders>
              <w:top w:val="single" w:sz="4" w:space="0" w:color="000000"/>
              <w:left w:val="single" w:sz="4" w:space="0" w:color="000000"/>
              <w:bottom w:val="single" w:sz="9" w:space="0" w:color="DCDCDC"/>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2,772,874,472.31</w:t>
            </w:r>
          </w:p>
        </w:tc>
        <w:tc>
          <w:tcPr>
            <w:tcW w:w="1576" w:type="dxa"/>
            <w:tcBorders>
              <w:top w:val="single" w:sz="4" w:space="0" w:color="000000"/>
              <w:left w:val="single" w:sz="4" w:space="0" w:color="000000"/>
              <w:bottom w:val="single" w:sz="9" w:space="0" w:color="DCDCDC"/>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792,670,758.56</w:t>
            </w:r>
          </w:p>
        </w:tc>
      </w:tr>
      <w:tr>
        <w:trPr>
          <w:trHeight w:val="249"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5" w:lineRule="exact"/>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76"/>
        <w:ind w:left="0" w:right="482" w:firstLine="0"/>
        <w:jc w:val="center"/>
        <w:rPr>
          <w:rFonts w:ascii="Times New Roman" w:hAnsi="Times New Roman" w:cs="Times New Roman" w:eastAsia="Times New Roman" w:hint="default"/>
          <w:sz w:val="18"/>
          <w:szCs w:val="18"/>
        </w:rPr>
      </w:pPr>
      <w:r>
        <w:rPr>
          <w:rFonts w:ascii="Times New Roman"/>
          <w:sz w:val="18"/>
        </w:rPr>
        <w:t>37</w:t>
      </w:r>
    </w:p>
    <w:p>
      <w:pPr>
        <w:spacing w:after="0"/>
        <w:jc w:val="center"/>
        <w:rPr>
          <w:rFonts w:ascii="Times New Roman" w:hAnsi="Times New Roman" w:cs="Times New Roman" w:eastAsia="Times New Roman" w:hint="default"/>
          <w:sz w:val="18"/>
          <w:szCs w:val="18"/>
        </w:rPr>
        <w:sectPr>
          <w:pgSz w:w="11910" w:h="16840"/>
          <w:pgMar w:top="640" w:bottom="280" w:left="1620" w:right="680"/>
        </w:sectPr>
      </w:pPr>
    </w:p>
    <w:p>
      <w:pPr>
        <w:spacing w:line="240" w:lineRule="auto" w:before="11"/>
        <w:rPr>
          <w:rFonts w:ascii="Times New Roman" w:hAnsi="Times New Roman" w:cs="Times New Roman" w:eastAsia="Times New Roman" w:hint="default"/>
          <w:sz w:val="26"/>
          <w:szCs w:val="26"/>
        </w:rPr>
      </w:pPr>
    </w:p>
    <w:p>
      <w:pPr>
        <w:pStyle w:val="Heading4"/>
        <w:tabs>
          <w:tab w:pos="6969" w:val="left" w:leader="none"/>
        </w:tabs>
        <w:spacing w:line="240" w:lineRule="auto"/>
        <w:ind w:left="3656" w:right="478"/>
        <w:jc w:val="left"/>
        <w:rPr>
          <w:b w:val="0"/>
          <w:bCs w:val="0"/>
        </w:rPr>
      </w:pPr>
      <w:r>
        <w:rPr/>
        <w:pict>
          <v:shape style="position:absolute;margin-left:65.160004pt;margin-top:-11.486023pt;width:95.052pt;height:25.5pt;mso-position-horizontal-relative:page;mso-position-vertical-relative:paragraph;z-index:3016"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7"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1"/>
        <w:rPr>
          <w:rFonts w:ascii="黑体" w:hAnsi="黑体" w:cs="黑体" w:eastAsia="黑体" w:hint="default"/>
          <w:b/>
          <w:bCs/>
          <w:sz w:val="10"/>
          <w:szCs w:val="10"/>
        </w:rPr>
      </w:pPr>
    </w:p>
    <w:tbl>
      <w:tblPr>
        <w:tblW w:w="0" w:type="auto"/>
        <w:jc w:val="left"/>
        <w:tblInd w:w="139" w:type="dxa"/>
        <w:tblLayout w:type="fixed"/>
        <w:tblCellMar>
          <w:top w:w="0" w:type="dxa"/>
          <w:left w:w="0" w:type="dxa"/>
          <w:bottom w:w="0" w:type="dxa"/>
          <w:right w:w="0" w:type="dxa"/>
        </w:tblCellMar>
        <w:tblLook w:val="01E0"/>
      </w:tblPr>
      <w:tblGrid>
        <w:gridCol w:w="2836"/>
        <w:gridCol w:w="1680"/>
        <w:gridCol w:w="1574"/>
        <w:gridCol w:w="1680"/>
        <w:gridCol w:w="1576"/>
      </w:tblGrid>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453,100,000.00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179,000,000.00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688,390,000.00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180,000,000.00</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172,156,723.85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47,200,000.00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143,029,017.65</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243,512,603.13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505,031.00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399,058,710.87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1,371,327.57</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49,932,071.29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300,000.00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73,363,417.57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204,917.97</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18,229,334.56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754,461.81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19,375,609.72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731,598.82</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16,153,892.31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-2,700,976.06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10,126,788.35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-2,366,566.18</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15,941,458.33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14,656,927.53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16,095,741.13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14,852,647.53</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116,877,174.77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175,521,986.71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218,412,409.58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185,353,612.07</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122,000,000.00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17,960,000.00</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5"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680" w:type="dxa"/>
            <w:tcBorders>
              <w:top w:val="single" w:sz="4" w:space="0" w:color="000000"/>
              <w:left w:val="single" w:sz="4" w:space="0" w:color="000000"/>
              <w:bottom w:val="single" w:sz="12" w:space="0" w:color="DCDCDC"/>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1,207,903,258.24</w:t>
            </w:r>
          </w:p>
        </w:tc>
        <w:tc>
          <w:tcPr>
            <w:tcW w:w="1574" w:type="dxa"/>
            <w:tcBorders>
              <w:top w:val="single" w:sz="4" w:space="0" w:color="000000"/>
              <w:left w:val="single" w:sz="4" w:space="0" w:color="000000"/>
              <w:bottom w:val="single" w:sz="12" w:space="0" w:color="DCDCDC"/>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415,237,430.99</w:t>
            </w:r>
          </w:p>
        </w:tc>
        <w:tc>
          <w:tcPr>
            <w:tcW w:w="1680" w:type="dxa"/>
            <w:tcBorders>
              <w:top w:val="single" w:sz="4" w:space="0" w:color="000000"/>
              <w:left w:val="single" w:sz="4" w:space="0" w:color="000000"/>
              <w:bottom w:val="single" w:sz="8" w:space="0" w:color="DCDCDC"/>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1,585,811,694.87</w:t>
            </w:r>
          </w:p>
        </w:tc>
        <w:tc>
          <w:tcPr>
            <w:tcW w:w="1576" w:type="dxa"/>
            <w:tcBorders>
              <w:top w:val="single" w:sz="4" w:space="0" w:color="000000"/>
              <w:left w:val="single" w:sz="4" w:space="0" w:color="000000"/>
              <w:bottom w:val="single" w:sz="12" w:space="0" w:color="DCDCDC"/>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380,147,537.78</w:t>
            </w:r>
          </w:p>
        </w:tc>
      </w:tr>
      <w:tr>
        <w:trPr>
          <w:trHeight w:val="27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80" w:type="dxa"/>
            <w:tcBorders>
              <w:top w:val="single" w:sz="12" w:space="0" w:color="DCDCDC"/>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113,561,711.15</w:t>
            </w:r>
          </w:p>
        </w:tc>
        <w:tc>
          <w:tcPr>
            <w:tcW w:w="1574" w:type="dxa"/>
            <w:tcBorders>
              <w:top w:val="single" w:sz="12" w:space="0" w:color="DCDCDC"/>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2,561,711.15</w:t>
            </w:r>
          </w:p>
        </w:tc>
        <w:tc>
          <w:tcPr>
            <w:tcW w:w="1680" w:type="dxa"/>
            <w:tcBorders>
              <w:top w:val="single" w:sz="12" w:space="0" w:color="DCDCDC"/>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297,102,317.43</w:t>
            </w:r>
          </w:p>
        </w:tc>
        <w:tc>
          <w:tcPr>
            <w:tcW w:w="1576" w:type="dxa"/>
            <w:tcBorders>
              <w:top w:val="single" w:sz="12" w:space="0" w:color="DCDCDC"/>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6,102,317.43</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2,929,198.43</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8,400,000.00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8,400,000.00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9,800,000.00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9,800,000.00</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121,961,711.15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10,961,711.15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309,831,515.86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15,902,317.43</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80" w:type="dxa"/>
            <w:tcBorders>
              <w:top w:val="single" w:sz="4" w:space="0" w:color="000000"/>
              <w:left w:val="single" w:sz="4" w:space="0" w:color="000000"/>
              <w:bottom w:val="single" w:sz="8" w:space="0" w:color="DCDCDC"/>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1,329,864,969.39</w:t>
            </w:r>
          </w:p>
        </w:tc>
        <w:tc>
          <w:tcPr>
            <w:tcW w:w="1574" w:type="dxa"/>
            <w:tcBorders>
              <w:top w:val="single" w:sz="4" w:space="0" w:color="000000"/>
              <w:left w:val="single" w:sz="4" w:space="0" w:color="000000"/>
              <w:bottom w:val="single" w:sz="8" w:space="0" w:color="DCDCDC"/>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426,199,142.14</w:t>
            </w:r>
          </w:p>
        </w:tc>
        <w:tc>
          <w:tcPr>
            <w:tcW w:w="1680" w:type="dxa"/>
            <w:tcBorders>
              <w:top w:val="single" w:sz="4" w:space="0" w:color="000000"/>
              <w:left w:val="single" w:sz="4" w:space="0" w:color="000000"/>
              <w:bottom w:val="single" w:sz="12" w:space="0" w:color="DCDCDC"/>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1,895,643,210.73</w:t>
            </w:r>
          </w:p>
        </w:tc>
        <w:tc>
          <w:tcPr>
            <w:tcW w:w="1576" w:type="dxa"/>
            <w:tcBorders>
              <w:top w:val="single" w:sz="4" w:space="0" w:color="000000"/>
              <w:left w:val="single" w:sz="4" w:space="0" w:color="000000"/>
              <w:bottom w:val="single" w:sz="8" w:space="0" w:color="DCDCDC"/>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396,049,855.21</w:t>
            </w:r>
          </w:p>
        </w:tc>
      </w:tr>
      <w:tr>
        <w:trPr>
          <w:trHeight w:val="27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29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680" w:type="dxa"/>
            <w:tcBorders>
              <w:top w:val="single" w:sz="8" w:space="0" w:color="DCDCDC"/>
              <w:left w:val="single" w:sz="4" w:space="0" w:color="000000"/>
              <w:bottom w:val="single" w:sz="4" w:space="0" w:color="000000"/>
              <w:right w:val="single" w:sz="4" w:space="0" w:color="000000"/>
            </w:tcBorders>
          </w:tcPr>
          <w:p>
            <w:pPr>
              <w:pStyle w:val="TableParagraph"/>
              <w:spacing w:line="230" w:lineRule="exact"/>
              <w:ind w:right="22"/>
              <w:jc w:val="right"/>
              <w:rPr>
                <w:rFonts w:ascii="宋体" w:hAnsi="宋体" w:cs="宋体" w:eastAsia="宋体" w:hint="default"/>
                <w:sz w:val="18"/>
                <w:szCs w:val="18"/>
              </w:rPr>
            </w:pPr>
            <w:r>
              <w:rPr>
                <w:rFonts w:ascii="宋体"/>
                <w:sz w:val="18"/>
              </w:rPr>
              <w:t>487,731,995.00</w:t>
            </w:r>
          </w:p>
        </w:tc>
        <w:tc>
          <w:tcPr>
            <w:tcW w:w="1574" w:type="dxa"/>
            <w:tcBorders>
              <w:top w:val="single" w:sz="8" w:space="0" w:color="DCDCDC"/>
              <w:left w:val="single" w:sz="4" w:space="0" w:color="000000"/>
              <w:bottom w:val="single" w:sz="4" w:space="0" w:color="000000"/>
              <w:right w:val="single" w:sz="4" w:space="0" w:color="000000"/>
            </w:tcBorders>
          </w:tcPr>
          <w:p>
            <w:pPr>
              <w:pStyle w:val="TableParagraph"/>
              <w:spacing w:line="230" w:lineRule="exact"/>
              <w:ind w:right="20"/>
              <w:jc w:val="right"/>
              <w:rPr>
                <w:rFonts w:ascii="宋体" w:hAnsi="宋体" w:cs="宋体" w:eastAsia="宋体" w:hint="default"/>
                <w:sz w:val="18"/>
                <w:szCs w:val="18"/>
              </w:rPr>
            </w:pPr>
            <w:r>
              <w:rPr>
                <w:rFonts w:ascii="宋体"/>
                <w:sz w:val="18"/>
              </w:rPr>
              <w:t>487,731,995.00</w:t>
            </w:r>
          </w:p>
        </w:tc>
        <w:tc>
          <w:tcPr>
            <w:tcW w:w="1680" w:type="dxa"/>
            <w:tcBorders>
              <w:top w:val="single" w:sz="8" w:space="0" w:color="DCDCDC"/>
              <w:left w:val="single" w:sz="4" w:space="0" w:color="000000"/>
              <w:bottom w:val="single" w:sz="4" w:space="0" w:color="000000"/>
              <w:right w:val="single" w:sz="4" w:space="0" w:color="000000"/>
            </w:tcBorders>
          </w:tcPr>
          <w:p>
            <w:pPr>
              <w:pStyle w:val="TableParagraph"/>
              <w:spacing w:line="230" w:lineRule="exact"/>
              <w:ind w:right="22"/>
              <w:jc w:val="right"/>
              <w:rPr>
                <w:rFonts w:ascii="宋体" w:hAnsi="宋体" w:cs="宋体" w:eastAsia="宋体" w:hint="default"/>
                <w:sz w:val="18"/>
                <w:szCs w:val="18"/>
              </w:rPr>
            </w:pPr>
            <w:r>
              <w:rPr>
                <w:rFonts w:ascii="宋体"/>
                <w:sz w:val="18"/>
              </w:rPr>
              <w:t>487,731,995.00</w:t>
            </w:r>
          </w:p>
        </w:tc>
        <w:tc>
          <w:tcPr>
            <w:tcW w:w="1576" w:type="dxa"/>
            <w:tcBorders>
              <w:top w:val="single" w:sz="8" w:space="0" w:color="DCDCDC"/>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18"/>
                <w:szCs w:val="18"/>
              </w:rPr>
            </w:pPr>
            <w:r>
              <w:rPr>
                <w:rFonts w:ascii="宋体"/>
                <w:sz w:val="18"/>
              </w:rPr>
              <w:t>487,731,995.00</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30,614,641.22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119,506,224.01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30,614,641.22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119,506,224.01</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40,657,199.52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28,791,805.68</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40,657,199.52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28,791,805.68</w:t>
            </w: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68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-68,125,440.16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-252,467,852.33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14,783,864.52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-239,409,121.34</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0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-235,152.69</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-87,276.12</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490,643,242.89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383,562,172.36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573,700,424.14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396,620,903.35</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285,247,265.40</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303,530,837.44</w:t>
            </w: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775,890,508.29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383,562,172.36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877,231,261.58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396,620,903.35</w:t>
            </w:r>
          </w:p>
        </w:tc>
      </w:tr>
      <w:tr>
        <w:trPr>
          <w:trHeight w:val="284" w:hRule="exact"/>
        </w:trPr>
        <w:tc>
          <w:tcPr>
            <w:tcW w:w="28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6" w:lineRule="exact"/>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2,105,755,477.68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0"/>
              <w:jc w:val="right"/>
              <w:rPr>
                <w:rFonts w:ascii="宋体" w:hAnsi="宋体" w:cs="宋体" w:eastAsia="宋体" w:hint="default"/>
                <w:sz w:val="18"/>
                <w:szCs w:val="18"/>
              </w:rPr>
            </w:pPr>
            <w:r>
              <w:rPr>
                <w:rFonts w:ascii="宋体"/>
                <w:sz w:val="18"/>
              </w:rPr>
              <w:t>809,761,314.50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2"/>
              <w:jc w:val="right"/>
              <w:rPr>
                <w:rFonts w:ascii="宋体" w:hAnsi="宋体" w:cs="宋体" w:eastAsia="宋体" w:hint="default"/>
                <w:sz w:val="18"/>
                <w:szCs w:val="18"/>
              </w:rPr>
            </w:pPr>
            <w:r>
              <w:rPr>
                <w:rFonts w:ascii="宋体"/>
                <w:sz w:val="18"/>
              </w:rPr>
              <w:t>2,772,874,472.31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right="23"/>
              <w:jc w:val="right"/>
              <w:rPr>
                <w:rFonts w:ascii="宋体" w:hAnsi="宋体" w:cs="宋体" w:eastAsia="宋体" w:hint="default"/>
                <w:sz w:val="18"/>
                <w:szCs w:val="18"/>
              </w:rPr>
            </w:pPr>
            <w:r>
              <w:rPr>
                <w:rFonts w:ascii="宋体"/>
                <w:sz w:val="18"/>
              </w:rPr>
              <w:t>792,670,758.56</w:t>
            </w: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9"/>
          <w:szCs w:val="19"/>
        </w:rPr>
      </w:pPr>
    </w:p>
    <w:p>
      <w:pPr>
        <w:spacing w:before="76"/>
        <w:ind w:left="0" w:right="473" w:firstLine="0"/>
        <w:jc w:val="center"/>
        <w:rPr>
          <w:rFonts w:ascii="Times New Roman" w:hAnsi="Times New Roman" w:cs="Times New Roman" w:eastAsia="Times New Roman" w:hint="default"/>
          <w:sz w:val="18"/>
          <w:szCs w:val="18"/>
        </w:rPr>
      </w:pPr>
      <w:r>
        <w:rPr>
          <w:rFonts w:ascii="Times New Roman"/>
          <w:sz w:val="18"/>
        </w:rPr>
        <w:t>38</w:t>
      </w:r>
    </w:p>
    <w:p>
      <w:pPr>
        <w:spacing w:after="0"/>
        <w:jc w:val="center"/>
        <w:rPr>
          <w:rFonts w:ascii="Times New Roman" w:hAnsi="Times New Roman" w:cs="Times New Roman" w:eastAsia="Times New Roman" w:hint="default"/>
          <w:sz w:val="18"/>
          <w:szCs w:val="18"/>
        </w:rPr>
        <w:sectPr>
          <w:pgSz w:w="11910" w:h="16840"/>
          <w:pgMar w:top="640" w:bottom="280" w:left="1160" w:right="1140"/>
        </w:sectPr>
      </w:pPr>
    </w:p>
    <w:p>
      <w:pPr>
        <w:spacing w:line="240" w:lineRule="auto" w:before="11"/>
        <w:rPr>
          <w:rFonts w:ascii="Times New Roman" w:hAnsi="Times New Roman" w:cs="Times New Roman" w:eastAsia="Times New Roman" w:hint="default"/>
          <w:sz w:val="26"/>
          <w:szCs w:val="26"/>
        </w:rPr>
      </w:pPr>
    </w:p>
    <w:p>
      <w:pPr>
        <w:pStyle w:val="Heading4"/>
        <w:tabs>
          <w:tab w:pos="6963" w:val="left" w:leader="none"/>
        </w:tabs>
        <w:spacing w:line="240" w:lineRule="auto"/>
        <w:ind w:left="3650" w:right="478"/>
        <w:jc w:val="left"/>
        <w:rPr>
          <w:b w:val="0"/>
          <w:bCs w:val="0"/>
        </w:rPr>
      </w:pPr>
      <w:r>
        <w:rPr/>
        <w:pict>
          <v:shape style="position:absolute;margin-left:87.900002pt;margin-top:-11.486023pt;width:95.033pt;height:25.5pt;mso-position-horizontal-relative:page;mso-position-vertical-relative:paragraph;z-index:3064"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10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
        <w:rPr>
          <w:rFonts w:ascii="黑体" w:hAnsi="黑体" w:cs="黑体" w:eastAsia="黑体" w:hint="default"/>
          <w:b/>
          <w:bCs/>
          <w:sz w:val="15"/>
          <w:szCs w:val="15"/>
        </w:rPr>
      </w:pPr>
    </w:p>
    <w:p>
      <w:pPr>
        <w:spacing w:before="26"/>
        <w:ind w:left="0" w:right="484" w:firstLine="0"/>
        <w:jc w:val="center"/>
        <w:rPr>
          <w:rFonts w:ascii="宋体" w:hAnsi="宋体" w:cs="宋体" w:eastAsia="宋体" w:hint="default"/>
          <w:sz w:val="24"/>
          <w:szCs w:val="24"/>
        </w:rPr>
      </w:pPr>
      <w:r>
        <w:rPr>
          <w:rFonts w:ascii="宋体" w:hAnsi="宋体" w:cs="宋体" w:eastAsia="宋体" w:hint="default"/>
          <w:b/>
          <w:bCs/>
          <w:sz w:val="24"/>
          <w:szCs w:val="24"/>
        </w:rPr>
        <w:t>利润表</w:t>
      </w:r>
      <w:r>
        <w:rPr>
          <w:rFonts w:ascii="宋体" w:hAnsi="宋体" w:cs="宋体" w:eastAsia="宋体" w:hint="default"/>
          <w:sz w:val="24"/>
          <w:szCs w:val="24"/>
        </w:rPr>
      </w:r>
    </w:p>
    <w:p>
      <w:pPr>
        <w:pStyle w:val="BodyText"/>
        <w:tabs>
          <w:tab w:pos="4861" w:val="left" w:leader="none"/>
          <w:tab w:pos="7223" w:val="left" w:leader="none"/>
        </w:tabs>
        <w:spacing w:line="240" w:lineRule="auto" w:before="123"/>
        <w:ind w:left="558" w:right="478"/>
        <w:jc w:val="left"/>
      </w:pPr>
      <w:r>
        <w:rPr>
          <w:spacing w:val="-1"/>
        </w:rPr>
        <w:t>编制单位：重庆华立药业股份有限公</w:t>
      </w:r>
      <w:r>
        <w:rPr/>
        <w:t>司</w:t>
        <w:tab/>
      </w:r>
      <w:r>
        <w:rPr>
          <w:spacing w:val="-1"/>
        </w:rPr>
        <w:t>200</w:t>
      </w:r>
      <w:r>
        <w:rPr/>
        <w:t>9</w:t>
      </w:r>
      <w:r>
        <w:rPr>
          <w:spacing w:val="-53"/>
        </w:rPr>
        <w:t> </w:t>
      </w:r>
      <w:r>
        <w:rPr/>
        <w:t>年</w:t>
      </w:r>
      <w:r>
        <w:rPr>
          <w:spacing w:val="-53"/>
        </w:rPr>
        <w:t> </w:t>
      </w:r>
      <w:r>
        <w:rPr>
          <w:spacing w:val="-1"/>
        </w:rPr>
        <w:t>1</w:t>
      </w:r>
      <w:r>
        <w:rPr>
          <w:spacing w:val="1"/>
        </w:rPr>
        <w:t>-</w:t>
      </w:r>
      <w:r>
        <w:rPr>
          <w:spacing w:val="-1"/>
        </w:rPr>
        <w:t>1</w:t>
      </w:r>
      <w:r>
        <w:rPr/>
        <w:t>2</w:t>
      </w:r>
      <w:r>
        <w:rPr>
          <w:spacing w:val="-53"/>
        </w:rPr>
        <w:t> </w:t>
      </w:r>
      <w:r>
        <w:rPr/>
        <w:t>月</w:t>
        <w:tab/>
      </w:r>
      <w:r>
        <w:rPr>
          <w:spacing w:val="-1"/>
        </w:rPr>
        <w:t>位</w:t>
      </w:r>
      <w:r>
        <w:rPr>
          <w:spacing w:val="-104"/>
        </w:rPr>
        <w:t>：</w:t>
      </w:r>
      <w:r>
        <w:rPr/>
        <w:t>（人民</w:t>
      </w:r>
      <w:r>
        <w:rPr>
          <w:spacing w:val="-2"/>
        </w:rPr>
        <w:t>币</w:t>
      </w:r>
      <w:r>
        <w:rPr/>
        <w:t>）元</w:t>
      </w:r>
    </w:p>
    <w:p>
      <w:pPr>
        <w:spacing w:line="240" w:lineRule="auto" w:before="9"/>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3244"/>
        <w:gridCol w:w="1586"/>
        <w:gridCol w:w="1470"/>
        <w:gridCol w:w="1576"/>
        <w:gridCol w:w="1470"/>
      </w:tblGrid>
      <w:tr>
        <w:trPr>
          <w:trHeight w:val="159" w:hRule="exact"/>
        </w:trPr>
        <w:tc>
          <w:tcPr>
            <w:tcW w:w="3244" w:type="dxa"/>
            <w:tcBorders>
              <w:top w:val="single" w:sz="4" w:space="0" w:color="000000"/>
              <w:left w:val="single" w:sz="4" w:space="0" w:color="000000"/>
              <w:bottom w:val="nil" w:sz="6" w:space="0" w:color="auto"/>
              <w:right w:val="single" w:sz="4" w:space="0" w:color="000000"/>
            </w:tcBorders>
            <w:shd w:val="clear" w:color="auto" w:fill="DCDCDC"/>
          </w:tcPr>
          <w:p>
            <w:pPr/>
          </w:p>
        </w:tc>
        <w:tc>
          <w:tcPr>
            <w:tcW w:w="305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18" w:lineRule="exact"/>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04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22" w:hRule="exact"/>
        </w:trPr>
        <w:tc>
          <w:tcPr>
            <w:tcW w:w="3244"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gridSpan w:val="2"/>
            <w:vMerge/>
            <w:tcBorders>
              <w:left w:val="single" w:sz="4" w:space="0" w:color="000000"/>
              <w:bottom w:val="single" w:sz="4" w:space="0" w:color="000000"/>
              <w:right w:val="single" w:sz="4" w:space="0" w:color="000000"/>
            </w:tcBorders>
            <w:shd w:val="clear" w:color="auto" w:fill="DCDCDC"/>
          </w:tcPr>
          <w:p>
            <w:pPr/>
          </w:p>
        </w:tc>
        <w:tc>
          <w:tcPr>
            <w:tcW w:w="3046" w:type="dxa"/>
            <w:gridSpan w:val="2"/>
            <w:vMerge/>
            <w:tcBorders>
              <w:left w:val="single" w:sz="4" w:space="0" w:color="000000"/>
              <w:bottom w:val="single" w:sz="4" w:space="0" w:color="000000"/>
              <w:right w:val="single" w:sz="4" w:space="0" w:color="000000"/>
            </w:tcBorders>
            <w:shd w:val="clear" w:color="auto" w:fill="DCDCDC"/>
          </w:tcPr>
          <w:p>
            <w:pPr/>
          </w:p>
        </w:tc>
      </w:tr>
      <w:tr>
        <w:trPr>
          <w:trHeight w:val="112" w:hRule="exact"/>
        </w:trPr>
        <w:tc>
          <w:tcPr>
            <w:tcW w:w="3244" w:type="dxa"/>
            <w:vMerge/>
            <w:tcBorders>
              <w:left w:val="single" w:sz="4" w:space="0" w:color="000000"/>
              <w:bottom w:val="nil" w:sz="6" w:space="0" w:color="auto"/>
              <w:right w:val="single" w:sz="4" w:space="0" w:color="000000"/>
            </w:tcBorders>
            <w:shd w:val="clear" w:color="auto" w:fill="DCDCDC"/>
          </w:tcPr>
          <w:p>
            <w:pPr/>
          </w:p>
        </w:tc>
        <w:tc>
          <w:tcPr>
            <w:tcW w:w="1586" w:type="dxa"/>
            <w:vMerge w:val="restart"/>
            <w:tcBorders>
              <w:top w:val="single" w:sz="4" w:space="0" w:color="000000"/>
              <w:left w:val="single" w:sz="4" w:space="0" w:color="000000"/>
              <w:right w:val="single" w:sz="4" w:space="0" w:color="000000"/>
            </w:tcBorders>
            <w:shd w:val="clear" w:color="auto" w:fill="DCDCDC"/>
          </w:tcPr>
          <w:p>
            <w:pPr>
              <w:pStyle w:val="TableParagraph"/>
              <w:spacing w:line="231" w:lineRule="exact"/>
              <w:ind w:left="1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70" w:type="dxa"/>
            <w:vMerge w:val="restart"/>
            <w:tcBorders>
              <w:top w:val="single" w:sz="4" w:space="0" w:color="000000"/>
              <w:left w:val="single" w:sz="4" w:space="0" w:color="000000"/>
              <w:right w:val="single" w:sz="4" w:space="0" w:color="000000"/>
            </w:tcBorders>
            <w:shd w:val="clear" w:color="auto" w:fill="DCDCDC"/>
          </w:tcPr>
          <w:p>
            <w:pPr>
              <w:pStyle w:val="TableParagraph"/>
              <w:spacing w:line="231" w:lineRule="exact"/>
              <w:ind w:left="459"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576" w:type="dxa"/>
            <w:vMerge w:val="restart"/>
            <w:tcBorders>
              <w:top w:val="single" w:sz="4" w:space="0" w:color="000000"/>
              <w:left w:val="single" w:sz="4" w:space="0" w:color="000000"/>
              <w:right w:val="single" w:sz="4" w:space="0" w:color="000000"/>
            </w:tcBorders>
            <w:shd w:val="clear" w:color="auto" w:fill="DCDCDC"/>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470" w:type="dxa"/>
            <w:vMerge w:val="restart"/>
            <w:tcBorders>
              <w:top w:val="single" w:sz="4" w:space="0" w:color="000000"/>
              <w:left w:val="single" w:sz="4" w:space="0" w:color="000000"/>
              <w:right w:val="single" w:sz="4" w:space="0" w:color="000000"/>
            </w:tcBorders>
            <w:shd w:val="clear" w:color="auto" w:fill="DCDCDC"/>
          </w:tcPr>
          <w:p>
            <w:pPr>
              <w:pStyle w:val="TableParagraph"/>
              <w:spacing w:line="231" w:lineRule="exact"/>
              <w:ind w:left="459"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170" w:hRule="exact"/>
        </w:trPr>
        <w:tc>
          <w:tcPr>
            <w:tcW w:w="3244" w:type="dxa"/>
            <w:tcBorders>
              <w:top w:val="nil" w:sz="6" w:space="0" w:color="auto"/>
              <w:left w:val="single" w:sz="4" w:space="0" w:color="000000"/>
              <w:bottom w:val="single" w:sz="4" w:space="0" w:color="000000"/>
              <w:right w:val="single" w:sz="4" w:space="0" w:color="000000"/>
            </w:tcBorders>
            <w:shd w:val="clear" w:color="auto" w:fill="DCDCDC"/>
          </w:tcPr>
          <w:p>
            <w:pPr/>
          </w:p>
        </w:tc>
        <w:tc>
          <w:tcPr>
            <w:tcW w:w="1586" w:type="dxa"/>
            <w:vMerge/>
            <w:tcBorders>
              <w:left w:val="single" w:sz="4" w:space="0" w:color="000000"/>
              <w:bottom w:val="single" w:sz="4" w:space="0" w:color="000000"/>
              <w:right w:val="single" w:sz="4" w:space="0" w:color="000000"/>
            </w:tcBorders>
            <w:shd w:val="clear" w:color="auto" w:fill="DCDCDC"/>
          </w:tcPr>
          <w:p>
            <w:pPr/>
          </w:p>
        </w:tc>
        <w:tc>
          <w:tcPr>
            <w:tcW w:w="1470" w:type="dxa"/>
            <w:vMerge/>
            <w:tcBorders>
              <w:left w:val="single" w:sz="4" w:space="0" w:color="000000"/>
              <w:bottom w:val="single" w:sz="4" w:space="0" w:color="000000"/>
              <w:right w:val="single" w:sz="4" w:space="0" w:color="000000"/>
            </w:tcBorders>
            <w:shd w:val="clear" w:color="auto" w:fill="DCDCDC"/>
          </w:tcPr>
          <w:p>
            <w:pPr/>
          </w:p>
        </w:tc>
        <w:tc>
          <w:tcPr>
            <w:tcW w:w="1576" w:type="dxa"/>
            <w:vMerge/>
            <w:tcBorders>
              <w:left w:val="single" w:sz="4" w:space="0" w:color="000000"/>
              <w:bottom w:val="single" w:sz="4" w:space="0" w:color="000000"/>
              <w:right w:val="single" w:sz="4" w:space="0" w:color="000000"/>
            </w:tcBorders>
            <w:shd w:val="clear" w:color="auto" w:fill="DCDCDC"/>
          </w:tcPr>
          <w:p>
            <w:pPr/>
          </w:p>
        </w:tc>
        <w:tc>
          <w:tcPr>
            <w:tcW w:w="1470" w:type="dxa"/>
            <w:vMerge/>
            <w:tcBorders>
              <w:left w:val="single" w:sz="4" w:space="0" w:color="000000"/>
              <w:bottom w:val="single" w:sz="4" w:space="0" w:color="000000"/>
              <w:right w:val="single" w:sz="4" w:space="0" w:color="000000"/>
            </w:tcBorders>
            <w:shd w:val="clear" w:color="auto" w:fill="DCDCDC"/>
          </w:tcPr>
          <w:p>
            <w:pPr/>
          </w:p>
        </w:tc>
      </w:tr>
      <w:tr>
        <w:trPr>
          <w:trHeight w:val="307"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586" w:type="dxa"/>
            <w:tcBorders>
              <w:top w:val="single" w:sz="10" w:space="0" w:color="DCDCDC"/>
              <w:left w:val="single" w:sz="13" w:space="0" w:color="DCDCDC"/>
              <w:bottom w:val="single" w:sz="4" w:space="0" w:color="000000"/>
              <w:right w:val="single" w:sz="4" w:space="0" w:color="000000"/>
            </w:tcBorders>
          </w:tcPr>
          <w:p>
            <w:pPr>
              <w:pStyle w:val="TableParagraph"/>
              <w:spacing w:line="235" w:lineRule="exact"/>
              <w:ind w:right="20"/>
              <w:jc w:val="right"/>
              <w:rPr>
                <w:rFonts w:ascii="宋体" w:hAnsi="宋体" w:cs="宋体" w:eastAsia="宋体" w:hint="default"/>
                <w:sz w:val="18"/>
                <w:szCs w:val="18"/>
              </w:rPr>
            </w:pPr>
            <w:r>
              <w:rPr>
                <w:rFonts w:ascii="宋体"/>
                <w:sz w:val="18"/>
              </w:rPr>
              <w:t>1,955,611,259.51</w:t>
            </w:r>
          </w:p>
        </w:tc>
        <w:tc>
          <w:tcPr>
            <w:tcW w:w="1470" w:type="dxa"/>
            <w:tcBorders>
              <w:top w:val="single" w:sz="10" w:space="0" w:color="DCDCDC"/>
              <w:left w:val="single" w:sz="4" w:space="0" w:color="000000"/>
              <w:bottom w:val="single" w:sz="4" w:space="0" w:color="000000"/>
              <w:right w:val="single" w:sz="4" w:space="0" w:color="000000"/>
            </w:tcBorders>
          </w:tcPr>
          <w:p>
            <w:pPr>
              <w:pStyle w:val="TableParagraph"/>
              <w:spacing w:line="235" w:lineRule="exact"/>
              <w:ind w:right="23"/>
              <w:jc w:val="right"/>
              <w:rPr>
                <w:rFonts w:ascii="宋体" w:hAnsi="宋体" w:cs="宋体" w:eastAsia="宋体" w:hint="default"/>
                <w:sz w:val="18"/>
                <w:szCs w:val="18"/>
              </w:rPr>
            </w:pPr>
            <w:r>
              <w:rPr>
                <w:rFonts w:ascii="宋体"/>
                <w:sz w:val="18"/>
              </w:rPr>
              <w:t>5,460,733.06</w:t>
            </w:r>
          </w:p>
        </w:tc>
        <w:tc>
          <w:tcPr>
            <w:tcW w:w="1576" w:type="dxa"/>
            <w:tcBorders>
              <w:top w:val="single" w:sz="10" w:space="0" w:color="DCDCDC"/>
              <w:left w:val="single" w:sz="4" w:space="0" w:color="000000"/>
              <w:bottom w:val="single" w:sz="4" w:space="0" w:color="000000"/>
              <w:right w:val="single" w:sz="4" w:space="0" w:color="000000"/>
            </w:tcBorders>
          </w:tcPr>
          <w:p>
            <w:pPr>
              <w:pStyle w:val="TableParagraph"/>
              <w:spacing w:line="235" w:lineRule="exact"/>
              <w:ind w:right="23"/>
              <w:jc w:val="right"/>
              <w:rPr>
                <w:rFonts w:ascii="宋体" w:hAnsi="宋体" w:cs="宋体" w:eastAsia="宋体" w:hint="default"/>
                <w:sz w:val="18"/>
                <w:szCs w:val="18"/>
              </w:rPr>
            </w:pPr>
            <w:r>
              <w:rPr>
                <w:rFonts w:ascii="宋体"/>
                <w:sz w:val="18"/>
              </w:rPr>
              <w:t>2,862,342,584.17</w:t>
            </w:r>
          </w:p>
        </w:tc>
        <w:tc>
          <w:tcPr>
            <w:tcW w:w="1470" w:type="dxa"/>
            <w:tcBorders>
              <w:top w:val="single" w:sz="10" w:space="0" w:color="DCDCDC"/>
              <w:left w:val="single" w:sz="4" w:space="0" w:color="000000"/>
              <w:bottom w:val="single" w:sz="4" w:space="0" w:color="000000"/>
              <w:right w:val="single" w:sz="4" w:space="0" w:color="000000"/>
            </w:tcBorders>
          </w:tcPr>
          <w:p>
            <w:pPr>
              <w:pStyle w:val="TableParagraph"/>
              <w:spacing w:line="235" w:lineRule="exact"/>
              <w:ind w:right="23"/>
              <w:jc w:val="right"/>
              <w:rPr>
                <w:rFonts w:ascii="宋体" w:hAnsi="宋体" w:cs="宋体" w:eastAsia="宋体" w:hint="default"/>
                <w:sz w:val="18"/>
                <w:szCs w:val="18"/>
              </w:rPr>
            </w:pPr>
            <w:r>
              <w:rPr>
                <w:rFonts w:ascii="宋体"/>
                <w:sz w:val="18"/>
              </w:rPr>
              <w:t>19,046,882.65</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1,955,611,259.51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5,460,733.06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2,862,342,584.17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19,046,882.65</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5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586"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56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586"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56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586"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2,010,421,749.52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53,817,890.66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2,850,682,931.31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52,201,910.01</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1,476,103,245.76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5,032,677.74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2,447,070,148.98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15,175,457.35</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56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586"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56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586"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56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586"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56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586"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1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586"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56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586"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56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586"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56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11,992,892.45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7,180.95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9,078,679.51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44,330.82</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56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226,449,477.91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379,998.22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162,023,599.23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55,320.58</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56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164,479,387.68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22,848,490.69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162,139,857.75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19,574,794.79</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56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71,584,282.58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20,280,026.83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95,135,522.50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21,510,042.17</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56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59,812,463.14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5,269,516.23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-24,764,876.66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-4,158,035.70</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02"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1586"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-765,837.95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32,489,497.24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2,836,730.38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-4,063,658.75</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其中：对联营企业和合营企业的投资收益</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4,632,032.71</w:t>
            </w:r>
          </w:p>
        </w:tc>
        <w:tc>
          <w:tcPr>
            <w:tcW w:w="14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2"/>
              <w:jc w:val="right"/>
              <w:rPr>
                <w:rFonts w:ascii="宋体" w:hAnsi="宋体" w:cs="宋体" w:eastAsia="宋体" w:hint="default"/>
                <w:sz w:val="18"/>
                <w:szCs w:val="18"/>
              </w:rPr>
            </w:pPr>
            <w:r>
              <w:rPr>
                <w:rFonts w:ascii="宋体"/>
                <w:sz w:val="18"/>
              </w:rPr>
              <w:t>999,880.31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2"/>
              <w:jc w:val="right"/>
              <w:rPr>
                <w:rFonts w:ascii="宋体" w:hAnsi="宋体" w:cs="宋体" w:eastAsia="宋体" w:hint="default"/>
                <w:sz w:val="18"/>
                <w:szCs w:val="18"/>
              </w:rPr>
            </w:pPr>
            <w:r>
              <w:rPr>
                <w:rFonts w:ascii="宋体"/>
                <w:sz w:val="18"/>
              </w:rPr>
              <w:t>755,499.22</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1586" w:type="dxa"/>
            <w:tcBorders>
              <w:top w:val="single" w:sz="4" w:space="0" w:color="000000"/>
              <w:left w:val="single" w:sz="13" w:space="0" w:color="DCDCDC"/>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三、营业利润</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-55,576,327.96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-15,867,660.36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14,496,383.24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-37,218,686.11</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0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12,621,000.60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2,215,213.65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34,373,877.30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2,246,888.94</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0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7,786,179.70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196,711.72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6,247,853.71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1,756,536.72</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7,284,455.68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196,711.72</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1,050,920.63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62,952.01</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四、利润总额</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-50,741,507.06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-13,849,158.43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42,622,406.83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-36,728,333.89</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0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12,704,972.83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-790,427.44</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18,939,212.40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1,193,457.87</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五、净利润</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-63,446,479.89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-13,058,730.99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23,683,194.43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-37,921,791.76</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-82,890,070.59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-13,058,730.99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4,717,562.55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-37,921,791.76</w:t>
            </w:r>
          </w:p>
        </w:tc>
      </w:tr>
      <w:tr>
        <w:trPr>
          <w:trHeight w:val="307"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586" w:type="dxa"/>
            <w:tcBorders>
              <w:top w:val="single" w:sz="4" w:space="0" w:color="000000"/>
              <w:left w:val="single" w:sz="13" w:space="0" w:color="DCDCDC"/>
              <w:bottom w:val="single" w:sz="10" w:space="0" w:color="DCDCDC"/>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19,443,590.70</w:t>
            </w:r>
          </w:p>
        </w:tc>
        <w:tc>
          <w:tcPr>
            <w:tcW w:w="1470" w:type="dxa"/>
            <w:tcBorders>
              <w:top w:val="single" w:sz="4" w:space="0" w:color="000000"/>
              <w:left w:val="single" w:sz="4" w:space="0" w:color="000000"/>
              <w:bottom w:val="single" w:sz="10" w:space="0" w:color="DCDCDC"/>
              <w:right w:val="single" w:sz="4" w:space="0" w:color="000000"/>
            </w:tcBorders>
          </w:tcPr>
          <w:p>
            <w:pPr/>
          </w:p>
        </w:tc>
        <w:tc>
          <w:tcPr>
            <w:tcW w:w="1576" w:type="dxa"/>
            <w:tcBorders>
              <w:top w:val="single" w:sz="4" w:space="0" w:color="000000"/>
              <w:left w:val="single" w:sz="4" w:space="0" w:color="000000"/>
              <w:bottom w:val="single" w:sz="10" w:space="0" w:color="DCDCDC"/>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18,965,631.88</w:t>
            </w:r>
          </w:p>
        </w:tc>
        <w:tc>
          <w:tcPr>
            <w:tcW w:w="1470" w:type="dxa"/>
            <w:tcBorders>
              <w:top w:val="single" w:sz="4" w:space="0" w:color="000000"/>
              <w:left w:val="single" w:sz="4" w:space="0" w:color="000000"/>
              <w:bottom w:val="single" w:sz="10" w:space="0" w:color="DCDCDC"/>
              <w:right w:val="single" w:sz="4" w:space="0" w:color="000000"/>
            </w:tcBorders>
          </w:tcPr>
          <w:p>
            <w:pPr/>
          </w:p>
        </w:tc>
      </w:tr>
      <w:tr>
        <w:trPr>
          <w:trHeight w:val="269"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58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07"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586" w:type="dxa"/>
            <w:tcBorders>
              <w:top w:val="single" w:sz="10" w:space="0" w:color="DCDCDC"/>
              <w:left w:val="single" w:sz="13" w:space="0" w:color="DCDCDC"/>
              <w:bottom w:val="single" w:sz="4" w:space="0" w:color="000000"/>
              <w:right w:val="single" w:sz="4" w:space="0" w:color="000000"/>
            </w:tcBorders>
          </w:tcPr>
          <w:p>
            <w:pPr>
              <w:pStyle w:val="TableParagraph"/>
              <w:spacing w:line="235" w:lineRule="exact"/>
              <w:ind w:right="20"/>
              <w:jc w:val="right"/>
              <w:rPr>
                <w:rFonts w:ascii="宋体" w:hAnsi="宋体" w:cs="宋体" w:eastAsia="宋体" w:hint="default"/>
                <w:sz w:val="18"/>
                <w:szCs w:val="18"/>
              </w:rPr>
            </w:pPr>
            <w:r>
              <w:rPr>
                <w:rFonts w:ascii="宋体"/>
                <w:sz w:val="18"/>
              </w:rPr>
              <w:t>-0.17</w:t>
            </w:r>
          </w:p>
        </w:tc>
        <w:tc>
          <w:tcPr>
            <w:tcW w:w="1470" w:type="dxa"/>
            <w:tcBorders>
              <w:top w:val="single" w:sz="10" w:space="0" w:color="DCDCDC"/>
              <w:left w:val="single" w:sz="4" w:space="0" w:color="000000"/>
              <w:bottom w:val="single" w:sz="4" w:space="0" w:color="000000"/>
              <w:right w:val="single" w:sz="4" w:space="0" w:color="000000"/>
            </w:tcBorders>
          </w:tcPr>
          <w:p>
            <w:pPr>
              <w:pStyle w:val="TableParagraph"/>
              <w:spacing w:line="235" w:lineRule="exact"/>
              <w:ind w:right="23"/>
              <w:jc w:val="right"/>
              <w:rPr>
                <w:rFonts w:ascii="宋体" w:hAnsi="宋体" w:cs="宋体" w:eastAsia="宋体" w:hint="default"/>
                <w:sz w:val="18"/>
                <w:szCs w:val="18"/>
              </w:rPr>
            </w:pPr>
            <w:r>
              <w:rPr>
                <w:rFonts w:ascii="宋体"/>
                <w:sz w:val="18"/>
              </w:rPr>
              <w:t>-0.03</w:t>
            </w:r>
          </w:p>
        </w:tc>
        <w:tc>
          <w:tcPr>
            <w:tcW w:w="1576" w:type="dxa"/>
            <w:tcBorders>
              <w:top w:val="single" w:sz="10" w:space="0" w:color="DCDCDC"/>
              <w:left w:val="single" w:sz="4" w:space="0" w:color="000000"/>
              <w:bottom w:val="single" w:sz="4" w:space="0" w:color="000000"/>
              <w:right w:val="single" w:sz="4" w:space="0" w:color="000000"/>
            </w:tcBorders>
          </w:tcPr>
          <w:p>
            <w:pPr>
              <w:pStyle w:val="TableParagraph"/>
              <w:spacing w:line="235" w:lineRule="exact"/>
              <w:ind w:right="23"/>
              <w:jc w:val="right"/>
              <w:rPr>
                <w:rFonts w:ascii="宋体" w:hAnsi="宋体" w:cs="宋体" w:eastAsia="宋体" w:hint="default"/>
                <w:sz w:val="18"/>
                <w:szCs w:val="18"/>
              </w:rPr>
            </w:pPr>
            <w:r>
              <w:rPr>
                <w:rFonts w:ascii="宋体"/>
                <w:sz w:val="18"/>
              </w:rPr>
              <w:t>0.01</w:t>
            </w:r>
          </w:p>
        </w:tc>
        <w:tc>
          <w:tcPr>
            <w:tcW w:w="1470" w:type="dxa"/>
            <w:tcBorders>
              <w:top w:val="single" w:sz="10" w:space="0" w:color="DCDCDC"/>
              <w:left w:val="single" w:sz="4" w:space="0" w:color="000000"/>
              <w:bottom w:val="single" w:sz="4" w:space="0" w:color="000000"/>
              <w:right w:val="single" w:sz="4" w:space="0" w:color="000000"/>
            </w:tcBorders>
          </w:tcPr>
          <w:p>
            <w:pPr>
              <w:pStyle w:val="TableParagraph"/>
              <w:spacing w:line="235" w:lineRule="exact"/>
              <w:ind w:right="23"/>
              <w:jc w:val="right"/>
              <w:rPr>
                <w:rFonts w:ascii="宋体" w:hAnsi="宋体" w:cs="宋体" w:eastAsia="宋体" w:hint="default"/>
                <w:sz w:val="18"/>
                <w:szCs w:val="18"/>
              </w:rPr>
            </w:pPr>
            <w:r>
              <w:rPr>
                <w:rFonts w:ascii="宋体"/>
                <w:sz w:val="18"/>
              </w:rPr>
              <w:t>-0.08</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-0.17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-0.03</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0.01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-0.08</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-177,421.15</w:t>
            </w:r>
          </w:p>
        </w:tc>
        <w:tc>
          <w:tcPr>
            <w:tcW w:w="14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67,443.86</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-63,623,901.04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-13,058,730.99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23,750,638.29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-37,921,791.76</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-83,037,947.16</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-13,058,730.99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4,815,670.99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-37,921,791.76</w:t>
            </w:r>
          </w:p>
        </w:tc>
      </w:tr>
      <w:tr>
        <w:trPr>
          <w:trHeight w:val="294"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586" w:type="dxa"/>
            <w:tcBorders>
              <w:top w:val="single" w:sz="4" w:space="0" w:color="000000"/>
              <w:left w:val="single" w:sz="13" w:space="0" w:color="DCDCDC"/>
              <w:bottom w:val="single" w:sz="4" w:space="0" w:color="000000"/>
              <w:right w:val="single" w:sz="4" w:space="0" w:color="000000"/>
            </w:tcBorders>
          </w:tcPr>
          <w:p>
            <w:pPr>
              <w:pStyle w:val="TableParagraph"/>
              <w:spacing w:line="231" w:lineRule="exact"/>
              <w:ind w:right="20"/>
              <w:jc w:val="right"/>
              <w:rPr>
                <w:rFonts w:ascii="宋体" w:hAnsi="宋体" w:cs="宋体" w:eastAsia="宋体" w:hint="default"/>
                <w:sz w:val="18"/>
                <w:szCs w:val="18"/>
              </w:rPr>
            </w:pPr>
            <w:r>
              <w:rPr>
                <w:rFonts w:ascii="宋体"/>
                <w:sz w:val="18"/>
              </w:rPr>
              <w:t>19,414,046.12</w:t>
            </w:r>
          </w:p>
        </w:tc>
        <w:tc>
          <w:tcPr>
            <w:tcW w:w="14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23"/>
              <w:jc w:val="right"/>
              <w:rPr>
                <w:rFonts w:ascii="宋体" w:hAnsi="宋体" w:cs="宋体" w:eastAsia="宋体" w:hint="default"/>
                <w:sz w:val="18"/>
                <w:szCs w:val="18"/>
              </w:rPr>
            </w:pPr>
            <w:r>
              <w:rPr>
                <w:rFonts w:ascii="宋体"/>
                <w:sz w:val="18"/>
              </w:rPr>
              <w:t>18,934,967.30</w:t>
            </w:r>
          </w:p>
        </w:tc>
        <w:tc>
          <w:tcPr>
            <w:tcW w:w="14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before="76"/>
        <w:ind w:left="0" w:right="482" w:firstLine="0"/>
        <w:jc w:val="center"/>
        <w:rPr>
          <w:rFonts w:ascii="Times New Roman" w:hAnsi="Times New Roman" w:cs="Times New Roman" w:eastAsia="Times New Roman" w:hint="default"/>
          <w:sz w:val="18"/>
          <w:szCs w:val="18"/>
        </w:rPr>
      </w:pPr>
      <w:r>
        <w:rPr>
          <w:rFonts w:ascii="Times New Roman"/>
          <w:sz w:val="18"/>
        </w:rPr>
        <w:t>39</w:t>
      </w:r>
    </w:p>
    <w:p>
      <w:pPr>
        <w:spacing w:after="0"/>
        <w:jc w:val="center"/>
        <w:rPr>
          <w:rFonts w:ascii="Times New Roman" w:hAnsi="Times New Roman" w:cs="Times New Roman" w:eastAsia="Times New Roman" w:hint="default"/>
          <w:sz w:val="18"/>
          <w:szCs w:val="18"/>
        </w:rPr>
        <w:sectPr>
          <w:pgSz w:w="11910" w:h="16840"/>
          <w:pgMar w:top="640" w:bottom="280" w:left="1620" w:right="680"/>
        </w:sectPr>
      </w:pPr>
    </w:p>
    <w:p>
      <w:pPr>
        <w:spacing w:line="240" w:lineRule="auto" w:before="11"/>
        <w:rPr>
          <w:rFonts w:ascii="Times New Roman" w:hAnsi="Times New Roman" w:cs="Times New Roman" w:eastAsia="Times New Roman" w:hint="default"/>
          <w:sz w:val="26"/>
          <w:szCs w:val="26"/>
        </w:rPr>
      </w:pPr>
    </w:p>
    <w:p>
      <w:pPr>
        <w:pStyle w:val="Heading4"/>
        <w:tabs>
          <w:tab w:pos="7369" w:val="left" w:leader="none"/>
        </w:tabs>
        <w:spacing w:line="240" w:lineRule="auto"/>
        <w:ind w:left="4056" w:right="0"/>
        <w:jc w:val="left"/>
        <w:rPr>
          <w:b w:val="0"/>
          <w:bCs w:val="0"/>
        </w:rPr>
      </w:pPr>
      <w:r>
        <w:rPr/>
        <w:pict>
          <v:shape style="position:absolute;margin-left:65.160004pt;margin-top:-11.486023pt;width:95.052pt;height:25.5pt;mso-position-horizontal-relative:page;mso-position-vertical-relative:paragraph;z-index:3112" type="#_x0000_t75" stroked="false">
            <v:imagedata r:id="rId5"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507"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2"/>
        <w:rPr>
          <w:rFonts w:ascii="黑体" w:hAnsi="黑体" w:cs="黑体" w:eastAsia="黑体" w:hint="default"/>
          <w:b/>
          <w:bCs/>
          <w:sz w:val="28"/>
          <w:szCs w:val="28"/>
        </w:rPr>
      </w:pPr>
    </w:p>
    <w:p>
      <w:pPr>
        <w:spacing w:before="26"/>
        <w:ind w:left="4344" w:right="4415" w:firstLine="0"/>
        <w:jc w:val="center"/>
        <w:rPr>
          <w:rFonts w:ascii="宋体" w:hAnsi="宋体" w:cs="宋体" w:eastAsia="宋体" w:hint="default"/>
          <w:sz w:val="24"/>
          <w:szCs w:val="24"/>
        </w:rPr>
      </w:pPr>
      <w:r>
        <w:rPr>
          <w:rFonts w:ascii="宋体" w:hAnsi="宋体" w:cs="宋体" w:eastAsia="宋体" w:hint="default"/>
          <w:b/>
          <w:bCs/>
          <w:sz w:val="24"/>
          <w:szCs w:val="24"/>
        </w:rPr>
        <w:t>现金流量表</w:t>
      </w:r>
      <w:r>
        <w:rPr>
          <w:rFonts w:ascii="宋体" w:hAnsi="宋体" w:cs="宋体" w:eastAsia="宋体" w:hint="default"/>
          <w:sz w:val="24"/>
          <w:szCs w:val="24"/>
        </w:rPr>
      </w:r>
    </w:p>
    <w:p>
      <w:pPr>
        <w:spacing w:line="240" w:lineRule="auto" w:before="2"/>
        <w:rPr>
          <w:rFonts w:ascii="宋体" w:hAnsi="宋体" w:cs="宋体" w:eastAsia="宋体" w:hint="default"/>
          <w:b/>
          <w:bCs/>
          <w:sz w:val="23"/>
          <w:szCs w:val="23"/>
        </w:rPr>
      </w:pPr>
    </w:p>
    <w:p>
      <w:pPr>
        <w:pStyle w:val="BodyText"/>
        <w:tabs>
          <w:tab w:pos="4742" w:val="left" w:leader="none"/>
          <w:tab w:pos="7211" w:val="left" w:leader="none"/>
        </w:tabs>
        <w:spacing w:line="240" w:lineRule="auto" w:before="0"/>
        <w:ind w:left="544" w:right="0"/>
        <w:jc w:val="left"/>
      </w:pPr>
      <w:r>
        <w:rPr>
          <w:spacing w:val="-1"/>
        </w:rPr>
        <w:t>编制单位：重庆华立药业股份有限公</w:t>
      </w:r>
      <w:r>
        <w:rPr/>
        <w:t>司</w:t>
        <w:tab/>
      </w:r>
      <w:r>
        <w:rPr>
          <w:spacing w:val="-1"/>
        </w:rPr>
        <w:t>200</w:t>
      </w:r>
      <w:r>
        <w:rPr/>
        <w:t>9</w:t>
      </w:r>
      <w:r>
        <w:rPr>
          <w:spacing w:val="-52"/>
        </w:rPr>
        <w:t> </w:t>
      </w:r>
      <w:r>
        <w:rPr/>
        <w:t>年</w:t>
      </w:r>
      <w:r>
        <w:rPr>
          <w:spacing w:val="-54"/>
        </w:rPr>
        <w:t> </w:t>
      </w:r>
      <w:r>
        <w:rPr/>
        <w:t>1</w:t>
      </w:r>
      <w:r>
        <w:rPr>
          <w:spacing w:val="-1"/>
        </w:rPr>
        <w:t>-</w:t>
      </w:r>
      <w:r>
        <w:rPr>
          <w:spacing w:val="1"/>
        </w:rPr>
        <w:t>1</w:t>
      </w:r>
      <w:r>
        <w:rPr/>
        <w:t>2</w:t>
      </w:r>
      <w:r>
        <w:rPr>
          <w:spacing w:val="-53"/>
        </w:rPr>
        <w:t> </w:t>
      </w:r>
      <w:r>
        <w:rPr/>
        <w:t>月</w:t>
        <w:tab/>
        <w:t>单位</w:t>
      </w:r>
      <w:r>
        <w:rPr>
          <w:spacing w:val="-105"/>
        </w:rPr>
        <w:t>：</w:t>
      </w:r>
      <w:r>
        <w:rPr/>
        <w:t>（</w:t>
      </w:r>
      <w:r>
        <w:rPr>
          <w:spacing w:val="-2"/>
        </w:rPr>
        <w:t>人</w:t>
      </w:r>
      <w:r>
        <w:rPr/>
        <w:t>民币）元</w:t>
      </w:r>
    </w:p>
    <w:p>
      <w:pPr>
        <w:spacing w:line="240" w:lineRule="auto" w:before="10"/>
        <w:rPr>
          <w:rFonts w:ascii="宋体" w:hAnsi="宋体" w:cs="宋体" w:eastAsia="宋体" w:hint="default"/>
          <w:sz w:val="23"/>
          <w:szCs w:val="23"/>
        </w:rPr>
      </w:pPr>
    </w:p>
    <w:p>
      <w:pPr>
        <w:spacing w:before="44"/>
        <w:ind w:left="1571" w:right="0" w:firstLine="0"/>
        <w:jc w:val="left"/>
        <w:rPr>
          <w:rFonts w:ascii="宋体" w:hAnsi="宋体" w:cs="宋体" w:eastAsia="宋体" w:hint="default"/>
          <w:sz w:val="18"/>
          <w:szCs w:val="18"/>
        </w:rPr>
      </w:pPr>
      <w:r>
        <w:rPr/>
        <w:pict>
          <v:shape style="position:absolute;margin-left:43.98pt;margin-top:-6.62805pt;width:489pt;height:607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6"/>
                    <w:gridCol w:w="1680"/>
                    <w:gridCol w:w="1574"/>
                    <w:gridCol w:w="1680"/>
                    <w:gridCol w:w="1576"/>
                  </w:tblGrid>
                  <w:tr>
                    <w:trPr>
                      <w:trHeight w:val="202" w:hRule="exact"/>
                    </w:trPr>
                    <w:tc>
                      <w:tcPr>
                        <w:tcW w:w="3256" w:type="dxa"/>
                        <w:tcBorders>
                          <w:top w:val="single" w:sz="4" w:space="0" w:color="000000"/>
                          <w:left w:val="single" w:sz="4" w:space="0" w:color="000000"/>
                          <w:bottom w:val="nil" w:sz="6" w:space="0" w:color="auto"/>
                          <w:right w:val="single" w:sz="4" w:space="0" w:color="000000"/>
                        </w:tcBorders>
                        <w:shd w:val="clear" w:color="auto" w:fill="DCDCDC"/>
                      </w:tcPr>
                      <w:p>
                        <w:pPr/>
                      </w:p>
                    </w:tc>
                    <w:tc>
                      <w:tcPr>
                        <w:tcW w:w="3254"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56"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21" w:hRule="exact"/>
                    </w:trPr>
                    <w:tc>
                      <w:tcPr>
                        <w:tcW w:w="3256" w:type="dxa"/>
                        <w:tcBorders>
                          <w:top w:val="nil" w:sz="6" w:space="0" w:color="auto"/>
                          <w:left w:val="single" w:sz="4" w:space="0" w:color="000000"/>
                          <w:bottom w:val="nil" w:sz="6" w:space="0" w:color="auto"/>
                          <w:right w:val="single" w:sz="4" w:space="0" w:color="000000"/>
                        </w:tcBorders>
                        <w:shd w:val="clear" w:color="auto" w:fill="DCDCDC"/>
                      </w:tcPr>
                      <w:p>
                        <w:pPr/>
                      </w:p>
                    </w:tc>
                    <w:tc>
                      <w:tcPr>
                        <w:tcW w:w="3254" w:type="dxa"/>
                        <w:gridSpan w:val="2"/>
                        <w:vMerge/>
                        <w:tcBorders>
                          <w:left w:val="single" w:sz="4" w:space="0" w:color="000000"/>
                          <w:bottom w:val="single" w:sz="4" w:space="0" w:color="000000"/>
                          <w:right w:val="single" w:sz="4" w:space="0" w:color="000000"/>
                        </w:tcBorders>
                        <w:shd w:val="clear" w:color="auto" w:fill="DCDCDC"/>
                      </w:tcPr>
                      <w:p>
                        <w:pPr/>
                      </w:p>
                    </w:tc>
                    <w:tc>
                      <w:tcPr>
                        <w:tcW w:w="3256" w:type="dxa"/>
                        <w:gridSpan w:val="2"/>
                        <w:vMerge/>
                        <w:tcBorders>
                          <w:left w:val="single" w:sz="4" w:space="0" w:color="000000"/>
                          <w:bottom w:val="single" w:sz="4" w:space="0" w:color="000000"/>
                          <w:right w:val="single" w:sz="4" w:space="0" w:color="000000"/>
                        </w:tcBorders>
                        <w:shd w:val="clear" w:color="auto" w:fill="DCDCDC"/>
                      </w:tcPr>
                      <w:p>
                        <w:pPr/>
                      </w:p>
                    </w:tc>
                  </w:tr>
                  <w:tr>
                    <w:trPr>
                      <w:trHeight w:val="350" w:hRule="exact"/>
                    </w:trPr>
                    <w:tc>
                      <w:tcPr>
                        <w:tcW w:w="3256" w:type="dxa"/>
                        <w:tcBorders>
                          <w:top w:val="nil" w:sz="6" w:space="0" w:color="auto"/>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51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3"/>
                          <w:ind w:left="512"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323" w:hRule="exact"/>
                    </w:trPr>
                    <w:tc>
                      <w:tcPr>
                        <w:tcW w:w="3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78" w:hRule="exact"/>
                    </w:trPr>
                    <w:tc>
                      <w:tcPr>
                        <w:tcW w:w="3256"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680" w:type="dxa"/>
                        <w:tcBorders>
                          <w:top w:val="single" w:sz="26" w:space="0" w:color="DCDCDC"/>
                          <w:left w:val="single" w:sz="14" w:space="0" w:color="DCDCDC"/>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1,964,167,111.30</w:t>
                        </w:r>
                      </w:p>
                    </w:tc>
                    <w:tc>
                      <w:tcPr>
                        <w:tcW w:w="1574" w:type="dxa"/>
                        <w:tcBorders>
                          <w:top w:val="single" w:sz="26" w:space="0" w:color="DCDCDC"/>
                          <w:left w:val="single" w:sz="4" w:space="0" w:color="000000"/>
                          <w:bottom w:val="single" w:sz="4" w:space="0" w:color="FFFFFF"/>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7,315,851.25</w:t>
                        </w:r>
                      </w:p>
                    </w:tc>
                    <w:tc>
                      <w:tcPr>
                        <w:tcW w:w="1680" w:type="dxa"/>
                        <w:tcBorders>
                          <w:top w:val="single" w:sz="22" w:space="0" w:color="DCDCDC"/>
                          <w:left w:val="single" w:sz="4" w:space="0" w:color="000000"/>
                          <w:bottom w:val="single" w:sz="4" w:space="0" w:color="FFFFFF"/>
                          <w:right w:val="single" w:sz="4" w:space="0" w:color="000000"/>
                        </w:tcBorders>
                      </w:tcPr>
                      <w:p>
                        <w:pPr>
                          <w:pStyle w:val="TableParagraph"/>
                          <w:spacing w:line="240" w:lineRule="auto" w:before="27"/>
                          <w:ind w:right="23"/>
                          <w:jc w:val="right"/>
                          <w:rPr>
                            <w:rFonts w:ascii="宋体" w:hAnsi="宋体" w:cs="宋体" w:eastAsia="宋体" w:hint="default"/>
                            <w:sz w:val="18"/>
                            <w:szCs w:val="18"/>
                          </w:rPr>
                        </w:pPr>
                        <w:r>
                          <w:rPr>
                            <w:rFonts w:ascii="宋体"/>
                            <w:sz w:val="18"/>
                          </w:rPr>
                          <w:t>2,713,043,372.15</w:t>
                        </w:r>
                      </w:p>
                    </w:tc>
                    <w:tc>
                      <w:tcPr>
                        <w:tcW w:w="1576" w:type="dxa"/>
                        <w:tcBorders>
                          <w:top w:val="single" w:sz="26" w:space="0" w:color="DCDCDC"/>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19,359,703.68</w:t>
                        </w:r>
                      </w:p>
                    </w:tc>
                  </w:tr>
                  <w:tr>
                    <w:trPr>
                      <w:trHeight w:val="349" w:hRule="exact"/>
                    </w:trPr>
                    <w:tc>
                      <w:tcPr>
                        <w:tcW w:w="3256"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680" w:type="dxa"/>
                        <w:tcBorders>
                          <w:top w:val="single" w:sz="4" w:space="0" w:color="FFFFFF"/>
                          <w:left w:val="single" w:sz="14" w:space="0" w:color="DCDCDC"/>
                          <w:bottom w:val="single" w:sz="4" w:space="0" w:color="000000"/>
                          <w:right w:val="single" w:sz="4" w:space="0" w:color="000000"/>
                        </w:tcBorders>
                      </w:tcPr>
                      <w:p>
                        <w:pPr/>
                      </w:p>
                    </w:tc>
                    <w:tc>
                      <w:tcPr>
                        <w:tcW w:w="1574" w:type="dxa"/>
                        <w:tcBorders>
                          <w:top w:val="single" w:sz="4" w:space="0" w:color="FFFFFF"/>
                          <w:left w:val="single" w:sz="4" w:space="0" w:color="000000"/>
                          <w:bottom w:val="single" w:sz="4" w:space="0" w:color="000000"/>
                          <w:right w:val="single" w:sz="4" w:space="0" w:color="000000"/>
                        </w:tcBorders>
                      </w:tcPr>
                      <w:p>
                        <w:pPr/>
                      </w:p>
                    </w:tc>
                    <w:tc>
                      <w:tcPr>
                        <w:tcW w:w="1680" w:type="dxa"/>
                        <w:tcBorders>
                          <w:top w:val="single" w:sz="4" w:space="0" w:color="FFFFFF"/>
                          <w:left w:val="single" w:sz="4" w:space="0" w:color="000000"/>
                          <w:bottom w:val="single" w:sz="4" w:space="0" w:color="000000"/>
                          <w:right w:val="single" w:sz="4" w:space="0" w:color="000000"/>
                        </w:tcBorders>
                      </w:tcPr>
                      <w:p>
                        <w:pPr/>
                      </w:p>
                    </w:tc>
                    <w:tc>
                      <w:tcPr>
                        <w:tcW w:w="1576" w:type="dxa"/>
                        <w:tcBorders>
                          <w:top w:val="single" w:sz="4" w:space="0" w:color="FFFFFF"/>
                          <w:left w:val="single" w:sz="4" w:space="0" w:color="000000"/>
                          <w:bottom w:val="single" w:sz="4" w:space="0" w:color="000000"/>
                          <w:right w:val="single" w:sz="4" w:space="0" w:color="000000"/>
                        </w:tcBorders>
                      </w:tcPr>
                      <w:p>
                        <w:pPr/>
                      </w:p>
                    </w:tc>
                  </w:tr>
                  <w:tr>
                    <w:trPr>
                      <w:trHeight w:val="350" w:hRule="exact"/>
                    </w:trPr>
                    <w:tc>
                      <w:tcPr>
                        <w:tcW w:w="3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680"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6"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680" w:type="dxa"/>
                        <w:tcBorders>
                          <w:top w:val="single" w:sz="4" w:space="0" w:color="000000"/>
                          <w:left w:val="single" w:sz="14" w:space="0" w:color="DCDCDC"/>
                          <w:bottom w:val="single" w:sz="4" w:space="0" w:color="FFFFFF"/>
                          <w:right w:val="single" w:sz="4" w:space="0" w:color="000000"/>
                        </w:tcBorders>
                      </w:tcPr>
                      <w:p>
                        <w:pPr/>
                      </w:p>
                    </w:tc>
                    <w:tc>
                      <w:tcPr>
                        <w:tcW w:w="1574" w:type="dxa"/>
                        <w:tcBorders>
                          <w:top w:val="single" w:sz="4" w:space="0" w:color="000000"/>
                          <w:left w:val="single" w:sz="4" w:space="0" w:color="000000"/>
                          <w:bottom w:val="single" w:sz="4" w:space="0" w:color="FFFFFF"/>
                          <w:right w:val="single" w:sz="4" w:space="0" w:color="000000"/>
                        </w:tcBorders>
                      </w:tcPr>
                      <w:p>
                        <w:pPr/>
                      </w:p>
                    </w:tc>
                    <w:tc>
                      <w:tcPr>
                        <w:tcW w:w="1680" w:type="dxa"/>
                        <w:tcBorders>
                          <w:top w:val="single" w:sz="4" w:space="0" w:color="000000"/>
                          <w:left w:val="single" w:sz="4" w:space="0" w:color="000000"/>
                          <w:bottom w:val="single" w:sz="4" w:space="0" w:color="FFFFFF"/>
                          <w:right w:val="single" w:sz="4" w:space="0" w:color="000000"/>
                        </w:tcBorders>
                      </w:tcPr>
                      <w:p>
                        <w:pPr/>
                      </w:p>
                    </w:tc>
                    <w:tc>
                      <w:tcPr>
                        <w:tcW w:w="1576" w:type="dxa"/>
                        <w:tcBorders>
                          <w:top w:val="single" w:sz="4" w:space="0" w:color="000000"/>
                          <w:left w:val="single" w:sz="4" w:space="0" w:color="000000"/>
                          <w:bottom w:val="single" w:sz="4" w:space="0" w:color="FFFFFF"/>
                          <w:right w:val="single" w:sz="4" w:space="0" w:color="000000"/>
                        </w:tcBorders>
                      </w:tcPr>
                      <w:p>
                        <w:pPr/>
                      </w:p>
                    </w:tc>
                  </w:tr>
                  <w:tr>
                    <w:trPr>
                      <w:trHeight w:val="349" w:hRule="exact"/>
                    </w:trPr>
                    <w:tc>
                      <w:tcPr>
                        <w:tcW w:w="3256"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680" w:type="dxa"/>
                        <w:tcBorders>
                          <w:top w:val="single" w:sz="4" w:space="0" w:color="FFFFFF"/>
                          <w:left w:val="single" w:sz="14" w:space="0" w:color="DCDCDC"/>
                          <w:bottom w:val="single" w:sz="4" w:space="0" w:color="000000"/>
                          <w:right w:val="single" w:sz="4" w:space="0" w:color="000000"/>
                        </w:tcBorders>
                      </w:tcPr>
                      <w:p>
                        <w:pPr/>
                      </w:p>
                    </w:tc>
                    <w:tc>
                      <w:tcPr>
                        <w:tcW w:w="1574" w:type="dxa"/>
                        <w:tcBorders>
                          <w:top w:val="single" w:sz="4" w:space="0" w:color="FFFFFF"/>
                          <w:left w:val="single" w:sz="4" w:space="0" w:color="000000"/>
                          <w:bottom w:val="single" w:sz="4" w:space="0" w:color="000000"/>
                          <w:right w:val="single" w:sz="4" w:space="0" w:color="000000"/>
                        </w:tcBorders>
                      </w:tcPr>
                      <w:p>
                        <w:pPr/>
                      </w:p>
                    </w:tc>
                    <w:tc>
                      <w:tcPr>
                        <w:tcW w:w="1680" w:type="dxa"/>
                        <w:tcBorders>
                          <w:top w:val="single" w:sz="4" w:space="0" w:color="FFFFFF"/>
                          <w:left w:val="single" w:sz="4" w:space="0" w:color="000000"/>
                          <w:bottom w:val="single" w:sz="4" w:space="0" w:color="000000"/>
                          <w:right w:val="single" w:sz="4" w:space="0" w:color="000000"/>
                        </w:tcBorders>
                      </w:tcPr>
                      <w:p>
                        <w:pPr/>
                      </w:p>
                    </w:tc>
                    <w:tc>
                      <w:tcPr>
                        <w:tcW w:w="1576" w:type="dxa"/>
                        <w:tcBorders>
                          <w:top w:val="single" w:sz="4" w:space="0" w:color="FFFFFF"/>
                          <w:left w:val="single" w:sz="4" w:space="0" w:color="000000"/>
                          <w:bottom w:val="single" w:sz="4" w:space="0" w:color="000000"/>
                          <w:right w:val="single" w:sz="4" w:space="0" w:color="000000"/>
                        </w:tcBorders>
                      </w:tcPr>
                      <w:p>
                        <w:pPr/>
                      </w:p>
                    </w:tc>
                  </w:tr>
                  <w:tr>
                    <w:trPr>
                      <w:trHeight w:val="350" w:hRule="exact"/>
                    </w:trPr>
                    <w:tc>
                      <w:tcPr>
                        <w:tcW w:w="3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680"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6"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680" w:type="dxa"/>
                        <w:tcBorders>
                          <w:top w:val="single" w:sz="4" w:space="0" w:color="000000"/>
                          <w:left w:val="single" w:sz="14" w:space="0" w:color="DCDCDC"/>
                          <w:bottom w:val="single" w:sz="4" w:space="0" w:color="FFFFFF"/>
                          <w:right w:val="single" w:sz="4" w:space="0" w:color="000000"/>
                        </w:tcBorders>
                      </w:tcPr>
                      <w:p>
                        <w:pPr/>
                      </w:p>
                    </w:tc>
                    <w:tc>
                      <w:tcPr>
                        <w:tcW w:w="1574" w:type="dxa"/>
                        <w:tcBorders>
                          <w:top w:val="single" w:sz="4" w:space="0" w:color="000000"/>
                          <w:left w:val="single" w:sz="4" w:space="0" w:color="000000"/>
                          <w:bottom w:val="single" w:sz="4" w:space="0" w:color="FFFFFF"/>
                          <w:right w:val="single" w:sz="4" w:space="0" w:color="000000"/>
                        </w:tcBorders>
                      </w:tcPr>
                      <w:p>
                        <w:pPr/>
                      </w:p>
                    </w:tc>
                    <w:tc>
                      <w:tcPr>
                        <w:tcW w:w="1680" w:type="dxa"/>
                        <w:tcBorders>
                          <w:top w:val="single" w:sz="4" w:space="0" w:color="000000"/>
                          <w:left w:val="single" w:sz="4" w:space="0" w:color="000000"/>
                          <w:bottom w:val="single" w:sz="4" w:space="0" w:color="FFFFFF"/>
                          <w:right w:val="single" w:sz="4" w:space="0" w:color="000000"/>
                        </w:tcBorders>
                      </w:tcPr>
                      <w:p>
                        <w:pPr/>
                      </w:p>
                    </w:tc>
                    <w:tc>
                      <w:tcPr>
                        <w:tcW w:w="1576" w:type="dxa"/>
                        <w:tcBorders>
                          <w:top w:val="single" w:sz="4" w:space="0" w:color="000000"/>
                          <w:left w:val="single" w:sz="4" w:space="0" w:color="000000"/>
                          <w:bottom w:val="single" w:sz="4" w:space="0" w:color="FFFFFF"/>
                          <w:right w:val="single" w:sz="4" w:space="0" w:color="000000"/>
                        </w:tcBorders>
                      </w:tcPr>
                      <w:p>
                        <w:pPr/>
                      </w:p>
                    </w:tc>
                  </w:tr>
                  <w:tr>
                    <w:trPr>
                      <w:trHeight w:val="349" w:hRule="exact"/>
                    </w:trPr>
                    <w:tc>
                      <w:tcPr>
                        <w:tcW w:w="3256"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680" w:type="dxa"/>
                        <w:tcBorders>
                          <w:top w:val="single" w:sz="4" w:space="0" w:color="FFFFFF"/>
                          <w:left w:val="single" w:sz="14" w:space="0" w:color="DCDCDC"/>
                          <w:bottom w:val="single" w:sz="4" w:space="0" w:color="000000"/>
                          <w:right w:val="single" w:sz="4" w:space="0" w:color="000000"/>
                        </w:tcBorders>
                      </w:tcPr>
                      <w:p>
                        <w:pPr/>
                      </w:p>
                    </w:tc>
                    <w:tc>
                      <w:tcPr>
                        <w:tcW w:w="1574" w:type="dxa"/>
                        <w:tcBorders>
                          <w:top w:val="single" w:sz="4" w:space="0" w:color="FFFFFF"/>
                          <w:left w:val="single" w:sz="4" w:space="0" w:color="000000"/>
                          <w:bottom w:val="single" w:sz="4" w:space="0" w:color="000000"/>
                          <w:right w:val="single" w:sz="4" w:space="0" w:color="000000"/>
                        </w:tcBorders>
                      </w:tcPr>
                      <w:p>
                        <w:pPr/>
                      </w:p>
                    </w:tc>
                    <w:tc>
                      <w:tcPr>
                        <w:tcW w:w="1680" w:type="dxa"/>
                        <w:tcBorders>
                          <w:top w:val="single" w:sz="4" w:space="0" w:color="FFFFFF"/>
                          <w:left w:val="single" w:sz="4" w:space="0" w:color="000000"/>
                          <w:bottom w:val="single" w:sz="4" w:space="0" w:color="000000"/>
                          <w:right w:val="single" w:sz="4" w:space="0" w:color="000000"/>
                        </w:tcBorders>
                      </w:tcPr>
                      <w:p>
                        <w:pPr/>
                      </w:p>
                    </w:tc>
                    <w:tc>
                      <w:tcPr>
                        <w:tcW w:w="1576" w:type="dxa"/>
                        <w:tcBorders>
                          <w:top w:val="single" w:sz="4" w:space="0" w:color="FFFFFF"/>
                          <w:left w:val="single" w:sz="4" w:space="0" w:color="000000"/>
                          <w:bottom w:val="single" w:sz="4" w:space="0" w:color="000000"/>
                          <w:right w:val="single" w:sz="4" w:space="0" w:color="000000"/>
                        </w:tcBorders>
                      </w:tcPr>
                      <w:p>
                        <w:pPr/>
                      </w:p>
                    </w:tc>
                  </w:tr>
                  <w:tr>
                    <w:trPr>
                      <w:trHeight w:val="350" w:hRule="exact"/>
                    </w:trPr>
                    <w:tc>
                      <w:tcPr>
                        <w:tcW w:w="3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680"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6"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680" w:type="dxa"/>
                        <w:tcBorders>
                          <w:top w:val="single" w:sz="4" w:space="0" w:color="000000"/>
                          <w:left w:val="single" w:sz="14" w:space="0" w:color="DCDCDC"/>
                          <w:bottom w:val="single" w:sz="4" w:space="0" w:color="FFFFFF"/>
                          <w:right w:val="single" w:sz="4" w:space="0" w:color="000000"/>
                        </w:tcBorders>
                      </w:tcPr>
                      <w:p>
                        <w:pPr/>
                      </w:p>
                    </w:tc>
                    <w:tc>
                      <w:tcPr>
                        <w:tcW w:w="1574" w:type="dxa"/>
                        <w:tcBorders>
                          <w:top w:val="single" w:sz="4" w:space="0" w:color="000000"/>
                          <w:left w:val="single" w:sz="4" w:space="0" w:color="000000"/>
                          <w:bottom w:val="single" w:sz="4" w:space="0" w:color="FFFFFF"/>
                          <w:right w:val="single" w:sz="4" w:space="0" w:color="000000"/>
                        </w:tcBorders>
                      </w:tcPr>
                      <w:p>
                        <w:pPr/>
                      </w:p>
                    </w:tc>
                    <w:tc>
                      <w:tcPr>
                        <w:tcW w:w="1680" w:type="dxa"/>
                        <w:tcBorders>
                          <w:top w:val="single" w:sz="4" w:space="0" w:color="000000"/>
                          <w:left w:val="single" w:sz="4" w:space="0" w:color="000000"/>
                          <w:bottom w:val="single" w:sz="4" w:space="0" w:color="FFFFFF"/>
                          <w:right w:val="single" w:sz="4" w:space="0" w:color="000000"/>
                        </w:tcBorders>
                      </w:tcPr>
                      <w:p>
                        <w:pPr/>
                      </w:p>
                    </w:tc>
                    <w:tc>
                      <w:tcPr>
                        <w:tcW w:w="1576" w:type="dxa"/>
                        <w:tcBorders>
                          <w:top w:val="single" w:sz="4" w:space="0" w:color="000000"/>
                          <w:left w:val="single" w:sz="4" w:space="0" w:color="000000"/>
                          <w:bottom w:val="single" w:sz="4" w:space="0" w:color="FFFFFF"/>
                          <w:right w:val="single" w:sz="4" w:space="0" w:color="000000"/>
                        </w:tcBorders>
                      </w:tcPr>
                      <w:p>
                        <w:pPr/>
                      </w:p>
                    </w:tc>
                  </w:tr>
                  <w:tr>
                    <w:trPr>
                      <w:trHeight w:val="349" w:hRule="exact"/>
                    </w:trPr>
                    <w:tc>
                      <w:tcPr>
                        <w:tcW w:w="3256"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680" w:type="dxa"/>
                        <w:tcBorders>
                          <w:top w:val="single" w:sz="4" w:space="0" w:color="FFFFFF"/>
                          <w:left w:val="single" w:sz="14" w:space="0" w:color="DCDCDC"/>
                          <w:bottom w:val="single" w:sz="4" w:space="0" w:color="000000"/>
                          <w:right w:val="single" w:sz="4" w:space="0" w:color="000000"/>
                        </w:tcBorders>
                      </w:tcPr>
                      <w:p>
                        <w:pPr/>
                      </w:p>
                    </w:tc>
                    <w:tc>
                      <w:tcPr>
                        <w:tcW w:w="1574" w:type="dxa"/>
                        <w:tcBorders>
                          <w:top w:val="single" w:sz="4" w:space="0" w:color="FFFFFF"/>
                          <w:left w:val="single" w:sz="4" w:space="0" w:color="000000"/>
                          <w:bottom w:val="single" w:sz="4" w:space="0" w:color="000000"/>
                          <w:right w:val="single" w:sz="4" w:space="0" w:color="000000"/>
                        </w:tcBorders>
                      </w:tcPr>
                      <w:p>
                        <w:pPr/>
                      </w:p>
                    </w:tc>
                    <w:tc>
                      <w:tcPr>
                        <w:tcW w:w="1680" w:type="dxa"/>
                        <w:tcBorders>
                          <w:top w:val="single" w:sz="4" w:space="0" w:color="FFFFFF"/>
                          <w:left w:val="single" w:sz="4" w:space="0" w:color="000000"/>
                          <w:bottom w:val="single" w:sz="4" w:space="0" w:color="000000"/>
                          <w:right w:val="single" w:sz="4" w:space="0" w:color="000000"/>
                        </w:tcBorders>
                      </w:tcPr>
                      <w:p>
                        <w:pPr/>
                      </w:p>
                    </w:tc>
                    <w:tc>
                      <w:tcPr>
                        <w:tcW w:w="1576" w:type="dxa"/>
                        <w:tcBorders>
                          <w:top w:val="single" w:sz="4" w:space="0" w:color="FFFFFF"/>
                          <w:left w:val="single" w:sz="4" w:space="0" w:color="000000"/>
                          <w:bottom w:val="single" w:sz="4" w:space="0" w:color="000000"/>
                          <w:right w:val="single" w:sz="4" w:space="0" w:color="000000"/>
                        </w:tcBorders>
                      </w:tcPr>
                      <w:p>
                        <w:pPr/>
                      </w:p>
                    </w:tc>
                  </w:tr>
                  <w:tr>
                    <w:trPr>
                      <w:trHeight w:val="350" w:hRule="exact"/>
                    </w:trPr>
                    <w:tc>
                      <w:tcPr>
                        <w:tcW w:w="3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680"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18,944,973.02</w:t>
                        </w: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13,293,184.78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3,299,846.59</w:t>
                        </w:r>
                      </w:p>
                    </w:tc>
                  </w:tr>
                  <w:tr>
                    <w:trPr>
                      <w:trHeight w:val="350" w:hRule="exact"/>
                    </w:trPr>
                    <w:tc>
                      <w:tcPr>
                        <w:tcW w:w="3256"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680" w:type="dxa"/>
                        <w:tcBorders>
                          <w:top w:val="single" w:sz="4" w:space="0" w:color="000000"/>
                          <w:left w:val="single" w:sz="14" w:space="0" w:color="DCDCDC"/>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515,848,260.09</w:t>
                        </w:r>
                      </w:p>
                    </w:tc>
                    <w:tc>
                      <w:tcPr>
                        <w:tcW w:w="157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698,668,549.99</w:t>
                        </w:r>
                      </w:p>
                    </w:tc>
                    <w:tc>
                      <w:tcPr>
                        <w:tcW w:w="16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610,649,347.99</w:t>
                        </w:r>
                      </w:p>
                    </w:tc>
                    <w:tc>
                      <w:tcPr>
                        <w:tcW w:w="157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646,374,960.83</w:t>
                        </w:r>
                      </w:p>
                    </w:tc>
                  </w:tr>
                  <w:tr>
                    <w:trPr>
                      <w:trHeight w:val="349" w:hRule="exact"/>
                    </w:trPr>
                    <w:tc>
                      <w:tcPr>
                        <w:tcW w:w="3256"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56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680" w:type="dxa"/>
                        <w:tcBorders>
                          <w:top w:val="single" w:sz="4" w:space="0" w:color="FFFFFF"/>
                          <w:left w:val="single" w:sz="14" w:space="0" w:color="DCDCDC"/>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2,498,960,344.41</w:t>
                        </w:r>
                      </w:p>
                    </w:tc>
                    <w:tc>
                      <w:tcPr>
                        <w:tcW w:w="15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705,984,401.24</w:t>
                        </w:r>
                      </w:p>
                    </w:tc>
                    <w:tc>
                      <w:tcPr>
                        <w:tcW w:w="16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3,336,985,904.92</w:t>
                        </w:r>
                      </w:p>
                    </w:tc>
                    <w:tc>
                      <w:tcPr>
                        <w:tcW w:w="15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669,034,511.10</w:t>
                        </w:r>
                      </w:p>
                    </w:tc>
                  </w:tr>
                  <w:tr>
                    <w:trPr>
                      <w:trHeight w:val="350" w:hRule="exact"/>
                    </w:trPr>
                    <w:tc>
                      <w:tcPr>
                        <w:tcW w:w="3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11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680"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1,569,777,274.53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4,159,851.73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2,206,897,658.69</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16,664,409.40</w:t>
                        </w:r>
                      </w:p>
                    </w:tc>
                  </w:tr>
                  <w:tr>
                    <w:trPr>
                      <w:trHeight w:val="350" w:hRule="exact"/>
                    </w:trPr>
                    <w:tc>
                      <w:tcPr>
                        <w:tcW w:w="3256"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680" w:type="dxa"/>
                        <w:tcBorders>
                          <w:top w:val="single" w:sz="4" w:space="0" w:color="000000"/>
                          <w:left w:val="single" w:sz="14" w:space="0" w:color="DCDCDC"/>
                          <w:bottom w:val="single" w:sz="4" w:space="0" w:color="FFFFFF"/>
                          <w:right w:val="single" w:sz="4" w:space="0" w:color="000000"/>
                        </w:tcBorders>
                      </w:tcPr>
                      <w:p>
                        <w:pPr/>
                      </w:p>
                    </w:tc>
                    <w:tc>
                      <w:tcPr>
                        <w:tcW w:w="1574" w:type="dxa"/>
                        <w:tcBorders>
                          <w:top w:val="single" w:sz="4" w:space="0" w:color="000000"/>
                          <w:left w:val="single" w:sz="4" w:space="0" w:color="000000"/>
                          <w:bottom w:val="single" w:sz="4" w:space="0" w:color="FFFFFF"/>
                          <w:right w:val="single" w:sz="4" w:space="0" w:color="000000"/>
                        </w:tcBorders>
                      </w:tcPr>
                      <w:p>
                        <w:pPr/>
                      </w:p>
                    </w:tc>
                    <w:tc>
                      <w:tcPr>
                        <w:tcW w:w="1680" w:type="dxa"/>
                        <w:tcBorders>
                          <w:top w:val="single" w:sz="4" w:space="0" w:color="000000"/>
                          <w:left w:val="single" w:sz="4" w:space="0" w:color="000000"/>
                          <w:bottom w:val="single" w:sz="4" w:space="0" w:color="FFFFFF"/>
                          <w:right w:val="single" w:sz="4" w:space="0" w:color="000000"/>
                        </w:tcBorders>
                      </w:tcPr>
                      <w:p>
                        <w:pPr/>
                      </w:p>
                    </w:tc>
                    <w:tc>
                      <w:tcPr>
                        <w:tcW w:w="1576" w:type="dxa"/>
                        <w:tcBorders>
                          <w:top w:val="single" w:sz="4" w:space="0" w:color="000000"/>
                          <w:left w:val="single" w:sz="4" w:space="0" w:color="000000"/>
                          <w:bottom w:val="single" w:sz="4" w:space="0" w:color="FFFFFF"/>
                          <w:right w:val="single" w:sz="4" w:space="0" w:color="000000"/>
                        </w:tcBorders>
                      </w:tcPr>
                      <w:p>
                        <w:pPr/>
                      </w:p>
                    </w:tc>
                  </w:tr>
                  <w:tr>
                    <w:trPr>
                      <w:trHeight w:val="349" w:hRule="exact"/>
                    </w:trPr>
                    <w:tc>
                      <w:tcPr>
                        <w:tcW w:w="3256"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680" w:type="dxa"/>
                        <w:tcBorders>
                          <w:top w:val="single" w:sz="4" w:space="0" w:color="FFFFFF"/>
                          <w:left w:val="single" w:sz="14" w:space="0" w:color="DCDCDC"/>
                          <w:bottom w:val="single" w:sz="4" w:space="0" w:color="000000"/>
                          <w:right w:val="single" w:sz="4" w:space="0" w:color="000000"/>
                        </w:tcBorders>
                      </w:tcPr>
                      <w:p>
                        <w:pPr/>
                      </w:p>
                    </w:tc>
                    <w:tc>
                      <w:tcPr>
                        <w:tcW w:w="1574" w:type="dxa"/>
                        <w:tcBorders>
                          <w:top w:val="single" w:sz="4" w:space="0" w:color="FFFFFF"/>
                          <w:left w:val="single" w:sz="4" w:space="0" w:color="000000"/>
                          <w:bottom w:val="single" w:sz="4" w:space="0" w:color="000000"/>
                          <w:right w:val="single" w:sz="4" w:space="0" w:color="000000"/>
                        </w:tcBorders>
                      </w:tcPr>
                      <w:p>
                        <w:pPr/>
                      </w:p>
                    </w:tc>
                    <w:tc>
                      <w:tcPr>
                        <w:tcW w:w="1680" w:type="dxa"/>
                        <w:tcBorders>
                          <w:top w:val="single" w:sz="4" w:space="0" w:color="FFFFFF"/>
                          <w:left w:val="single" w:sz="4" w:space="0" w:color="000000"/>
                          <w:bottom w:val="single" w:sz="4" w:space="0" w:color="000000"/>
                          <w:right w:val="single" w:sz="4" w:space="0" w:color="000000"/>
                        </w:tcBorders>
                      </w:tcPr>
                      <w:p>
                        <w:pPr/>
                      </w:p>
                    </w:tc>
                    <w:tc>
                      <w:tcPr>
                        <w:tcW w:w="1576" w:type="dxa"/>
                        <w:tcBorders>
                          <w:top w:val="single" w:sz="4" w:space="0" w:color="FFFFFF"/>
                          <w:left w:val="single" w:sz="4" w:space="0" w:color="000000"/>
                          <w:bottom w:val="single" w:sz="4" w:space="0" w:color="000000"/>
                          <w:right w:val="single" w:sz="4" w:space="0" w:color="000000"/>
                        </w:tcBorders>
                      </w:tcPr>
                      <w:p>
                        <w:pPr/>
                      </w:p>
                    </w:tc>
                  </w:tr>
                  <w:tr>
                    <w:trPr>
                      <w:trHeight w:val="350" w:hRule="exact"/>
                    </w:trPr>
                    <w:tc>
                      <w:tcPr>
                        <w:tcW w:w="3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11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680" w:type="dxa"/>
                        <w:tcBorders>
                          <w:top w:val="single" w:sz="4" w:space="0" w:color="000000"/>
                          <w:left w:val="single" w:sz="14" w:space="0" w:color="DCDCDC"/>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256"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2"/>
                          <w:ind w:left="11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680" w:type="dxa"/>
                        <w:tcBorders>
                          <w:top w:val="single" w:sz="4" w:space="0" w:color="000000"/>
                          <w:left w:val="single" w:sz="14" w:space="0" w:color="DCDCDC"/>
                          <w:bottom w:val="single" w:sz="4" w:space="0" w:color="FFFFFF"/>
                          <w:right w:val="single" w:sz="4" w:space="0" w:color="000000"/>
                        </w:tcBorders>
                      </w:tcPr>
                      <w:p>
                        <w:pPr/>
                      </w:p>
                    </w:tc>
                    <w:tc>
                      <w:tcPr>
                        <w:tcW w:w="1574" w:type="dxa"/>
                        <w:tcBorders>
                          <w:top w:val="single" w:sz="4" w:space="0" w:color="000000"/>
                          <w:left w:val="single" w:sz="4" w:space="0" w:color="000000"/>
                          <w:bottom w:val="single" w:sz="4" w:space="0" w:color="FFFFFF"/>
                          <w:right w:val="single" w:sz="4" w:space="0" w:color="000000"/>
                        </w:tcBorders>
                      </w:tcPr>
                      <w:p>
                        <w:pPr/>
                      </w:p>
                    </w:tc>
                    <w:tc>
                      <w:tcPr>
                        <w:tcW w:w="1680" w:type="dxa"/>
                        <w:tcBorders>
                          <w:top w:val="single" w:sz="4" w:space="0" w:color="000000"/>
                          <w:left w:val="single" w:sz="4" w:space="0" w:color="000000"/>
                          <w:bottom w:val="single" w:sz="4" w:space="0" w:color="FFFFFF"/>
                          <w:right w:val="single" w:sz="4" w:space="0" w:color="000000"/>
                        </w:tcBorders>
                      </w:tcPr>
                      <w:p>
                        <w:pPr/>
                      </w:p>
                    </w:tc>
                    <w:tc>
                      <w:tcPr>
                        <w:tcW w:w="1576" w:type="dxa"/>
                        <w:tcBorders>
                          <w:top w:val="single" w:sz="4" w:space="0" w:color="000000"/>
                          <w:left w:val="single" w:sz="4" w:space="0" w:color="000000"/>
                          <w:bottom w:val="single" w:sz="4" w:space="0" w:color="FFFFFF"/>
                          <w:right w:val="single" w:sz="4" w:space="0" w:color="000000"/>
                        </w:tcBorders>
                      </w:tcPr>
                      <w:p>
                        <w:pPr/>
                      </w:p>
                    </w:tc>
                  </w:tr>
                  <w:tr>
                    <w:trPr>
                      <w:trHeight w:val="349" w:hRule="exact"/>
                    </w:trPr>
                    <w:tc>
                      <w:tcPr>
                        <w:tcW w:w="3256"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11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680" w:type="dxa"/>
                        <w:tcBorders>
                          <w:top w:val="single" w:sz="4" w:space="0" w:color="FFFFFF"/>
                          <w:left w:val="single" w:sz="14" w:space="0" w:color="DCDCDC"/>
                          <w:bottom w:val="single" w:sz="4" w:space="0" w:color="000000"/>
                          <w:right w:val="single" w:sz="4" w:space="0" w:color="000000"/>
                        </w:tcBorders>
                      </w:tcPr>
                      <w:p>
                        <w:pPr/>
                      </w:p>
                    </w:tc>
                    <w:tc>
                      <w:tcPr>
                        <w:tcW w:w="1574" w:type="dxa"/>
                        <w:tcBorders>
                          <w:top w:val="single" w:sz="4" w:space="0" w:color="FFFFFF"/>
                          <w:left w:val="single" w:sz="4" w:space="0" w:color="000000"/>
                          <w:bottom w:val="single" w:sz="4" w:space="0" w:color="000000"/>
                          <w:right w:val="single" w:sz="4" w:space="0" w:color="000000"/>
                        </w:tcBorders>
                      </w:tcPr>
                      <w:p>
                        <w:pPr/>
                      </w:p>
                    </w:tc>
                    <w:tc>
                      <w:tcPr>
                        <w:tcW w:w="1680" w:type="dxa"/>
                        <w:tcBorders>
                          <w:top w:val="single" w:sz="4" w:space="0" w:color="FFFFFF"/>
                          <w:left w:val="single" w:sz="4" w:space="0" w:color="000000"/>
                          <w:bottom w:val="single" w:sz="4" w:space="0" w:color="000000"/>
                          <w:right w:val="single" w:sz="4" w:space="0" w:color="000000"/>
                        </w:tcBorders>
                      </w:tcPr>
                      <w:p>
                        <w:pPr/>
                      </w:p>
                    </w:tc>
                    <w:tc>
                      <w:tcPr>
                        <w:tcW w:w="1576" w:type="dxa"/>
                        <w:tcBorders>
                          <w:top w:val="single" w:sz="4" w:space="0" w:color="FFFFFF"/>
                          <w:left w:val="single" w:sz="4" w:space="0" w:color="000000"/>
                          <w:bottom w:val="single" w:sz="4" w:space="0" w:color="000000"/>
                          <w:right w:val="single" w:sz="4" w:space="0" w:color="000000"/>
                        </w:tcBorders>
                      </w:tcPr>
                      <w:p>
                        <w:pPr/>
                      </w:p>
                    </w:tc>
                  </w:tr>
                  <w:tr>
                    <w:trPr>
                      <w:trHeight w:val="350" w:hRule="exact"/>
                    </w:trPr>
                    <w:tc>
                      <w:tcPr>
                        <w:tcW w:w="3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680"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141,537,490.67</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4,804,735.81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149,053,692.76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7,397,940.29</w:t>
                        </w:r>
                      </w:p>
                    </w:tc>
                  </w:tr>
                  <w:tr>
                    <w:trPr>
                      <w:trHeight w:val="350" w:hRule="exact"/>
                    </w:trPr>
                    <w:tc>
                      <w:tcPr>
                        <w:tcW w:w="3256"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2"/>
                          <w:ind w:left="11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680" w:type="dxa"/>
                        <w:tcBorders>
                          <w:top w:val="single" w:sz="4" w:space="0" w:color="000000"/>
                          <w:left w:val="single" w:sz="14" w:space="0" w:color="DCDCDC"/>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101,295,211.90</w:t>
                        </w:r>
                      </w:p>
                    </w:tc>
                    <w:tc>
                      <w:tcPr>
                        <w:tcW w:w="157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1,343,965.32</w:t>
                        </w:r>
                      </w:p>
                    </w:tc>
                    <w:tc>
                      <w:tcPr>
                        <w:tcW w:w="16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99,549,629.43</w:t>
                        </w:r>
                      </w:p>
                    </w:tc>
                    <w:tc>
                      <w:tcPr>
                        <w:tcW w:w="157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804,325.82</w:t>
                        </w:r>
                      </w:p>
                    </w:tc>
                  </w:tr>
                  <w:tr>
                    <w:trPr>
                      <w:trHeight w:val="349" w:hRule="exact"/>
                    </w:trPr>
                    <w:tc>
                      <w:tcPr>
                        <w:tcW w:w="3256"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11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680" w:type="dxa"/>
                        <w:tcBorders>
                          <w:top w:val="single" w:sz="4" w:space="0" w:color="FFFFFF"/>
                          <w:left w:val="single" w:sz="14" w:space="0" w:color="DCDCDC"/>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606,866,711.66</w:t>
                        </w:r>
                      </w:p>
                    </w:tc>
                    <w:tc>
                      <w:tcPr>
                        <w:tcW w:w="15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526,661,316.70</w:t>
                        </w:r>
                      </w:p>
                    </w:tc>
                    <w:tc>
                      <w:tcPr>
                        <w:tcW w:w="16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742,665,881.48</w:t>
                        </w:r>
                      </w:p>
                    </w:tc>
                    <w:tc>
                      <w:tcPr>
                        <w:tcW w:w="15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514,577,769.77</w:t>
                        </w:r>
                      </w:p>
                    </w:tc>
                  </w:tr>
                  <w:tr>
                    <w:trPr>
                      <w:trHeight w:val="350" w:hRule="exact"/>
                    </w:trPr>
                    <w:tc>
                      <w:tcPr>
                        <w:tcW w:w="3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680"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2,419,476,688.76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536,969,869.56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3,198,166,862.36</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539,444,445.28</w:t>
                        </w:r>
                      </w:p>
                    </w:tc>
                  </w:tr>
                  <w:tr>
                    <w:trPr>
                      <w:trHeight w:val="377" w:hRule="exact"/>
                    </w:trPr>
                    <w:tc>
                      <w:tcPr>
                        <w:tcW w:w="3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0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80" w:type="dxa"/>
                        <w:tcBorders>
                          <w:top w:val="single" w:sz="4" w:space="0" w:color="000000"/>
                          <w:left w:val="single" w:sz="14" w:space="0" w:color="DCDCDC"/>
                          <w:bottom w:val="single" w:sz="22" w:space="0" w:color="DCDCDC"/>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79,483,655.65</w:t>
                        </w:r>
                      </w:p>
                    </w:tc>
                    <w:tc>
                      <w:tcPr>
                        <w:tcW w:w="1574" w:type="dxa"/>
                        <w:tcBorders>
                          <w:top w:val="single" w:sz="4" w:space="0" w:color="000000"/>
                          <w:left w:val="single" w:sz="4" w:space="0" w:color="000000"/>
                          <w:bottom w:val="single" w:sz="22" w:space="0" w:color="DCDCDC"/>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169,014,531.68</w:t>
                        </w:r>
                      </w:p>
                    </w:tc>
                    <w:tc>
                      <w:tcPr>
                        <w:tcW w:w="1680" w:type="dxa"/>
                        <w:tcBorders>
                          <w:top w:val="single" w:sz="4" w:space="0" w:color="000000"/>
                          <w:left w:val="single" w:sz="4" w:space="0" w:color="000000"/>
                          <w:bottom w:val="single" w:sz="25" w:space="0" w:color="DCDCDC"/>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138,819,042.56</w:t>
                        </w:r>
                      </w:p>
                    </w:tc>
                    <w:tc>
                      <w:tcPr>
                        <w:tcW w:w="1576" w:type="dxa"/>
                        <w:tcBorders>
                          <w:top w:val="single" w:sz="4" w:space="0" w:color="000000"/>
                          <w:left w:val="single" w:sz="4" w:space="0" w:color="000000"/>
                          <w:bottom w:val="single" w:sz="22" w:space="0" w:color="DCDCDC"/>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129,590,065.82</w:t>
                        </w:r>
                      </w:p>
                    </w:tc>
                  </w:tr>
                  <w:tr>
                    <w:trPr>
                      <w:trHeight w:val="296" w:hRule="exact"/>
                    </w:trPr>
                    <w:tc>
                      <w:tcPr>
                        <w:tcW w:w="3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76" w:hRule="exact"/>
                    </w:trPr>
                    <w:tc>
                      <w:tcPr>
                        <w:tcW w:w="3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8"/>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680" w:type="dxa"/>
                        <w:tcBorders>
                          <w:top w:val="single" w:sz="25" w:space="0" w:color="DCDCDC"/>
                          <w:left w:val="single" w:sz="14" w:space="0" w:color="DCDCDC"/>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52,000.00</w:t>
                        </w:r>
                      </w:p>
                    </w:tc>
                    <w:tc>
                      <w:tcPr>
                        <w:tcW w:w="1574" w:type="dxa"/>
                        <w:tcBorders>
                          <w:top w:val="single" w:sz="25" w:space="0" w:color="DCDCDC"/>
                          <w:left w:val="single" w:sz="4" w:space="0" w:color="000000"/>
                          <w:bottom w:val="single" w:sz="4" w:space="0" w:color="000000"/>
                          <w:right w:val="single" w:sz="4" w:space="0" w:color="000000"/>
                        </w:tcBorders>
                      </w:tcPr>
                      <w:p>
                        <w:pPr/>
                      </w:p>
                    </w:tc>
                    <w:tc>
                      <w:tcPr>
                        <w:tcW w:w="1680" w:type="dxa"/>
                        <w:tcBorders>
                          <w:top w:val="single" w:sz="22" w:space="0" w:color="DCDCDC"/>
                          <w:left w:val="single" w:sz="4" w:space="0" w:color="000000"/>
                          <w:bottom w:val="single" w:sz="4" w:space="0" w:color="000000"/>
                          <w:right w:val="single" w:sz="4" w:space="0" w:color="000000"/>
                        </w:tcBorders>
                      </w:tcPr>
                      <w:p>
                        <w:pPr>
                          <w:pStyle w:val="TableParagraph"/>
                          <w:spacing w:line="240" w:lineRule="auto" w:before="26"/>
                          <w:ind w:right="23"/>
                          <w:jc w:val="right"/>
                          <w:rPr>
                            <w:rFonts w:ascii="宋体" w:hAnsi="宋体" w:cs="宋体" w:eastAsia="宋体" w:hint="default"/>
                            <w:sz w:val="18"/>
                            <w:szCs w:val="18"/>
                          </w:rPr>
                        </w:pPr>
                        <w:r>
                          <w:rPr>
                            <w:rFonts w:ascii="宋体"/>
                            <w:sz w:val="18"/>
                          </w:rPr>
                          <w:t>13,486,264.58</w:t>
                        </w:r>
                      </w:p>
                    </w:tc>
                    <w:tc>
                      <w:tcPr>
                        <w:tcW w:w="1576" w:type="dxa"/>
                        <w:tcBorders>
                          <w:top w:val="single" w:sz="25" w:space="0" w:color="DCDCDC"/>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13,486,264.58</w:t>
                        </w:r>
                      </w:p>
                    </w:tc>
                  </w:tr>
                  <w:tr>
                    <w:trPr>
                      <w:trHeight w:val="350" w:hRule="exact"/>
                    </w:trPr>
                    <w:tc>
                      <w:tcPr>
                        <w:tcW w:w="3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680"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5,890,220.41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1,264,220.41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1,049,582.01</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1,049,582.01</w:t>
                        </w:r>
                      </w:p>
                    </w:tc>
                  </w:tr>
                  <w:tr>
                    <w:trPr>
                      <w:trHeight w:val="478" w:hRule="exact"/>
                    </w:trPr>
                    <w:tc>
                      <w:tcPr>
                        <w:tcW w:w="32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资产收回的现金净额</w:t>
                        </w:r>
                      </w:p>
                    </w:tc>
                    <w:tc>
                      <w:tcPr>
                        <w:tcW w:w="1680" w:type="dxa"/>
                        <w:tcBorders>
                          <w:top w:val="single" w:sz="4" w:space="0" w:color="000000"/>
                          <w:left w:val="single" w:sz="14" w:space="0" w:color="DCDCDC"/>
                          <w:bottom w:val="single" w:sz="4"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9,675,258.85</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9,162,247.60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10,775,345.08</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29,000.00</w:t>
                        </w:r>
                      </w:p>
                    </w:tc>
                  </w:tr>
                  <w:tr>
                    <w:trPr>
                      <w:trHeight w:val="478" w:hRule="exact"/>
                    </w:trPr>
                    <w:tc>
                      <w:tcPr>
                        <w:tcW w:w="3256"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现金净额</w:t>
                        </w:r>
                      </w:p>
                    </w:tc>
                    <w:tc>
                      <w:tcPr>
                        <w:tcW w:w="1680" w:type="dxa"/>
                        <w:tcBorders>
                          <w:top w:val="single" w:sz="4" w:space="0" w:color="000000"/>
                          <w:left w:val="single" w:sz="14" w:space="0" w:color="DCDCDC"/>
                          <w:bottom w:val="single" w:sz="4" w:space="0" w:color="FFFFFF"/>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49,893,259.73</w:t>
                        </w:r>
                      </w:p>
                    </w:tc>
                    <w:tc>
                      <w:tcPr>
                        <w:tcW w:w="157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86,116,000.00</w:t>
                        </w:r>
                      </w:p>
                    </w:tc>
                    <w:tc>
                      <w:tcPr>
                        <w:tcW w:w="16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18,797,078.50</w:t>
                        </w:r>
                      </w:p>
                    </w:tc>
                    <w:tc>
                      <w:tcPr>
                        <w:tcW w:w="1576" w:type="dxa"/>
                        <w:tcBorders>
                          <w:top w:val="single" w:sz="4" w:space="0" w:color="000000"/>
                          <w:left w:val="single" w:sz="4" w:space="0" w:color="000000"/>
                          <w:bottom w:val="single" w:sz="4" w:space="0" w:color="FFFFFF"/>
                          <w:right w:val="single" w:sz="4" w:space="0" w:color="000000"/>
                        </w:tcBorders>
                      </w:tcPr>
                      <w:p>
                        <w:pPr/>
                      </w:p>
                    </w:tc>
                  </w:tr>
                  <w:tr>
                    <w:trPr>
                      <w:trHeight w:val="350" w:hRule="exact"/>
                    </w:trPr>
                    <w:tc>
                      <w:tcPr>
                        <w:tcW w:w="3256"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0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680" w:type="dxa"/>
                        <w:tcBorders>
                          <w:top w:val="single" w:sz="4" w:space="0" w:color="FFFFFF"/>
                          <w:left w:val="single" w:sz="14" w:space="0" w:color="DCDCDC"/>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54,791,900.00</w:t>
                        </w:r>
                      </w:p>
                    </w:tc>
                    <w:tc>
                      <w:tcPr>
                        <w:tcW w:w="1574" w:type="dxa"/>
                        <w:tcBorders>
                          <w:top w:val="single" w:sz="4" w:space="0" w:color="FFFFFF"/>
                          <w:left w:val="single" w:sz="4" w:space="0" w:color="000000"/>
                          <w:bottom w:val="single" w:sz="4" w:space="0" w:color="000000"/>
                          <w:right w:val="single" w:sz="4" w:space="0" w:color="000000"/>
                        </w:tcBorders>
                      </w:tcPr>
                      <w:p>
                        <w:pPr/>
                      </w:p>
                    </w:tc>
                    <w:tc>
                      <w:tcPr>
                        <w:tcW w:w="16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156,000,000.00</w:t>
                        </w:r>
                      </w:p>
                    </w:tc>
                    <w:tc>
                      <w:tcPr>
                        <w:tcW w:w="1576" w:type="dxa"/>
                        <w:tcBorders>
                          <w:top w:val="single" w:sz="4" w:space="0" w:color="FFFFFF"/>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spacing w:before="76"/>
        <w:ind w:left="4342" w:right="4415" w:firstLine="0"/>
        <w:jc w:val="center"/>
        <w:rPr>
          <w:rFonts w:ascii="Times New Roman" w:hAnsi="Times New Roman" w:cs="Times New Roman" w:eastAsia="Times New Roman" w:hint="default"/>
          <w:sz w:val="18"/>
          <w:szCs w:val="18"/>
        </w:rPr>
      </w:pPr>
      <w:r>
        <w:rPr>
          <w:rFonts w:ascii="Times New Roman"/>
          <w:sz w:val="18"/>
        </w:rPr>
        <w:t>40</w:t>
      </w:r>
    </w:p>
    <w:p>
      <w:pPr>
        <w:spacing w:after="0"/>
        <w:jc w:val="center"/>
        <w:rPr>
          <w:rFonts w:ascii="Times New Roman" w:hAnsi="Times New Roman" w:cs="Times New Roman" w:eastAsia="Times New Roman" w:hint="default"/>
          <w:sz w:val="18"/>
          <w:szCs w:val="18"/>
        </w:rPr>
        <w:sectPr>
          <w:pgSz w:w="11910" w:h="16840"/>
          <w:pgMar w:top="640" w:bottom="280" w:left="760" w:right="1140"/>
        </w:sectPr>
      </w:pPr>
    </w:p>
    <w:p>
      <w:pPr>
        <w:spacing w:line="240" w:lineRule="auto" w:before="11"/>
        <w:rPr>
          <w:rFonts w:ascii="Times New Roman" w:hAnsi="Times New Roman" w:cs="Times New Roman" w:eastAsia="Times New Roman" w:hint="default"/>
          <w:sz w:val="26"/>
          <w:szCs w:val="26"/>
        </w:rPr>
      </w:pPr>
    </w:p>
    <w:p>
      <w:pPr>
        <w:pStyle w:val="Heading4"/>
        <w:tabs>
          <w:tab w:pos="7363" w:val="left" w:leader="none"/>
        </w:tabs>
        <w:spacing w:line="240" w:lineRule="auto"/>
        <w:ind w:left="4050" w:right="0"/>
        <w:jc w:val="left"/>
        <w:rPr>
          <w:b w:val="0"/>
          <w:bCs w:val="0"/>
        </w:rPr>
      </w:pPr>
      <w:r>
        <w:rPr/>
        <w:pict>
          <v:shape style="position:absolute;margin-left:87.900002pt;margin-top:-11.486023pt;width:95.033pt;height:25.5pt;mso-position-horizontal-relative:page;mso-position-vertical-relative:paragraph;z-index:3184" type="#_x0000_t75" stroked="false">
            <v:imagedata r:id="rId11"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13"/>
        <w:rPr>
          <w:rFonts w:ascii="黑体" w:hAnsi="黑体" w:cs="黑体" w:eastAsia="黑体" w:hint="default"/>
          <w:b/>
          <w:bCs/>
          <w:sz w:val="3"/>
          <w:szCs w:val="3"/>
        </w:rPr>
      </w:pPr>
    </w:p>
    <w:p>
      <w:pPr>
        <w:spacing w:line="20" w:lineRule="exact"/>
        <w:ind w:left="500" w:right="0" w:firstLine="0"/>
        <w:rPr>
          <w:rFonts w:ascii="黑体" w:hAnsi="黑体" w:cs="黑体" w:eastAsia="黑体" w:hint="default"/>
          <w:sz w:val="2"/>
          <w:szCs w:val="2"/>
        </w:rPr>
      </w:pPr>
      <w:r>
        <w:rPr>
          <w:rFonts w:ascii="黑体" w:hAnsi="黑体" w:cs="黑体" w:eastAsia="黑体" w:hint="default"/>
          <w:sz w:val="2"/>
          <w:szCs w:val="2"/>
        </w:rPr>
        <w:pict>
          <v:group style="width:427.95pt;height:.75pt;mso-position-horizontal-relative:char;mso-position-vertical-relative:line" coordorigin="0,0" coordsize="8559,15">
            <v:group style="position:absolute;left:7;top:7;width:8544;height:2" coordorigin="7,7" coordsize="8544,2">
              <v:shape style="position:absolute;left:7;top:7;width:8544;height:2" coordorigin="7,7" coordsize="8544,0" path="m7,7l8551,7e" filled="false" stroked="true" strokeweight=".71997pt" strokecolor="#000000">
                <v:path arrowok="t"/>
              </v:shape>
            </v:group>
          </v:group>
        </w:pict>
      </w:r>
      <w:r>
        <w:rPr>
          <w:rFonts w:ascii="黑体" w:hAnsi="黑体" w:cs="黑体" w:eastAsia="黑体" w:hint="default"/>
          <w:sz w:val="2"/>
          <w:szCs w:val="2"/>
        </w:rPr>
      </w:r>
    </w:p>
    <w:p>
      <w:pPr>
        <w:spacing w:line="240" w:lineRule="auto" w:before="11"/>
        <w:rPr>
          <w:rFonts w:ascii="黑体" w:hAnsi="黑体" w:cs="黑体" w:eastAsia="黑体" w:hint="default"/>
          <w:b/>
          <w:bCs/>
          <w:sz w:val="10"/>
          <w:szCs w:val="10"/>
        </w:rPr>
      </w:pPr>
    </w:p>
    <w:tbl>
      <w:tblPr>
        <w:tblW w:w="0" w:type="auto"/>
        <w:jc w:val="left"/>
        <w:tblInd w:w="113" w:type="dxa"/>
        <w:tblLayout w:type="fixed"/>
        <w:tblCellMar>
          <w:top w:w="0" w:type="dxa"/>
          <w:left w:w="0" w:type="dxa"/>
          <w:bottom w:w="0" w:type="dxa"/>
          <w:right w:w="0" w:type="dxa"/>
        </w:tblCellMar>
        <w:tblLook w:val="01E0"/>
      </w:tblPr>
      <w:tblGrid>
        <w:gridCol w:w="3244"/>
        <w:gridCol w:w="1692"/>
        <w:gridCol w:w="1574"/>
        <w:gridCol w:w="1680"/>
        <w:gridCol w:w="1576"/>
      </w:tblGrid>
      <w:tr>
        <w:trPr>
          <w:trHeight w:val="350"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56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69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120,302,638.99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96,542,468.01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200,108,270.17</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14,564,846.59</w:t>
            </w:r>
          </w:p>
        </w:tc>
      </w:tr>
      <w:tr>
        <w:trPr>
          <w:trHeight w:val="478" w:hRule="exact"/>
        </w:trPr>
        <w:tc>
          <w:tcPr>
            <w:tcW w:w="3244"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资产支付的现金</w:t>
            </w:r>
          </w:p>
        </w:tc>
        <w:tc>
          <w:tcPr>
            <w:tcW w:w="1692" w:type="dxa"/>
            <w:tcBorders>
              <w:top w:val="single" w:sz="4" w:space="0" w:color="000000"/>
              <w:left w:val="single" w:sz="13" w:space="0" w:color="DCDCDC"/>
              <w:bottom w:val="single" w:sz="4" w:space="0" w:color="FFFFFF"/>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28,489,774.60</w:t>
            </w:r>
          </w:p>
        </w:tc>
        <w:tc>
          <w:tcPr>
            <w:tcW w:w="157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4,941,001.97</w:t>
            </w:r>
          </w:p>
        </w:tc>
        <w:tc>
          <w:tcPr>
            <w:tcW w:w="16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60,829,978.24</w:t>
            </w:r>
          </w:p>
        </w:tc>
        <w:tc>
          <w:tcPr>
            <w:tcW w:w="157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2,577,532.26</w:t>
            </w:r>
          </w:p>
        </w:tc>
      </w:tr>
      <w:tr>
        <w:trPr>
          <w:trHeight w:val="350" w:hRule="exact"/>
        </w:trPr>
        <w:tc>
          <w:tcPr>
            <w:tcW w:w="3244"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692"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682,000.00</w:t>
            </w:r>
          </w:p>
        </w:tc>
        <w:tc>
          <w:tcPr>
            <w:tcW w:w="157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195,000,000.00</w:t>
            </w:r>
          </w:p>
        </w:tc>
        <w:tc>
          <w:tcPr>
            <w:tcW w:w="1680" w:type="dxa"/>
            <w:tcBorders>
              <w:top w:val="single" w:sz="4" w:space="0" w:color="FFFFFF"/>
              <w:left w:val="single" w:sz="4" w:space="0" w:color="000000"/>
              <w:bottom w:val="single" w:sz="4" w:space="0" w:color="FFFFFF"/>
              <w:right w:val="single" w:sz="4" w:space="0" w:color="000000"/>
            </w:tcBorders>
          </w:tcPr>
          <w:p>
            <w:pPr/>
          </w:p>
        </w:tc>
        <w:tc>
          <w:tcPr>
            <w:tcW w:w="1576" w:type="dxa"/>
            <w:tcBorders>
              <w:top w:val="single" w:sz="4" w:space="0" w:color="FFFFFF"/>
              <w:left w:val="single" w:sz="4" w:space="0" w:color="000000"/>
              <w:bottom w:val="single" w:sz="4" w:space="0" w:color="FFFFFF"/>
              <w:right w:val="single" w:sz="4" w:space="0" w:color="000000"/>
            </w:tcBorders>
          </w:tcPr>
          <w:p>
            <w:pPr/>
          </w:p>
        </w:tc>
      </w:tr>
      <w:tr>
        <w:trPr>
          <w:trHeight w:val="350" w:hRule="exact"/>
        </w:trPr>
        <w:tc>
          <w:tcPr>
            <w:tcW w:w="3244"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692" w:type="dxa"/>
            <w:tcBorders>
              <w:top w:val="single" w:sz="4" w:space="0" w:color="FFFFFF"/>
              <w:left w:val="single" w:sz="13" w:space="0" w:color="DCDCDC"/>
              <w:bottom w:val="single" w:sz="4" w:space="0" w:color="000000"/>
              <w:right w:val="single" w:sz="4" w:space="0" w:color="000000"/>
            </w:tcBorders>
          </w:tcPr>
          <w:p>
            <w:pPr/>
          </w:p>
        </w:tc>
        <w:tc>
          <w:tcPr>
            <w:tcW w:w="1574" w:type="dxa"/>
            <w:tcBorders>
              <w:top w:val="single" w:sz="4" w:space="0" w:color="FFFFFF"/>
              <w:left w:val="single" w:sz="4" w:space="0" w:color="000000"/>
              <w:bottom w:val="single" w:sz="4" w:space="0" w:color="000000"/>
              <w:right w:val="single" w:sz="4" w:space="0" w:color="000000"/>
            </w:tcBorders>
          </w:tcPr>
          <w:p>
            <w:pPr/>
          </w:p>
        </w:tc>
        <w:tc>
          <w:tcPr>
            <w:tcW w:w="1680" w:type="dxa"/>
            <w:tcBorders>
              <w:top w:val="single" w:sz="4" w:space="0" w:color="FFFFFF"/>
              <w:left w:val="single" w:sz="4" w:space="0" w:color="000000"/>
              <w:bottom w:val="single" w:sz="4" w:space="0" w:color="000000"/>
              <w:right w:val="single" w:sz="4" w:space="0" w:color="000000"/>
            </w:tcBorders>
          </w:tcPr>
          <w:p>
            <w:pPr/>
          </w:p>
        </w:tc>
        <w:tc>
          <w:tcPr>
            <w:tcW w:w="1576" w:type="dxa"/>
            <w:tcBorders>
              <w:top w:val="single" w:sz="4" w:space="0" w:color="FFFFFF"/>
              <w:left w:val="single" w:sz="4" w:space="0" w:color="000000"/>
              <w:bottom w:val="single" w:sz="4" w:space="0" w:color="000000"/>
              <w:right w:val="single" w:sz="4" w:space="0" w:color="000000"/>
            </w:tcBorders>
          </w:tcPr>
          <w:p>
            <w:pPr/>
          </w:p>
        </w:tc>
      </w:tr>
      <w:tr>
        <w:trPr>
          <w:trHeight w:val="478" w:hRule="exact"/>
        </w:trPr>
        <w:tc>
          <w:tcPr>
            <w:tcW w:w="3244"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现金净额</w:t>
            </w:r>
          </w:p>
        </w:tc>
        <w:tc>
          <w:tcPr>
            <w:tcW w:w="1692" w:type="dxa"/>
            <w:tcBorders>
              <w:top w:val="single" w:sz="4" w:space="0" w:color="000000"/>
              <w:left w:val="single" w:sz="13" w:space="0" w:color="DCDCDC"/>
              <w:bottom w:val="single" w:sz="4" w:space="0" w:color="FFFFFF"/>
              <w:right w:val="single" w:sz="4" w:space="0" w:color="000000"/>
            </w:tcBorders>
          </w:tcPr>
          <w:p>
            <w:pPr/>
          </w:p>
        </w:tc>
        <w:tc>
          <w:tcPr>
            <w:tcW w:w="157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11,561,000.00</w:t>
            </w:r>
          </w:p>
        </w:tc>
        <w:tc>
          <w:tcPr>
            <w:tcW w:w="1680" w:type="dxa"/>
            <w:tcBorders>
              <w:top w:val="single" w:sz="4" w:space="0" w:color="000000"/>
              <w:left w:val="single" w:sz="4" w:space="0" w:color="000000"/>
              <w:bottom w:val="single" w:sz="4" w:space="0" w:color="FFFFFF"/>
              <w:right w:val="single" w:sz="4" w:space="0" w:color="000000"/>
            </w:tcBorders>
          </w:tcPr>
          <w:p>
            <w:pPr/>
          </w:p>
        </w:tc>
        <w:tc>
          <w:tcPr>
            <w:tcW w:w="1576" w:type="dxa"/>
            <w:tcBorders>
              <w:top w:val="single" w:sz="4" w:space="0" w:color="000000"/>
              <w:left w:val="single" w:sz="4" w:space="0" w:color="000000"/>
              <w:bottom w:val="single" w:sz="4" w:space="0" w:color="FFFFFF"/>
              <w:right w:val="single" w:sz="4" w:space="0" w:color="000000"/>
            </w:tcBorders>
          </w:tcPr>
          <w:p>
            <w:pPr/>
          </w:p>
        </w:tc>
      </w:tr>
      <w:tr>
        <w:trPr>
          <w:trHeight w:val="350" w:hRule="exact"/>
        </w:trPr>
        <w:tc>
          <w:tcPr>
            <w:tcW w:w="3244"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2"/>
              <w:ind w:left="20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692" w:type="dxa"/>
            <w:tcBorders>
              <w:top w:val="single" w:sz="4" w:space="0" w:color="FFFFFF"/>
              <w:left w:val="single" w:sz="13" w:space="0" w:color="DCDCDC"/>
              <w:bottom w:val="single" w:sz="4" w:space="0" w:color="FFFFFF"/>
              <w:right w:val="single" w:sz="4" w:space="0" w:color="000000"/>
            </w:tcBorders>
          </w:tcPr>
          <w:p>
            <w:pPr/>
          </w:p>
        </w:tc>
        <w:tc>
          <w:tcPr>
            <w:tcW w:w="1574" w:type="dxa"/>
            <w:tcBorders>
              <w:top w:val="single" w:sz="4" w:space="0" w:color="FFFFFF"/>
              <w:left w:val="single" w:sz="4" w:space="0" w:color="000000"/>
              <w:bottom w:val="single" w:sz="4" w:space="0" w:color="FFFFFF"/>
              <w:right w:val="single" w:sz="4" w:space="0" w:color="000000"/>
            </w:tcBorders>
          </w:tcPr>
          <w:p>
            <w:pPr/>
          </w:p>
        </w:tc>
        <w:tc>
          <w:tcPr>
            <w:tcW w:w="1680" w:type="dxa"/>
            <w:tcBorders>
              <w:top w:val="single" w:sz="4" w:space="0" w:color="FFFFFF"/>
              <w:left w:val="single" w:sz="4" w:space="0" w:color="000000"/>
              <w:bottom w:val="single" w:sz="4" w:space="0" w:color="FFFFFF"/>
              <w:right w:val="single" w:sz="4" w:space="0" w:color="000000"/>
            </w:tcBorders>
          </w:tcPr>
          <w:p>
            <w:pPr/>
          </w:p>
        </w:tc>
        <w:tc>
          <w:tcPr>
            <w:tcW w:w="1576" w:type="dxa"/>
            <w:tcBorders>
              <w:top w:val="single" w:sz="4" w:space="0" w:color="FFFFFF"/>
              <w:left w:val="single" w:sz="4" w:space="0" w:color="000000"/>
              <w:bottom w:val="single" w:sz="4" w:space="0" w:color="FFFFFF"/>
              <w:right w:val="single" w:sz="4" w:space="0" w:color="000000"/>
            </w:tcBorders>
          </w:tcPr>
          <w:p>
            <w:pPr/>
          </w:p>
        </w:tc>
      </w:tr>
      <w:tr>
        <w:trPr>
          <w:trHeight w:val="349" w:hRule="exact"/>
        </w:trPr>
        <w:tc>
          <w:tcPr>
            <w:tcW w:w="3244"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2"/>
              <w:ind w:left="56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692"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29,171,774.60</w:t>
            </w:r>
          </w:p>
        </w:tc>
        <w:tc>
          <w:tcPr>
            <w:tcW w:w="157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211,502,001.97</w:t>
            </w:r>
          </w:p>
        </w:tc>
        <w:tc>
          <w:tcPr>
            <w:tcW w:w="168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60,829,978.24</w:t>
            </w:r>
          </w:p>
        </w:tc>
        <w:tc>
          <w:tcPr>
            <w:tcW w:w="15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2,577,532.26</w:t>
            </w:r>
          </w:p>
        </w:tc>
      </w:tr>
      <w:tr>
        <w:trPr>
          <w:trHeight w:val="377" w:hRule="exact"/>
        </w:trPr>
        <w:tc>
          <w:tcPr>
            <w:tcW w:w="3244"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692" w:type="dxa"/>
            <w:tcBorders>
              <w:top w:val="single" w:sz="4" w:space="0" w:color="FFFFFF"/>
              <w:left w:val="single" w:sz="13" w:space="0" w:color="DCDCDC"/>
              <w:bottom w:val="single" w:sz="25" w:space="0" w:color="DCDCDC"/>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91,130,864.39</w:t>
            </w:r>
          </w:p>
        </w:tc>
        <w:tc>
          <w:tcPr>
            <w:tcW w:w="1574" w:type="dxa"/>
            <w:tcBorders>
              <w:top w:val="single" w:sz="4" w:space="0" w:color="FFFFFF"/>
              <w:left w:val="single" w:sz="4" w:space="0" w:color="000000"/>
              <w:bottom w:val="single" w:sz="25" w:space="0" w:color="DCDCDC"/>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-114,959,533.96</w:t>
            </w:r>
          </w:p>
        </w:tc>
        <w:tc>
          <w:tcPr>
            <w:tcW w:w="1680" w:type="dxa"/>
            <w:tcBorders>
              <w:top w:val="single" w:sz="4" w:space="0" w:color="FFFFFF"/>
              <w:left w:val="single" w:sz="4" w:space="0" w:color="000000"/>
              <w:bottom w:val="single" w:sz="25" w:space="0" w:color="DCDCDC"/>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139,278,291.93</w:t>
            </w:r>
          </w:p>
        </w:tc>
        <w:tc>
          <w:tcPr>
            <w:tcW w:w="1576" w:type="dxa"/>
            <w:tcBorders>
              <w:top w:val="single" w:sz="4" w:space="0" w:color="FFFFFF"/>
              <w:left w:val="single" w:sz="4" w:space="0" w:color="000000"/>
              <w:bottom w:val="single" w:sz="25" w:space="0" w:color="DCDCDC"/>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11,987,314.33</w:t>
            </w:r>
          </w:p>
        </w:tc>
      </w:tr>
      <w:tr>
        <w:trPr>
          <w:trHeight w:val="297"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ind w:left="20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69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76"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76" w:hRule="exact"/>
        </w:trPr>
        <w:tc>
          <w:tcPr>
            <w:tcW w:w="324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692" w:type="dxa"/>
            <w:tcBorders>
              <w:top w:val="single" w:sz="26" w:space="0" w:color="DCDCDC"/>
              <w:left w:val="single" w:sz="13" w:space="0" w:color="DCDCDC"/>
              <w:bottom w:val="single" w:sz="4" w:space="0" w:color="000000"/>
              <w:right w:val="single" w:sz="4" w:space="0" w:color="000000"/>
            </w:tcBorders>
          </w:tcPr>
          <w:p>
            <w:pPr/>
          </w:p>
        </w:tc>
        <w:tc>
          <w:tcPr>
            <w:tcW w:w="1574" w:type="dxa"/>
            <w:tcBorders>
              <w:top w:val="single" w:sz="26" w:space="0" w:color="DCDCDC"/>
              <w:left w:val="single" w:sz="4" w:space="0" w:color="000000"/>
              <w:bottom w:val="single" w:sz="4" w:space="0" w:color="000000"/>
              <w:right w:val="single" w:sz="4" w:space="0" w:color="000000"/>
            </w:tcBorders>
          </w:tcPr>
          <w:p>
            <w:pPr/>
          </w:p>
        </w:tc>
        <w:tc>
          <w:tcPr>
            <w:tcW w:w="1680" w:type="dxa"/>
            <w:tcBorders>
              <w:top w:val="single" w:sz="26" w:space="0" w:color="DCDCDC"/>
              <w:left w:val="single" w:sz="4" w:space="0" w:color="000000"/>
              <w:bottom w:val="single" w:sz="4" w:space="0" w:color="000000"/>
              <w:right w:val="single" w:sz="4" w:space="0" w:color="000000"/>
            </w:tcBorders>
          </w:tcPr>
          <w:p>
            <w:pPr/>
          </w:p>
        </w:tc>
        <w:tc>
          <w:tcPr>
            <w:tcW w:w="1576" w:type="dxa"/>
            <w:tcBorders>
              <w:top w:val="single" w:sz="26" w:space="0" w:color="DCDCDC"/>
              <w:left w:val="single" w:sz="4" w:space="0" w:color="000000"/>
              <w:bottom w:val="single" w:sz="4" w:space="0" w:color="000000"/>
              <w:right w:val="single" w:sz="4" w:space="0" w:color="000000"/>
            </w:tcBorders>
          </w:tcPr>
          <w:p>
            <w:pPr/>
          </w:p>
        </w:tc>
      </w:tr>
      <w:tr>
        <w:trPr>
          <w:trHeight w:val="479" w:hRule="exact"/>
        </w:trPr>
        <w:tc>
          <w:tcPr>
            <w:tcW w:w="3244"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其中：子公司吸收少数股东投资收到</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692" w:type="dxa"/>
            <w:tcBorders>
              <w:top w:val="single" w:sz="4" w:space="0" w:color="000000"/>
              <w:left w:val="single" w:sz="13" w:space="0" w:color="DCDCDC"/>
              <w:bottom w:val="single" w:sz="4" w:space="0" w:color="FFFFFF"/>
              <w:right w:val="single" w:sz="4" w:space="0" w:color="000000"/>
            </w:tcBorders>
          </w:tcPr>
          <w:p>
            <w:pPr/>
          </w:p>
        </w:tc>
        <w:tc>
          <w:tcPr>
            <w:tcW w:w="1574" w:type="dxa"/>
            <w:tcBorders>
              <w:top w:val="single" w:sz="4" w:space="0" w:color="000000"/>
              <w:left w:val="single" w:sz="4" w:space="0" w:color="000000"/>
              <w:bottom w:val="single" w:sz="4" w:space="0" w:color="FFFFFF"/>
              <w:right w:val="single" w:sz="4" w:space="0" w:color="000000"/>
            </w:tcBorders>
          </w:tcPr>
          <w:p>
            <w:pPr/>
          </w:p>
        </w:tc>
        <w:tc>
          <w:tcPr>
            <w:tcW w:w="1680" w:type="dxa"/>
            <w:tcBorders>
              <w:top w:val="single" w:sz="4" w:space="0" w:color="000000"/>
              <w:left w:val="single" w:sz="4" w:space="0" w:color="000000"/>
              <w:bottom w:val="single" w:sz="4" w:space="0" w:color="FFFFFF"/>
              <w:right w:val="single" w:sz="4" w:space="0" w:color="000000"/>
            </w:tcBorders>
          </w:tcPr>
          <w:p>
            <w:pPr/>
          </w:p>
        </w:tc>
        <w:tc>
          <w:tcPr>
            <w:tcW w:w="1576" w:type="dxa"/>
            <w:tcBorders>
              <w:top w:val="single" w:sz="4" w:space="0" w:color="000000"/>
              <w:left w:val="single" w:sz="4" w:space="0" w:color="000000"/>
              <w:bottom w:val="single" w:sz="4" w:space="0" w:color="FFFFFF"/>
              <w:right w:val="single" w:sz="4" w:space="0" w:color="000000"/>
            </w:tcBorders>
          </w:tcPr>
          <w:p>
            <w:pPr/>
          </w:p>
        </w:tc>
      </w:tr>
      <w:tr>
        <w:trPr>
          <w:trHeight w:val="349" w:hRule="exact"/>
        </w:trPr>
        <w:tc>
          <w:tcPr>
            <w:tcW w:w="3244"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2"/>
              <w:ind w:left="29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692"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1,034,721,370.85</w:t>
            </w:r>
          </w:p>
        </w:tc>
        <w:tc>
          <w:tcPr>
            <w:tcW w:w="157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210,000,000.00</w:t>
            </w:r>
          </w:p>
        </w:tc>
        <w:tc>
          <w:tcPr>
            <w:tcW w:w="168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932,507,667.56</w:t>
            </w:r>
          </w:p>
        </w:tc>
        <w:tc>
          <w:tcPr>
            <w:tcW w:w="15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212,227,667.56</w:t>
            </w:r>
          </w:p>
        </w:tc>
      </w:tr>
      <w:tr>
        <w:trPr>
          <w:trHeight w:val="350" w:hRule="exact"/>
        </w:trPr>
        <w:tc>
          <w:tcPr>
            <w:tcW w:w="3244"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2"/>
              <w:ind w:left="29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692" w:type="dxa"/>
            <w:tcBorders>
              <w:top w:val="single" w:sz="4" w:space="0" w:color="FFFFFF"/>
              <w:left w:val="single" w:sz="13" w:space="0" w:color="DCDCDC"/>
              <w:bottom w:val="single" w:sz="4" w:space="0" w:color="FFFFFF"/>
              <w:right w:val="single" w:sz="4" w:space="0" w:color="000000"/>
            </w:tcBorders>
          </w:tcPr>
          <w:p>
            <w:pPr/>
          </w:p>
        </w:tc>
        <w:tc>
          <w:tcPr>
            <w:tcW w:w="1574" w:type="dxa"/>
            <w:tcBorders>
              <w:top w:val="single" w:sz="4" w:space="0" w:color="FFFFFF"/>
              <w:left w:val="single" w:sz="4" w:space="0" w:color="000000"/>
              <w:bottom w:val="single" w:sz="4" w:space="0" w:color="FFFFFF"/>
              <w:right w:val="single" w:sz="4" w:space="0" w:color="000000"/>
            </w:tcBorders>
          </w:tcPr>
          <w:p>
            <w:pPr/>
          </w:p>
        </w:tc>
        <w:tc>
          <w:tcPr>
            <w:tcW w:w="1680" w:type="dxa"/>
            <w:tcBorders>
              <w:top w:val="single" w:sz="4" w:space="0" w:color="FFFFFF"/>
              <w:left w:val="single" w:sz="4" w:space="0" w:color="000000"/>
              <w:bottom w:val="single" w:sz="4" w:space="0" w:color="FFFFFF"/>
              <w:right w:val="single" w:sz="4" w:space="0" w:color="000000"/>
            </w:tcBorders>
          </w:tcPr>
          <w:p>
            <w:pPr/>
          </w:p>
        </w:tc>
        <w:tc>
          <w:tcPr>
            <w:tcW w:w="1576" w:type="dxa"/>
            <w:tcBorders>
              <w:top w:val="single" w:sz="4" w:space="0" w:color="FFFFFF"/>
              <w:left w:val="single" w:sz="4" w:space="0" w:color="000000"/>
              <w:bottom w:val="single" w:sz="4" w:space="0" w:color="FFFFFF"/>
              <w:right w:val="single" w:sz="4" w:space="0" w:color="000000"/>
            </w:tcBorders>
          </w:tcPr>
          <w:p>
            <w:pPr/>
          </w:p>
        </w:tc>
      </w:tr>
      <w:tr>
        <w:trPr>
          <w:trHeight w:val="350" w:hRule="exact"/>
        </w:trPr>
        <w:tc>
          <w:tcPr>
            <w:tcW w:w="3244"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2"/>
              <w:ind w:left="20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692"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235,468,164.24</w:t>
            </w:r>
          </w:p>
        </w:tc>
        <w:tc>
          <w:tcPr>
            <w:tcW w:w="157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125,896,680.67</w:t>
            </w:r>
          </w:p>
        </w:tc>
        <w:tc>
          <w:tcPr>
            <w:tcW w:w="168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244,783,174.46</w:t>
            </w:r>
          </w:p>
        </w:tc>
        <w:tc>
          <w:tcPr>
            <w:tcW w:w="15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137,489,829.35</w:t>
            </w:r>
          </w:p>
        </w:tc>
      </w:tr>
      <w:tr>
        <w:trPr>
          <w:trHeight w:val="349" w:hRule="exact"/>
        </w:trPr>
        <w:tc>
          <w:tcPr>
            <w:tcW w:w="3244"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2"/>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692"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1,270,189,535.09</w:t>
            </w:r>
          </w:p>
        </w:tc>
        <w:tc>
          <w:tcPr>
            <w:tcW w:w="157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335,896,680.67</w:t>
            </w:r>
          </w:p>
        </w:tc>
        <w:tc>
          <w:tcPr>
            <w:tcW w:w="168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1,177,290,842.02</w:t>
            </w:r>
          </w:p>
        </w:tc>
        <w:tc>
          <w:tcPr>
            <w:tcW w:w="15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349,717,496.91</w:t>
            </w:r>
          </w:p>
        </w:tc>
      </w:tr>
      <w:tr>
        <w:trPr>
          <w:trHeight w:val="350" w:hRule="exact"/>
        </w:trPr>
        <w:tc>
          <w:tcPr>
            <w:tcW w:w="3244"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692"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1,104,582,801.39</w:t>
            </w:r>
          </w:p>
        </w:tc>
        <w:tc>
          <w:tcPr>
            <w:tcW w:w="157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211,000,000.00</w:t>
            </w:r>
          </w:p>
        </w:tc>
        <w:tc>
          <w:tcPr>
            <w:tcW w:w="168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1,148,779,221.29</w:t>
            </w:r>
          </w:p>
        </w:tc>
        <w:tc>
          <w:tcPr>
            <w:tcW w:w="15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322,384,900.29</w:t>
            </w:r>
          </w:p>
        </w:tc>
      </w:tr>
      <w:tr>
        <w:trPr>
          <w:trHeight w:val="350" w:hRule="exact"/>
        </w:trPr>
        <w:tc>
          <w:tcPr>
            <w:tcW w:w="3244"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02"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分配股利、利润或偿付利息支付的现金</w:t>
            </w:r>
          </w:p>
        </w:tc>
        <w:tc>
          <w:tcPr>
            <w:tcW w:w="1692"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89,282,273.55</w:t>
            </w:r>
          </w:p>
        </w:tc>
        <w:tc>
          <w:tcPr>
            <w:tcW w:w="15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21,941,320.99</w:t>
            </w:r>
          </w:p>
        </w:tc>
        <w:tc>
          <w:tcPr>
            <w:tcW w:w="16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86,382,674.02</w:t>
            </w:r>
          </w:p>
        </w:tc>
        <w:tc>
          <w:tcPr>
            <w:tcW w:w="15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18,474,461.60</w:t>
            </w:r>
          </w:p>
        </w:tc>
      </w:tr>
      <w:tr>
        <w:trPr>
          <w:trHeight w:val="478" w:hRule="exact"/>
        </w:trPr>
        <w:tc>
          <w:tcPr>
            <w:tcW w:w="3244" w:type="dxa"/>
            <w:tcBorders>
              <w:top w:val="single" w:sz="4" w:space="0" w:color="000000"/>
              <w:left w:val="single" w:sz="4" w:space="0" w:color="000000"/>
              <w:bottom w:val="single" w:sz="4" w:space="0" w:color="FFFFFF"/>
              <w:right w:val="single" w:sz="4" w:space="0" w:color="000000"/>
            </w:tcBorders>
            <w:shd w:val="clear" w:color="auto" w:fill="DCDCDC"/>
          </w:tcPr>
          <w:p>
            <w:pPr>
              <w:pStyle w:val="TableParagraph"/>
              <w:spacing w:line="205" w:lineRule="exact"/>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利、利润</w:t>
            </w:r>
          </w:p>
        </w:tc>
        <w:tc>
          <w:tcPr>
            <w:tcW w:w="1692" w:type="dxa"/>
            <w:tcBorders>
              <w:top w:val="single" w:sz="4" w:space="0" w:color="000000"/>
              <w:left w:val="single" w:sz="13" w:space="0" w:color="DCDCDC"/>
              <w:bottom w:val="single" w:sz="4" w:space="0" w:color="FFFFFF"/>
              <w:right w:val="single" w:sz="4" w:space="0" w:color="000000"/>
            </w:tcBorders>
          </w:tcPr>
          <w:p>
            <w:pPr/>
          </w:p>
        </w:tc>
        <w:tc>
          <w:tcPr>
            <w:tcW w:w="1574" w:type="dxa"/>
            <w:tcBorders>
              <w:top w:val="single" w:sz="4" w:space="0" w:color="000000"/>
              <w:left w:val="single" w:sz="4" w:space="0" w:color="000000"/>
              <w:bottom w:val="single" w:sz="4" w:space="0" w:color="FFFFFF"/>
              <w:right w:val="single" w:sz="4" w:space="0" w:color="000000"/>
            </w:tcBorders>
          </w:tcPr>
          <w:p>
            <w:pPr/>
          </w:p>
        </w:tc>
        <w:tc>
          <w:tcPr>
            <w:tcW w:w="168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sz w:val="18"/>
              </w:rPr>
              <w:t>1,350,000.00</w:t>
            </w:r>
          </w:p>
        </w:tc>
        <w:tc>
          <w:tcPr>
            <w:tcW w:w="1576" w:type="dxa"/>
            <w:tcBorders>
              <w:top w:val="single" w:sz="4" w:space="0" w:color="000000"/>
              <w:left w:val="single" w:sz="4" w:space="0" w:color="000000"/>
              <w:bottom w:val="single" w:sz="4" w:space="0" w:color="FFFFFF"/>
              <w:right w:val="single" w:sz="4" w:space="0" w:color="000000"/>
            </w:tcBorders>
          </w:tcPr>
          <w:p>
            <w:pPr/>
          </w:p>
        </w:tc>
      </w:tr>
      <w:tr>
        <w:trPr>
          <w:trHeight w:val="350" w:hRule="exact"/>
        </w:trPr>
        <w:tc>
          <w:tcPr>
            <w:tcW w:w="3244"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2"/>
              <w:ind w:left="20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692"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228,505,000.00</w:t>
            </w:r>
          </w:p>
        </w:tc>
        <w:tc>
          <w:tcPr>
            <w:tcW w:w="157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158,505,000.00</w:t>
            </w:r>
          </w:p>
        </w:tc>
        <w:tc>
          <w:tcPr>
            <w:tcW w:w="168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201,940,000.00</w:t>
            </w:r>
          </w:p>
        </w:tc>
        <w:tc>
          <w:tcPr>
            <w:tcW w:w="15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139,500,000.00</w:t>
            </w:r>
          </w:p>
        </w:tc>
      </w:tr>
      <w:tr>
        <w:trPr>
          <w:trHeight w:val="349" w:hRule="exact"/>
        </w:trPr>
        <w:tc>
          <w:tcPr>
            <w:tcW w:w="3244"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692"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1,422,370,074.94</w:t>
            </w:r>
          </w:p>
        </w:tc>
        <w:tc>
          <w:tcPr>
            <w:tcW w:w="157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391,446,320.99</w:t>
            </w:r>
          </w:p>
        </w:tc>
        <w:tc>
          <w:tcPr>
            <w:tcW w:w="168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1,437,101,895.31</w:t>
            </w:r>
          </w:p>
        </w:tc>
        <w:tc>
          <w:tcPr>
            <w:tcW w:w="15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480,359,361.89</w:t>
            </w:r>
          </w:p>
        </w:tc>
      </w:tr>
      <w:tr>
        <w:trPr>
          <w:trHeight w:val="350" w:hRule="exact"/>
        </w:trPr>
        <w:tc>
          <w:tcPr>
            <w:tcW w:w="3244"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2"/>
              <w:ind w:left="38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692"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-152,180,539.85</w:t>
            </w:r>
          </w:p>
        </w:tc>
        <w:tc>
          <w:tcPr>
            <w:tcW w:w="157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-55,549,640.32</w:t>
            </w:r>
          </w:p>
        </w:tc>
        <w:tc>
          <w:tcPr>
            <w:tcW w:w="168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-259,811,053.29</w:t>
            </w:r>
          </w:p>
        </w:tc>
        <w:tc>
          <w:tcPr>
            <w:tcW w:w="15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-130,641,864.98</w:t>
            </w:r>
          </w:p>
        </w:tc>
      </w:tr>
      <w:tr>
        <w:trPr>
          <w:trHeight w:val="350" w:hRule="exact"/>
        </w:trPr>
        <w:tc>
          <w:tcPr>
            <w:tcW w:w="3244"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四、汇率变动对现金及现金等价物的影响</w:t>
            </w:r>
          </w:p>
        </w:tc>
        <w:tc>
          <w:tcPr>
            <w:tcW w:w="1692"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-32,739.83</w:t>
            </w:r>
          </w:p>
        </w:tc>
        <w:tc>
          <w:tcPr>
            <w:tcW w:w="1574" w:type="dxa"/>
            <w:tcBorders>
              <w:top w:val="single" w:sz="4" w:space="0" w:color="FFFFFF"/>
              <w:left w:val="single" w:sz="4" w:space="0" w:color="000000"/>
              <w:bottom w:val="single" w:sz="4" w:space="0" w:color="FFFFFF"/>
              <w:right w:val="single" w:sz="4" w:space="0" w:color="000000"/>
            </w:tcBorders>
          </w:tcPr>
          <w:p>
            <w:pPr/>
          </w:p>
        </w:tc>
        <w:tc>
          <w:tcPr>
            <w:tcW w:w="168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-674,410.44</w:t>
            </w:r>
          </w:p>
        </w:tc>
        <w:tc>
          <w:tcPr>
            <w:tcW w:w="15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2"/>
              <w:jc w:val="right"/>
              <w:rPr>
                <w:rFonts w:ascii="宋体" w:hAnsi="宋体" w:cs="宋体" w:eastAsia="宋体" w:hint="default"/>
                <w:sz w:val="18"/>
                <w:szCs w:val="18"/>
              </w:rPr>
            </w:pPr>
            <w:r>
              <w:rPr>
                <w:rFonts w:ascii="宋体"/>
                <w:sz w:val="18"/>
              </w:rPr>
              <w:t>-11,533.18</w:t>
            </w:r>
          </w:p>
        </w:tc>
      </w:tr>
      <w:tr>
        <w:trPr>
          <w:trHeight w:val="349" w:hRule="exact"/>
        </w:trPr>
        <w:tc>
          <w:tcPr>
            <w:tcW w:w="3244"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692"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18,401,240.36</w:t>
            </w:r>
          </w:p>
        </w:tc>
        <w:tc>
          <w:tcPr>
            <w:tcW w:w="157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-1,494,642.60</w:t>
            </w:r>
          </w:p>
        </w:tc>
        <w:tc>
          <w:tcPr>
            <w:tcW w:w="168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17,611,870.76</w:t>
            </w:r>
          </w:p>
        </w:tc>
        <w:tc>
          <w:tcPr>
            <w:tcW w:w="15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10,923,981.99</w:t>
            </w:r>
          </w:p>
        </w:tc>
      </w:tr>
      <w:tr>
        <w:trPr>
          <w:trHeight w:val="350" w:hRule="exact"/>
        </w:trPr>
        <w:tc>
          <w:tcPr>
            <w:tcW w:w="3244"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22"/>
              <w:ind w:left="29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692" w:type="dxa"/>
            <w:tcBorders>
              <w:top w:val="single" w:sz="4" w:space="0" w:color="FFFFFF"/>
              <w:left w:val="single" w:sz="13" w:space="0" w:color="DCDCDC"/>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254,201,202.52</w:t>
            </w:r>
          </w:p>
        </w:tc>
        <w:tc>
          <w:tcPr>
            <w:tcW w:w="1574"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12,647,372.43</w:t>
            </w:r>
          </w:p>
        </w:tc>
        <w:tc>
          <w:tcPr>
            <w:tcW w:w="168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236,589,331.76</w:t>
            </w:r>
          </w:p>
        </w:tc>
        <w:tc>
          <w:tcPr>
            <w:tcW w:w="157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1,723,390.44</w:t>
            </w:r>
          </w:p>
        </w:tc>
      </w:tr>
      <w:tr>
        <w:trPr>
          <w:trHeight w:val="350" w:hRule="exact"/>
        </w:trPr>
        <w:tc>
          <w:tcPr>
            <w:tcW w:w="3244"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692" w:type="dxa"/>
            <w:tcBorders>
              <w:top w:val="single" w:sz="4" w:space="0" w:color="FFFFFF"/>
              <w:left w:val="single" w:sz="13" w:space="0" w:color="DCDCDC"/>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272,602,442.88</w:t>
            </w:r>
          </w:p>
        </w:tc>
        <w:tc>
          <w:tcPr>
            <w:tcW w:w="157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11,152,729.83</w:t>
            </w:r>
          </w:p>
        </w:tc>
        <w:tc>
          <w:tcPr>
            <w:tcW w:w="168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254,201,202.52</w:t>
            </w:r>
          </w:p>
        </w:tc>
        <w:tc>
          <w:tcPr>
            <w:tcW w:w="157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12,647,372.43</w:t>
            </w: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8"/>
          <w:szCs w:val="28"/>
        </w:rPr>
      </w:pPr>
    </w:p>
    <w:p>
      <w:pPr>
        <w:spacing w:before="76"/>
        <w:ind w:left="4333" w:right="4415" w:firstLine="0"/>
        <w:jc w:val="center"/>
        <w:rPr>
          <w:rFonts w:ascii="Times New Roman" w:hAnsi="Times New Roman" w:cs="Times New Roman" w:eastAsia="Times New Roman" w:hint="default"/>
          <w:sz w:val="18"/>
          <w:szCs w:val="18"/>
        </w:rPr>
      </w:pPr>
      <w:r>
        <w:rPr>
          <w:rFonts w:ascii="Times New Roman"/>
          <w:sz w:val="18"/>
        </w:rPr>
        <w:t>41</w:t>
      </w:r>
    </w:p>
    <w:p>
      <w:pPr>
        <w:spacing w:after="0"/>
        <w:jc w:val="center"/>
        <w:rPr>
          <w:rFonts w:ascii="Times New Roman" w:hAnsi="Times New Roman" w:cs="Times New Roman" w:eastAsia="Times New Roman" w:hint="default"/>
          <w:sz w:val="18"/>
          <w:szCs w:val="18"/>
        </w:rPr>
        <w:sectPr>
          <w:pgSz w:w="11910" w:h="16840"/>
          <w:pgMar w:top="640" w:bottom="280" w:left="1220" w:right="680"/>
        </w:sectPr>
      </w:pPr>
    </w:p>
    <w:p>
      <w:pPr>
        <w:spacing w:line="240" w:lineRule="auto" w:before="5"/>
        <w:rPr>
          <w:rFonts w:ascii="Times New Roman" w:hAnsi="Times New Roman" w:cs="Times New Roman" w:eastAsia="Times New Roman" w:hint="default"/>
          <w:sz w:val="27"/>
          <w:szCs w:val="27"/>
        </w:rPr>
      </w:pPr>
      <w:r>
        <w:rPr/>
        <w:pict>
          <v:shape style="position:absolute;margin-left:56.691002pt;margin-top:42.540001pt;width:94.99284pt;height:25.515pt;mso-position-horizontal-relative:page;mso-position-vertical-relative:page;z-index:-705952" type="#_x0000_t75" stroked="false">
            <v:imagedata r:id="rId12" o:title=""/>
          </v:shape>
        </w:pict>
      </w:r>
    </w:p>
    <w:tbl>
      <w:tblPr>
        <w:tblW w:w="0" w:type="auto"/>
        <w:jc w:val="left"/>
        <w:tblInd w:w="120" w:type="dxa"/>
        <w:tblLayout w:type="fixed"/>
        <w:tblCellMar>
          <w:top w:w="0" w:type="dxa"/>
          <w:left w:w="0" w:type="dxa"/>
          <w:bottom w:w="0" w:type="dxa"/>
          <w:right w:w="0" w:type="dxa"/>
        </w:tblCellMar>
        <w:tblLook w:val="01E0"/>
      </w:tblPr>
      <w:tblGrid>
        <w:gridCol w:w="5864"/>
        <w:gridCol w:w="3049"/>
        <w:gridCol w:w="736"/>
        <w:gridCol w:w="1364"/>
        <w:gridCol w:w="1050"/>
        <w:gridCol w:w="2836"/>
      </w:tblGrid>
      <w:tr>
        <w:trPr>
          <w:trHeight w:val="369" w:hRule="exact"/>
        </w:trPr>
        <w:tc>
          <w:tcPr>
            <w:tcW w:w="5864"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3605" w:right="0"/>
              <w:jc w:val="left"/>
              <w:rPr>
                <w:rFonts w:ascii="黑体" w:hAnsi="黑体" w:cs="黑体" w:eastAsia="黑体" w:hint="default"/>
                <w:sz w:val="21"/>
                <w:szCs w:val="21"/>
              </w:rPr>
            </w:pPr>
            <w:r>
              <w:rPr>
                <w:rFonts w:ascii="黑体" w:hAnsi="黑体" w:cs="黑体" w:eastAsia="黑体" w:hint="default"/>
                <w:b/>
                <w:bCs/>
                <w:sz w:val="21"/>
                <w:szCs w:val="21"/>
              </w:rPr>
              <w:t>2009</w:t>
            </w:r>
            <w:r>
              <w:rPr>
                <w:rFonts w:ascii="黑体" w:hAnsi="黑体" w:cs="黑体" w:eastAsia="黑体" w:hint="default"/>
                <w:b/>
                <w:bCs/>
                <w:spacing w:val="-63"/>
                <w:sz w:val="21"/>
                <w:szCs w:val="21"/>
              </w:rPr>
              <w:t> </w:t>
            </w:r>
            <w:r>
              <w:rPr>
                <w:rFonts w:ascii="黑体" w:hAnsi="黑体" w:cs="黑体" w:eastAsia="黑体" w:hint="default"/>
                <w:b/>
                <w:bCs/>
                <w:sz w:val="21"/>
                <w:szCs w:val="21"/>
              </w:rPr>
              <w:t>年年度报告正文</w:t>
            </w:r>
            <w:r>
              <w:rPr>
                <w:rFonts w:ascii="黑体" w:hAnsi="黑体" w:cs="黑体" w:eastAsia="黑体" w:hint="default"/>
                <w:sz w:val="21"/>
                <w:szCs w:val="21"/>
              </w:rPr>
            </w:r>
          </w:p>
        </w:tc>
        <w:tc>
          <w:tcPr>
            <w:tcW w:w="3049" w:type="dxa"/>
            <w:tcBorders>
              <w:top w:val="nil" w:sz="6" w:space="0" w:color="auto"/>
              <w:left w:val="nil" w:sz="6" w:space="0" w:color="auto"/>
              <w:bottom w:val="single" w:sz="6" w:space="0" w:color="000000"/>
              <w:right w:val="nil" w:sz="6" w:space="0" w:color="auto"/>
            </w:tcBorders>
          </w:tcPr>
          <w:p>
            <w:pPr>
              <w:pStyle w:val="TableParagraph"/>
              <w:spacing w:line="240" w:lineRule="auto" w:before="35"/>
              <w:ind w:left="1054" w:right="0"/>
              <w:jc w:val="left"/>
              <w:rPr>
                <w:rFonts w:ascii="黑体" w:hAnsi="黑体" w:cs="黑体" w:eastAsia="黑体" w:hint="default"/>
                <w:sz w:val="21"/>
                <w:szCs w:val="21"/>
              </w:rPr>
            </w:pPr>
            <w:r>
              <w:rPr>
                <w:rFonts w:ascii="黑体" w:hAnsi="黑体" w:cs="黑体" w:eastAsia="黑体" w:hint="default"/>
                <w:b/>
                <w:bCs/>
                <w:sz w:val="21"/>
                <w:szCs w:val="21"/>
              </w:rPr>
              <w:t>证券代码</w:t>
            </w:r>
            <w:r>
              <w:rPr>
                <w:rFonts w:ascii="黑体" w:hAnsi="黑体" w:cs="黑体" w:eastAsia="黑体" w:hint="default"/>
                <w:b/>
                <w:bCs/>
                <w:spacing w:val="-63"/>
                <w:sz w:val="21"/>
                <w:szCs w:val="21"/>
              </w:rPr>
              <w:t> </w:t>
            </w:r>
            <w:r>
              <w:rPr>
                <w:rFonts w:ascii="黑体" w:hAnsi="黑体" w:cs="黑体" w:eastAsia="黑体" w:hint="default"/>
                <w:b/>
                <w:bCs/>
                <w:sz w:val="21"/>
                <w:szCs w:val="21"/>
              </w:rPr>
              <w:t>000607</w:t>
            </w:r>
            <w:r>
              <w:rPr>
                <w:rFonts w:ascii="黑体" w:hAnsi="黑体" w:cs="黑体" w:eastAsia="黑体" w:hint="default"/>
                <w:sz w:val="21"/>
                <w:szCs w:val="21"/>
              </w:rPr>
            </w:r>
          </w:p>
        </w:tc>
        <w:tc>
          <w:tcPr>
            <w:tcW w:w="5986" w:type="dxa"/>
            <w:gridSpan w:val="4"/>
            <w:tcBorders>
              <w:top w:val="nil" w:sz="6" w:space="0" w:color="auto"/>
              <w:left w:val="nil" w:sz="6" w:space="0" w:color="auto"/>
              <w:bottom w:val="nil" w:sz="6" w:space="0" w:color="auto"/>
              <w:right w:val="nil" w:sz="6" w:space="0" w:color="auto"/>
            </w:tcBorders>
          </w:tcPr>
          <w:p>
            <w:pPr/>
          </w:p>
        </w:tc>
      </w:tr>
      <w:tr>
        <w:trPr>
          <w:trHeight w:val="1016" w:hRule="exact"/>
        </w:trPr>
        <w:tc>
          <w:tcPr>
            <w:tcW w:w="586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编制单位：重庆华立药业股份有限公司</w:t>
            </w:r>
          </w:p>
        </w:tc>
        <w:tc>
          <w:tcPr>
            <w:tcW w:w="3049" w:type="dxa"/>
            <w:tcBorders>
              <w:top w:val="single" w:sz="6" w:space="0" w:color="000000"/>
              <w:left w:val="nil" w:sz="6" w:space="0" w:color="auto"/>
              <w:bottom w:val="nil" w:sz="6" w:space="0" w:color="auto"/>
              <w:right w:val="nil" w:sz="6" w:space="0" w:color="auto"/>
            </w:tcBorders>
          </w:tcPr>
          <w:p>
            <w:pPr>
              <w:pStyle w:val="TableParagraph"/>
              <w:spacing w:line="240" w:lineRule="auto" w:before="81"/>
              <w:ind w:right="18"/>
              <w:jc w:val="center"/>
              <w:rPr>
                <w:rFonts w:ascii="宋体" w:hAnsi="宋体" w:cs="宋体" w:eastAsia="宋体" w:hint="default"/>
                <w:sz w:val="24"/>
                <w:szCs w:val="24"/>
              </w:rPr>
            </w:pPr>
            <w:r>
              <w:rPr>
                <w:rFonts w:ascii="宋体" w:hAnsi="宋体" w:cs="宋体" w:eastAsia="宋体" w:hint="default"/>
                <w:b/>
                <w:bCs/>
                <w:sz w:val="24"/>
                <w:szCs w:val="24"/>
              </w:rPr>
              <w:t>合并所有者权益变动表</w:t>
            </w:r>
            <w:r>
              <w:rPr>
                <w:rFonts w:ascii="宋体" w:hAnsi="宋体" w:cs="宋体" w:eastAsia="宋体" w:hint="default"/>
                <w:sz w:val="24"/>
                <w:szCs w:val="24"/>
              </w:rPr>
            </w: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46"/>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年度</w:t>
            </w:r>
          </w:p>
        </w:tc>
        <w:tc>
          <w:tcPr>
            <w:tcW w:w="736" w:type="dxa"/>
            <w:tcBorders>
              <w:top w:val="single" w:sz="6" w:space="0" w:color="000000"/>
              <w:left w:val="nil" w:sz="6" w:space="0" w:color="auto"/>
              <w:bottom w:val="nil" w:sz="6" w:space="0" w:color="auto"/>
              <w:right w:val="nil" w:sz="6" w:space="0" w:color="auto"/>
            </w:tcBorders>
          </w:tcPr>
          <w:p>
            <w:pPr/>
          </w:p>
        </w:tc>
        <w:tc>
          <w:tcPr>
            <w:tcW w:w="1364" w:type="dxa"/>
            <w:tcBorders>
              <w:top w:val="single" w:sz="6" w:space="0" w:color="000000"/>
              <w:left w:val="nil" w:sz="6" w:space="0" w:color="auto"/>
              <w:bottom w:val="nil" w:sz="6" w:space="0" w:color="auto"/>
              <w:right w:val="nil" w:sz="6" w:space="0" w:color="auto"/>
            </w:tcBorders>
          </w:tcPr>
          <w:p>
            <w:pPr/>
          </w:p>
        </w:tc>
        <w:tc>
          <w:tcPr>
            <w:tcW w:w="1050" w:type="dxa"/>
            <w:tcBorders>
              <w:top w:val="single" w:sz="6" w:space="0" w:color="000000"/>
              <w:left w:val="nil" w:sz="6" w:space="0" w:color="auto"/>
              <w:bottom w:val="nil" w:sz="6" w:space="0" w:color="auto"/>
              <w:right w:val="nil" w:sz="6" w:space="0" w:color="auto"/>
            </w:tcBorders>
          </w:tcPr>
          <w:p>
            <w:pPr/>
          </w:p>
        </w:tc>
        <w:tc>
          <w:tcPr>
            <w:tcW w:w="283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pacing w:val="-2"/>
                <w:sz w:val="21"/>
                <w:szCs w:val="21"/>
              </w:rPr>
              <w:t>单</w:t>
            </w:r>
            <w:r>
              <w:rPr>
                <w:rFonts w:ascii="宋体" w:hAnsi="宋体" w:cs="宋体" w:eastAsia="宋体" w:hint="default"/>
                <w:spacing w:val="-1"/>
                <w:sz w:val="21"/>
                <w:szCs w:val="21"/>
              </w:rPr>
              <w:t>位</w:t>
            </w:r>
            <w:r>
              <w:rPr>
                <w:rFonts w:ascii="宋体" w:hAnsi="宋体" w:cs="宋体" w:eastAsia="宋体" w:hint="default"/>
                <w:spacing w:val="-105"/>
                <w:sz w:val="21"/>
                <w:szCs w:val="21"/>
              </w:rPr>
              <w:t>：</w:t>
            </w:r>
            <w:r>
              <w:rPr>
                <w:rFonts w:ascii="宋体" w:hAnsi="宋体" w:cs="宋体" w:eastAsia="宋体" w:hint="default"/>
                <w:sz w:val="21"/>
                <w:szCs w:val="21"/>
              </w:rPr>
              <w:t>（人民</w:t>
            </w:r>
            <w:r>
              <w:rPr>
                <w:rFonts w:ascii="宋体" w:hAnsi="宋体" w:cs="宋体" w:eastAsia="宋体" w:hint="default"/>
                <w:spacing w:val="-2"/>
                <w:sz w:val="21"/>
                <w:szCs w:val="21"/>
              </w:rPr>
              <w:t>币</w:t>
            </w:r>
            <w:r>
              <w:rPr>
                <w:rFonts w:ascii="宋体" w:hAnsi="宋体" w:cs="宋体" w:eastAsia="宋体" w:hint="default"/>
                <w:sz w:val="21"/>
                <w:szCs w:val="21"/>
              </w:rPr>
              <w:t>）元</w:t>
            </w:r>
          </w:p>
        </w:tc>
      </w:tr>
      <w:tr>
        <w:trPr>
          <w:trHeight w:val="323" w:hRule="exact"/>
        </w:trPr>
        <w:tc>
          <w:tcPr>
            <w:tcW w:w="5864" w:type="dxa"/>
            <w:tcBorders>
              <w:top w:val="nil" w:sz="6" w:space="0" w:color="auto"/>
              <w:left w:val="nil" w:sz="6" w:space="0" w:color="auto"/>
              <w:bottom w:val="nil" w:sz="6" w:space="0" w:color="auto"/>
              <w:right w:val="nil" w:sz="6" w:space="0" w:color="auto"/>
            </w:tcBorders>
          </w:tcPr>
          <w:p>
            <w:pP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212" w:hRule="exact"/>
        </w:trPr>
        <w:tc>
          <w:tcPr>
            <w:tcW w:w="5864" w:type="dxa"/>
            <w:tcBorders>
              <w:top w:val="nil" w:sz="6" w:space="0" w:color="auto"/>
              <w:left w:val="nil" w:sz="6" w:space="0" w:color="auto"/>
              <w:bottom w:val="nil" w:sz="6" w:space="0" w:color="auto"/>
              <w:right w:val="nil" w:sz="6" w:space="0" w:color="auto"/>
            </w:tcBorders>
          </w:tcPr>
          <w:p>
            <w:pP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118" w:hRule="exact"/>
        </w:trPr>
        <w:tc>
          <w:tcPr>
            <w:tcW w:w="5864" w:type="dxa"/>
            <w:tcBorders>
              <w:top w:val="nil" w:sz="6" w:space="0" w:color="auto"/>
              <w:left w:val="nil" w:sz="6" w:space="0" w:color="auto"/>
              <w:bottom w:val="nil" w:sz="6" w:space="0" w:color="auto"/>
              <w:right w:val="nil" w:sz="6" w:space="0" w:color="auto"/>
            </w:tcBorders>
          </w:tcPr>
          <w:p>
            <w:pP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121" w:hRule="exact"/>
        </w:trPr>
        <w:tc>
          <w:tcPr>
            <w:tcW w:w="5864" w:type="dxa"/>
            <w:tcBorders>
              <w:top w:val="nil" w:sz="6" w:space="0" w:color="auto"/>
              <w:left w:val="nil" w:sz="6" w:space="0" w:color="auto"/>
              <w:bottom w:val="nil" w:sz="6" w:space="0" w:color="auto"/>
              <w:right w:val="nil" w:sz="6" w:space="0" w:color="auto"/>
            </w:tcBorders>
          </w:tcPr>
          <w:p>
            <w:pP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119" w:hRule="exact"/>
        </w:trPr>
        <w:tc>
          <w:tcPr>
            <w:tcW w:w="5864" w:type="dxa"/>
            <w:tcBorders>
              <w:top w:val="nil" w:sz="6" w:space="0" w:color="auto"/>
              <w:left w:val="nil" w:sz="6" w:space="0" w:color="auto"/>
              <w:bottom w:val="nil" w:sz="6" w:space="0" w:color="auto"/>
              <w:right w:val="nil" w:sz="6" w:space="0" w:color="auto"/>
            </w:tcBorders>
          </w:tcPr>
          <w:p>
            <w:pP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234" w:hRule="exact"/>
        </w:trPr>
        <w:tc>
          <w:tcPr>
            <w:tcW w:w="5864" w:type="dxa"/>
            <w:tcBorders>
              <w:top w:val="nil" w:sz="6" w:space="0" w:color="auto"/>
              <w:left w:val="nil" w:sz="6" w:space="0" w:color="auto"/>
              <w:bottom w:val="nil" w:sz="6" w:space="0" w:color="auto"/>
              <w:right w:val="nil" w:sz="6" w:space="0" w:color="auto"/>
            </w:tcBorders>
          </w:tcPr>
          <w:p>
            <w:pP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211" w:hRule="exact"/>
        </w:trPr>
        <w:tc>
          <w:tcPr>
            <w:tcW w:w="5864" w:type="dxa"/>
            <w:tcBorders>
              <w:top w:val="nil" w:sz="6" w:space="0" w:color="auto"/>
              <w:left w:val="nil" w:sz="6" w:space="0" w:color="auto"/>
              <w:bottom w:val="nil" w:sz="6" w:space="0" w:color="auto"/>
              <w:right w:val="nil" w:sz="6" w:space="0" w:color="auto"/>
            </w:tcBorders>
          </w:tcPr>
          <w:p>
            <w:pP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1" w:hRule="exact"/>
        </w:trPr>
        <w:tc>
          <w:tcPr>
            <w:tcW w:w="5864" w:type="dxa"/>
            <w:tcBorders>
              <w:top w:val="nil" w:sz="6" w:space="0" w:color="auto"/>
              <w:left w:val="nil" w:sz="6" w:space="0" w:color="auto"/>
              <w:bottom w:val="nil" w:sz="6" w:space="0" w:color="auto"/>
              <w:right w:val="nil" w:sz="6" w:space="0" w:color="auto"/>
            </w:tcBorders>
          </w:tcPr>
          <w:p>
            <w:pP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0"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0"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1"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0"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0"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1"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0"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0"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1"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0"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0"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1"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0"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0"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1"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0"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0"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r>
        <w:trPr>
          <w:trHeight w:val="341" w:hRule="exact"/>
        </w:trPr>
        <w:tc>
          <w:tcPr>
            <w:tcW w:w="58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
                <w:szCs w:val="3"/>
              </w:rPr>
            </w:pPr>
          </w:p>
          <w:p>
            <w:pPr>
              <w:pStyle w:val="TableParagraph"/>
              <w:spacing w:line="256" w:lineRule="exact"/>
              <w:ind w:left="384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pict>
                <v:group style="width:1.150pt;height:12.85pt;mso-position-horizontal-relative:char;mso-position-vertical-relative:line" coordorigin="0,0" coordsize="23,257">
                  <v:group style="position:absolute;left:11;top:11;width:2;height:234" coordorigin="11,11" coordsize="2,234">
                    <v:shape style="position:absolute;left:11;top:11;width:2;height:234" coordorigin="11,11" coordsize="0,234" path="m11,11l11,245e" filled="false" stroked="true" strokeweight="1.140pt" strokecolor="#dcdcdc">
                      <v:path arrowok="t"/>
                    </v:shape>
                  </v:group>
                </v:group>
              </w:pict>
            </w:r>
            <w:r>
              <w:rPr>
                <w:rFonts w:ascii="Times New Roman" w:hAnsi="Times New Roman" w:cs="Times New Roman" w:eastAsia="Times New Roman" w:hint="default"/>
                <w:position w:val="-4"/>
                <w:sz w:val="20"/>
                <w:szCs w:val="20"/>
              </w:rPr>
            </w:r>
          </w:p>
        </w:tc>
        <w:tc>
          <w:tcPr>
            <w:tcW w:w="3049" w:type="dxa"/>
            <w:tcBorders>
              <w:top w:val="nil" w:sz="6" w:space="0" w:color="auto"/>
              <w:left w:val="nil" w:sz="6" w:space="0" w:color="auto"/>
              <w:bottom w:val="nil" w:sz="6" w:space="0" w:color="auto"/>
              <w:right w:val="nil" w:sz="6" w:space="0" w:color="auto"/>
            </w:tcBorders>
          </w:tcPr>
          <w:p>
            <w:pPr/>
          </w:p>
        </w:tc>
        <w:tc>
          <w:tcPr>
            <w:tcW w:w="73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p>
      <w:pPr>
        <w:spacing w:before="0"/>
        <w:ind w:left="6153" w:right="6292" w:firstLine="0"/>
        <w:jc w:val="center"/>
        <w:rPr>
          <w:rFonts w:ascii="Times New Roman" w:hAnsi="Times New Roman" w:cs="Times New Roman" w:eastAsia="Times New Roman" w:hint="default"/>
          <w:sz w:val="18"/>
          <w:szCs w:val="18"/>
        </w:rPr>
      </w:pPr>
      <w:r>
        <w:rPr/>
        <w:pict>
          <v:shape style="position:absolute;margin-left:51.795494pt;margin-top:-412.077667pt;width:745.7pt;height:390.45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73"/>
                    <w:gridCol w:w="1366"/>
                    <w:gridCol w:w="1260"/>
                    <w:gridCol w:w="630"/>
                    <w:gridCol w:w="524"/>
                    <w:gridCol w:w="1260"/>
                    <w:gridCol w:w="736"/>
                    <w:gridCol w:w="1364"/>
                    <w:gridCol w:w="1050"/>
                    <w:gridCol w:w="1366"/>
                    <w:gridCol w:w="1470"/>
                  </w:tblGrid>
                  <w:tr>
                    <w:trPr>
                      <w:trHeight w:val="323" w:hRule="exact"/>
                    </w:trPr>
                    <w:tc>
                      <w:tcPr>
                        <w:tcW w:w="3873" w:type="dxa"/>
                        <w:vMerge w:val="restart"/>
                        <w:tcBorders>
                          <w:top w:val="single" w:sz="4" w:space="0" w:color="000000"/>
                          <w:left w:val="single" w:sz="4" w:space="0" w:color="000000"/>
                          <w:right w:val="single" w:sz="4" w:space="0" w:color="000000"/>
                        </w:tcBorders>
                        <w:shd w:val="clear" w:color="auto" w:fill="DCDCDC"/>
                      </w:tcPr>
                      <w:p>
                        <w:pPr/>
                      </w:p>
                    </w:tc>
                    <w:tc>
                      <w:tcPr>
                        <w:tcW w:w="11026"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29"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12" w:hRule="exact"/>
                    </w:trPr>
                    <w:tc>
                      <w:tcPr>
                        <w:tcW w:w="3873" w:type="dxa"/>
                        <w:vMerge/>
                        <w:tcBorders>
                          <w:left w:val="single" w:sz="4" w:space="0" w:color="000000"/>
                          <w:bottom w:val="nil" w:sz="6" w:space="0" w:color="auto"/>
                          <w:right w:val="single" w:sz="4" w:space="0" w:color="000000"/>
                        </w:tcBorders>
                        <w:shd w:val="clear" w:color="auto" w:fill="DCDCDC"/>
                      </w:tcPr>
                      <w:p>
                        <w:pPr/>
                      </w:p>
                    </w:tc>
                    <w:tc>
                      <w:tcPr>
                        <w:tcW w:w="8190" w:type="dxa"/>
                        <w:gridSpan w:val="8"/>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66" w:type="dxa"/>
                        <w:vMerge w:val="restart"/>
                        <w:tcBorders>
                          <w:top w:val="single" w:sz="4" w:space="0" w:color="000000"/>
                          <w:left w:val="single" w:sz="4" w:space="0" w:color="000000"/>
                          <w:right w:val="single" w:sz="4" w:space="0" w:color="000000"/>
                        </w:tcBorders>
                        <w:shd w:val="clear" w:color="auto" w:fill="DCDCDC"/>
                      </w:tcPr>
                      <w:p>
                        <w:pPr/>
                      </w:p>
                    </w:tc>
                    <w:tc>
                      <w:tcPr>
                        <w:tcW w:w="1470" w:type="dxa"/>
                        <w:vMerge w:val="restart"/>
                        <w:tcBorders>
                          <w:top w:val="single" w:sz="4" w:space="0" w:color="000000"/>
                          <w:left w:val="single" w:sz="4" w:space="0" w:color="000000"/>
                          <w:right w:val="single" w:sz="4" w:space="0" w:color="000000"/>
                        </w:tcBorders>
                        <w:shd w:val="clear" w:color="auto" w:fill="DCDCDC"/>
                      </w:tcPr>
                      <w:p>
                        <w:pPr/>
                      </w:p>
                    </w:tc>
                  </w:tr>
                  <w:tr>
                    <w:trPr>
                      <w:trHeight w:val="118" w:hRule="exact"/>
                    </w:trPr>
                    <w:tc>
                      <w:tcPr>
                        <w:tcW w:w="3873" w:type="dxa"/>
                        <w:vMerge w:val="restart"/>
                        <w:tcBorders>
                          <w:top w:val="nil" w:sz="6" w:space="0" w:color="auto"/>
                          <w:left w:val="single" w:sz="4" w:space="0" w:color="000000"/>
                          <w:right w:val="single" w:sz="4" w:space="0" w:color="000000"/>
                        </w:tcBorders>
                        <w:shd w:val="clear" w:color="auto" w:fill="DCDCDC"/>
                      </w:tcPr>
                      <w:p>
                        <w:pPr>
                          <w:pStyle w:val="TableParagraph"/>
                          <w:spacing w:line="205" w:lineRule="exact"/>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8190" w:type="dxa"/>
                        <w:gridSpan w:val="8"/>
                        <w:vMerge/>
                        <w:tcBorders>
                          <w:left w:val="single" w:sz="4" w:space="0" w:color="000000"/>
                          <w:bottom w:val="single" w:sz="4" w:space="0" w:color="000000"/>
                          <w:right w:val="single" w:sz="4" w:space="0" w:color="000000"/>
                        </w:tcBorders>
                        <w:shd w:val="clear" w:color="auto" w:fill="DCDCDC"/>
                      </w:tcPr>
                      <w:p>
                        <w:pPr/>
                      </w:p>
                    </w:tc>
                    <w:tc>
                      <w:tcPr>
                        <w:tcW w:w="1366" w:type="dxa"/>
                        <w:vMerge/>
                        <w:tcBorders>
                          <w:left w:val="single" w:sz="4" w:space="0" w:color="000000"/>
                          <w:bottom w:val="nil" w:sz="6" w:space="0" w:color="auto"/>
                          <w:right w:val="single" w:sz="4" w:space="0" w:color="000000"/>
                        </w:tcBorders>
                        <w:shd w:val="clear" w:color="auto" w:fill="DCDCDC"/>
                      </w:tcPr>
                      <w:p>
                        <w:pPr/>
                      </w:p>
                    </w:tc>
                    <w:tc>
                      <w:tcPr>
                        <w:tcW w:w="1470" w:type="dxa"/>
                        <w:vMerge/>
                        <w:tcBorders>
                          <w:left w:val="single" w:sz="4" w:space="0" w:color="000000"/>
                          <w:bottom w:val="nil" w:sz="6" w:space="0" w:color="auto"/>
                          <w:right w:val="single" w:sz="4" w:space="0" w:color="000000"/>
                        </w:tcBorders>
                        <w:shd w:val="clear" w:color="auto" w:fill="DCDCDC"/>
                      </w:tcPr>
                      <w:p>
                        <w:pPr/>
                      </w:p>
                    </w:tc>
                  </w:tr>
                  <w:tr>
                    <w:trPr>
                      <w:trHeight w:val="120" w:hRule="exact"/>
                    </w:trPr>
                    <w:tc>
                      <w:tcPr>
                        <w:tcW w:w="3873" w:type="dxa"/>
                        <w:vMerge/>
                        <w:tcBorders>
                          <w:left w:val="single" w:sz="4" w:space="0" w:color="000000"/>
                          <w:bottom w:val="nil" w:sz="6" w:space="0" w:color="auto"/>
                          <w:right w:val="single" w:sz="4" w:space="0" w:color="000000"/>
                        </w:tcBorders>
                        <w:shd w:val="clear" w:color="auto" w:fill="DCDCDC"/>
                      </w:tcPr>
                      <w:p>
                        <w:pPr/>
                      </w:p>
                    </w:tc>
                    <w:tc>
                      <w:tcPr>
                        <w:tcW w:w="1366" w:type="dxa"/>
                        <w:tcBorders>
                          <w:top w:val="single" w:sz="35" w:space="0" w:color="DCDCDC"/>
                          <w:left w:val="single" w:sz="10" w:space="0" w:color="DCDCDC"/>
                          <w:bottom w:val="nil" w:sz="6" w:space="0" w:color="auto"/>
                          <w:right w:val="single" w:sz="10" w:space="0" w:color="DCDCDC"/>
                        </w:tcBorders>
                      </w:tcPr>
                      <w:p>
                        <w:pPr/>
                      </w:p>
                    </w:tc>
                    <w:tc>
                      <w:tcPr>
                        <w:tcW w:w="1260" w:type="dxa"/>
                        <w:vMerge w:val="restart"/>
                        <w:tcBorders>
                          <w:top w:val="single" w:sz="4" w:space="0" w:color="000000"/>
                          <w:left w:val="single" w:sz="4" w:space="0" w:color="000000"/>
                          <w:right w:val="single" w:sz="4" w:space="0" w:color="000000"/>
                        </w:tcBorders>
                        <w:shd w:val="clear" w:color="auto" w:fill="DCDCDC"/>
                      </w:tcPr>
                      <w:p>
                        <w:pPr/>
                      </w:p>
                    </w:tc>
                    <w:tc>
                      <w:tcPr>
                        <w:tcW w:w="630" w:type="dxa"/>
                        <w:tcBorders>
                          <w:top w:val="single" w:sz="35" w:space="0" w:color="DCDCDC"/>
                          <w:left w:val="single" w:sz="10" w:space="0" w:color="DCDCDC"/>
                          <w:bottom w:val="nil" w:sz="6" w:space="0" w:color="auto"/>
                          <w:right w:val="single" w:sz="10" w:space="0" w:color="DCDCDC"/>
                        </w:tcBorders>
                      </w:tcPr>
                      <w:p>
                        <w:pPr/>
                      </w:p>
                    </w:tc>
                    <w:tc>
                      <w:tcPr>
                        <w:tcW w:w="524" w:type="dxa"/>
                        <w:tcBorders>
                          <w:top w:val="single" w:sz="35" w:space="0" w:color="DCDCDC"/>
                          <w:left w:val="single" w:sz="10" w:space="0" w:color="DCDCDC"/>
                          <w:bottom w:val="nil" w:sz="6" w:space="0" w:color="auto"/>
                          <w:right w:val="single" w:sz="10" w:space="0" w:color="DCDCDC"/>
                        </w:tcBorders>
                      </w:tcPr>
                      <w:p>
                        <w:pPr/>
                      </w:p>
                    </w:tc>
                    <w:tc>
                      <w:tcPr>
                        <w:tcW w:w="1260" w:type="dxa"/>
                        <w:vMerge w:val="restart"/>
                        <w:tcBorders>
                          <w:top w:val="single" w:sz="4" w:space="0" w:color="000000"/>
                          <w:left w:val="single" w:sz="4" w:space="0" w:color="000000"/>
                          <w:right w:val="single" w:sz="4" w:space="0" w:color="000000"/>
                        </w:tcBorders>
                        <w:shd w:val="clear" w:color="auto" w:fill="DCDCDC"/>
                      </w:tcPr>
                      <w:p>
                        <w:pPr/>
                      </w:p>
                    </w:tc>
                    <w:tc>
                      <w:tcPr>
                        <w:tcW w:w="736" w:type="dxa"/>
                        <w:tcBorders>
                          <w:top w:val="single" w:sz="35" w:space="0" w:color="DCDCDC"/>
                          <w:left w:val="single" w:sz="10" w:space="0" w:color="DCDCDC"/>
                          <w:bottom w:val="nil" w:sz="6" w:space="0" w:color="auto"/>
                          <w:right w:val="single" w:sz="10" w:space="0" w:color="DCDCDC"/>
                        </w:tcBorders>
                      </w:tcPr>
                      <w:p>
                        <w:pPr/>
                      </w:p>
                    </w:tc>
                    <w:tc>
                      <w:tcPr>
                        <w:tcW w:w="1364" w:type="dxa"/>
                        <w:vMerge w:val="restart"/>
                        <w:tcBorders>
                          <w:top w:val="single" w:sz="4" w:space="0" w:color="000000"/>
                          <w:left w:val="single" w:sz="4" w:space="0" w:color="000000"/>
                          <w:right w:val="single" w:sz="4" w:space="0" w:color="000000"/>
                        </w:tcBorders>
                        <w:shd w:val="clear" w:color="auto" w:fill="DCDCDC"/>
                      </w:tcPr>
                      <w:p>
                        <w:pPr/>
                      </w:p>
                    </w:tc>
                    <w:tc>
                      <w:tcPr>
                        <w:tcW w:w="1050" w:type="dxa"/>
                        <w:vMerge w:val="restart"/>
                        <w:tcBorders>
                          <w:top w:val="single" w:sz="4" w:space="0" w:color="000000"/>
                          <w:left w:val="single" w:sz="4" w:space="0" w:color="000000"/>
                          <w:right w:val="single" w:sz="4" w:space="0" w:color="000000"/>
                        </w:tcBorders>
                        <w:shd w:val="clear" w:color="auto" w:fill="DCDCDC"/>
                      </w:tcPr>
                      <w:p>
                        <w:pPr/>
                      </w:p>
                    </w:tc>
                    <w:tc>
                      <w:tcPr>
                        <w:tcW w:w="136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2"/>
                          <w:ind w:left="13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22"/>
                          <w:ind w:left="9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18" w:hRule="exact"/>
                    </w:trPr>
                    <w:tc>
                      <w:tcPr>
                        <w:tcW w:w="3873" w:type="dxa"/>
                        <w:vMerge w:val="restart"/>
                        <w:tcBorders>
                          <w:top w:val="nil" w:sz="6" w:space="0" w:color="auto"/>
                          <w:left w:val="single" w:sz="4" w:space="0" w:color="000000"/>
                          <w:right w:val="single" w:sz="4" w:space="0" w:color="000000"/>
                        </w:tcBorders>
                        <w:shd w:val="clear" w:color="auto" w:fill="DCDCDC"/>
                      </w:tcPr>
                      <w:p>
                        <w:pPr/>
                      </w:p>
                    </w:tc>
                    <w:tc>
                      <w:tcPr>
                        <w:tcW w:w="1366" w:type="dxa"/>
                        <w:vMerge w:val="restart"/>
                        <w:tcBorders>
                          <w:top w:val="nil" w:sz="6" w:space="0" w:color="auto"/>
                          <w:left w:val="single" w:sz="4" w:space="0" w:color="000000"/>
                          <w:right w:val="single" w:sz="4" w:space="0" w:color="000000"/>
                        </w:tcBorders>
                        <w:shd w:val="clear" w:color="auto" w:fill="DCDCDC"/>
                      </w:tcPr>
                      <w:p>
                        <w:pPr>
                          <w:pStyle w:val="TableParagraph"/>
                          <w:spacing w:line="208" w:lineRule="exact"/>
                          <w:ind w:left="316"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5" w:lineRule="exact"/>
                          <w:ind w:left="226"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60" w:type="dxa"/>
                        <w:vMerge/>
                        <w:tcBorders>
                          <w:left w:val="single" w:sz="4" w:space="0" w:color="000000"/>
                          <w:bottom w:val="nil" w:sz="6" w:space="0" w:color="auto"/>
                          <w:right w:val="single" w:sz="4" w:space="0" w:color="000000"/>
                        </w:tcBorders>
                        <w:shd w:val="clear" w:color="auto" w:fill="DCDCDC"/>
                      </w:tcPr>
                      <w:p>
                        <w:pPr/>
                      </w:p>
                    </w:tc>
                    <w:tc>
                      <w:tcPr>
                        <w:tcW w:w="630" w:type="dxa"/>
                        <w:vMerge w:val="restart"/>
                        <w:tcBorders>
                          <w:top w:val="nil" w:sz="6" w:space="0" w:color="auto"/>
                          <w:left w:val="single" w:sz="4" w:space="0" w:color="000000"/>
                          <w:right w:val="single" w:sz="4" w:space="0" w:color="000000"/>
                        </w:tcBorders>
                        <w:shd w:val="clear" w:color="auto" w:fill="DCDCDC"/>
                      </w:tcPr>
                      <w:p>
                        <w:pPr>
                          <w:pStyle w:val="TableParagraph"/>
                          <w:spacing w:line="206" w:lineRule="exact"/>
                          <w:ind w:left="129" w:right="0" w:hanging="90"/>
                          <w:jc w:val="left"/>
                          <w:rPr>
                            <w:rFonts w:ascii="宋体" w:hAnsi="宋体" w:cs="宋体" w:eastAsia="宋体" w:hint="default"/>
                            <w:sz w:val="18"/>
                            <w:szCs w:val="18"/>
                          </w:rPr>
                        </w:pPr>
                        <w:r>
                          <w:rPr>
                            <w:rFonts w:ascii="宋体" w:hAnsi="宋体" w:cs="宋体" w:eastAsia="宋体" w:hint="default"/>
                            <w:sz w:val="18"/>
                            <w:szCs w:val="18"/>
                          </w:rPr>
                          <w:t>减：库</w:t>
                        </w:r>
                      </w:p>
                      <w:p>
                        <w:pPr>
                          <w:pStyle w:val="TableParagraph"/>
                          <w:spacing w:line="235" w:lineRule="exact"/>
                          <w:ind w:left="129"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524" w:type="dxa"/>
                        <w:vMerge w:val="restart"/>
                        <w:tcBorders>
                          <w:top w:val="nil" w:sz="6" w:space="0" w:color="auto"/>
                          <w:left w:val="single" w:sz="4" w:space="0" w:color="000000"/>
                          <w:right w:val="single" w:sz="4" w:space="0" w:color="000000"/>
                        </w:tcBorders>
                        <w:shd w:val="clear" w:color="auto" w:fill="DCDCDC"/>
                      </w:tcPr>
                      <w:p>
                        <w:pPr>
                          <w:pStyle w:val="TableParagraph"/>
                          <w:spacing w:line="206" w:lineRule="exact"/>
                          <w:ind w:left="76" w:right="0"/>
                          <w:jc w:val="left"/>
                          <w:rPr>
                            <w:rFonts w:ascii="宋体" w:hAnsi="宋体" w:cs="宋体" w:eastAsia="宋体" w:hint="default"/>
                            <w:sz w:val="18"/>
                            <w:szCs w:val="18"/>
                          </w:rPr>
                        </w:pPr>
                        <w:r>
                          <w:rPr>
                            <w:rFonts w:ascii="宋体" w:hAnsi="宋体" w:cs="宋体" w:eastAsia="宋体" w:hint="default"/>
                            <w:sz w:val="18"/>
                            <w:szCs w:val="18"/>
                          </w:rPr>
                          <w:t>专项</w:t>
                        </w:r>
                      </w:p>
                      <w:p>
                        <w:pPr>
                          <w:pStyle w:val="TableParagraph"/>
                          <w:spacing w:line="235" w:lineRule="exact"/>
                          <w:ind w:left="76"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260" w:type="dxa"/>
                        <w:vMerge/>
                        <w:tcBorders>
                          <w:left w:val="single" w:sz="4" w:space="0" w:color="000000"/>
                          <w:bottom w:val="nil" w:sz="6" w:space="0" w:color="auto"/>
                          <w:right w:val="single" w:sz="4" w:space="0" w:color="000000"/>
                        </w:tcBorders>
                        <w:shd w:val="clear" w:color="auto" w:fill="DCDCDC"/>
                      </w:tcPr>
                      <w:p>
                        <w:pPr/>
                      </w:p>
                    </w:tc>
                    <w:tc>
                      <w:tcPr>
                        <w:tcW w:w="736" w:type="dxa"/>
                        <w:vMerge w:val="restart"/>
                        <w:tcBorders>
                          <w:top w:val="nil" w:sz="6" w:space="0" w:color="auto"/>
                          <w:left w:val="single" w:sz="4" w:space="0" w:color="000000"/>
                          <w:right w:val="single" w:sz="4" w:space="0" w:color="000000"/>
                        </w:tcBorders>
                        <w:shd w:val="clear" w:color="auto" w:fill="DCDCDC"/>
                      </w:tcPr>
                      <w:p>
                        <w:pPr>
                          <w:pStyle w:val="TableParagraph"/>
                          <w:spacing w:line="206" w:lineRule="exact"/>
                          <w:ind w:left="92" w:right="0"/>
                          <w:jc w:val="left"/>
                          <w:rPr>
                            <w:rFonts w:ascii="宋体" w:hAnsi="宋体" w:cs="宋体" w:eastAsia="宋体" w:hint="default"/>
                            <w:sz w:val="18"/>
                            <w:szCs w:val="18"/>
                          </w:rPr>
                        </w:pPr>
                        <w:r>
                          <w:rPr>
                            <w:rFonts w:ascii="宋体" w:hAnsi="宋体" w:cs="宋体" w:eastAsia="宋体" w:hint="default"/>
                            <w:sz w:val="18"/>
                            <w:szCs w:val="18"/>
                          </w:rPr>
                          <w:t>一般风</w:t>
                        </w:r>
                      </w:p>
                      <w:p>
                        <w:pPr>
                          <w:pStyle w:val="TableParagraph"/>
                          <w:spacing w:line="235" w:lineRule="exact"/>
                          <w:ind w:left="92"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1364" w:type="dxa"/>
                        <w:vMerge/>
                        <w:tcBorders>
                          <w:left w:val="single" w:sz="4" w:space="0" w:color="000000"/>
                          <w:bottom w:val="nil" w:sz="6" w:space="0" w:color="auto"/>
                          <w:right w:val="single" w:sz="4" w:space="0" w:color="000000"/>
                        </w:tcBorders>
                        <w:shd w:val="clear" w:color="auto" w:fill="DCDCDC"/>
                      </w:tcPr>
                      <w:p>
                        <w:pPr/>
                      </w:p>
                    </w:tc>
                    <w:tc>
                      <w:tcPr>
                        <w:tcW w:w="1050" w:type="dxa"/>
                        <w:vMerge/>
                        <w:tcBorders>
                          <w:left w:val="single" w:sz="4" w:space="0" w:color="000000"/>
                          <w:bottom w:val="nil" w:sz="6" w:space="0" w:color="auto"/>
                          <w:right w:val="single" w:sz="4" w:space="0" w:color="000000"/>
                        </w:tcBorders>
                        <w:shd w:val="clear" w:color="auto" w:fill="DCDCDC"/>
                      </w:tcPr>
                      <w:p>
                        <w:pPr/>
                      </w:p>
                    </w:tc>
                    <w:tc>
                      <w:tcPr>
                        <w:tcW w:w="1366" w:type="dxa"/>
                        <w:vMerge/>
                        <w:tcBorders>
                          <w:left w:val="single" w:sz="4" w:space="0" w:color="000000"/>
                          <w:bottom w:val="nil" w:sz="6" w:space="0" w:color="auto"/>
                          <w:right w:val="single" w:sz="4" w:space="0" w:color="000000"/>
                        </w:tcBorders>
                        <w:shd w:val="clear" w:color="auto" w:fill="DCDCDC"/>
                      </w:tcPr>
                      <w:p>
                        <w:pPr/>
                      </w:p>
                    </w:tc>
                    <w:tc>
                      <w:tcPr>
                        <w:tcW w:w="1470" w:type="dxa"/>
                        <w:vMerge/>
                        <w:tcBorders>
                          <w:left w:val="single" w:sz="4" w:space="0" w:color="000000"/>
                          <w:bottom w:val="nil" w:sz="6" w:space="0" w:color="auto"/>
                          <w:right w:val="single" w:sz="4" w:space="0" w:color="000000"/>
                        </w:tcBorders>
                        <w:shd w:val="clear" w:color="auto" w:fill="DCDCDC"/>
                      </w:tcPr>
                      <w:p>
                        <w:pPr/>
                      </w:p>
                    </w:tc>
                  </w:tr>
                  <w:tr>
                    <w:trPr>
                      <w:trHeight w:val="234" w:hRule="exact"/>
                    </w:trPr>
                    <w:tc>
                      <w:tcPr>
                        <w:tcW w:w="3873" w:type="dxa"/>
                        <w:vMerge/>
                        <w:tcBorders>
                          <w:left w:val="single" w:sz="4" w:space="0" w:color="000000"/>
                          <w:right w:val="single" w:sz="4" w:space="0" w:color="000000"/>
                        </w:tcBorders>
                        <w:shd w:val="clear" w:color="auto" w:fill="DCDCDC"/>
                      </w:tcPr>
                      <w:p>
                        <w:pPr/>
                      </w:p>
                    </w:tc>
                    <w:tc>
                      <w:tcPr>
                        <w:tcW w:w="1366" w:type="dxa"/>
                        <w:vMerge/>
                        <w:tcBorders>
                          <w:left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630" w:type="dxa"/>
                        <w:vMerge/>
                        <w:tcBorders>
                          <w:left w:val="single" w:sz="4" w:space="0" w:color="000000"/>
                          <w:right w:val="single" w:sz="4" w:space="0" w:color="000000"/>
                        </w:tcBorders>
                        <w:shd w:val="clear" w:color="auto" w:fill="DCDCDC"/>
                      </w:tcPr>
                      <w:p>
                        <w:pPr/>
                      </w:p>
                    </w:tc>
                    <w:tc>
                      <w:tcPr>
                        <w:tcW w:w="524" w:type="dxa"/>
                        <w:vMerge/>
                        <w:tcBorders>
                          <w:left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736" w:type="dxa"/>
                        <w:vMerge/>
                        <w:tcBorders>
                          <w:left w:val="single" w:sz="4" w:space="0" w:color="000000"/>
                          <w:right w:val="single" w:sz="4" w:space="0" w:color="000000"/>
                        </w:tcBorders>
                        <w:shd w:val="clear" w:color="auto" w:fill="DCDCDC"/>
                      </w:tcPr>
                      <w:p>
                        <w:pPr/>
                      </w:p>
                    </w:tc>
                    <w:tc>
                      <w:tcPr>
                        <w:tcW w:w="136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5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3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nil" w:sz="6" w:space="0" w:color="auto"/>
                          <w:left w:val="single" w:sz="4" w:space="0" w:color="000000"/>
                          <w:right w:val="single" w:sz="4" w:space="0" w:color="000000"/>
                        </w:tcBorders>
                        <w:shd w:val="clear" w:color="auto" w:fill="DCDCDC"/>
                      </w:tcPr>
                      <w:p>
                        <w:pPr/>
                      </w:p>
                    </w:tc>
                    <w:tc>
                      <w:tcPr>
                        <w:tcW w:w="1470" w:type="dxa"/>
                        <w:vMerge w:val="restart"/>
                        <w:tcBorders>
                          <w:top w:val="nil" w:sz="6" w:space="0" w:color="auto"/>
                          <w:left w:val="single" w:sz="4" w:space="0" w:color="000000"/>
                          <w:right w:val="single" w:sz="4" w:space="0" w:color="000000"/>
                        </w:tcBorders>
                        <w:shd w:val="clear" w:color="auto" w:fill="DCDCDC"/>
                      </w:tcPr>
                      <w:p>
                        <w:pPr/>
                      </w:p>
                    </w:tc>
                  </w:tr>
                  <w:tr>
                    <w:trPr>
                      <w:trHeight w:val="211" w:hRule="exact"/>
                    </w:trPr>
                    <w:tc>
                      <w:tcPr>
                        <w:tcW w:w="3873" w:type="dxa"/>
                        <w:vMerge/>
                        <w:tcBorders>
                          <w:left w:val="single" w:sz="4" w:space="0" w:color="000000"/>
                          <w:bottom w:val="single" w:sz="4" w:space="0" w:color="000000"/>
                          <w:right w:val="single" w:sz="4" w:space="0" w:color="000000"/>
                        </w:tcBorders>
                        <w:shd w:val="clear" w:color="auto" w:fill="DCDCDC"/>
                      </w:tcPr>
                      <w:p>
                        <w:pPr/>
                      </w:p>
                    </w:tc>
                    <w:tc>
                      <w:tcPr>
                        <w:tcW w:w="1366"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630" w:type="dxa"/>
                        <w:vMerge/>
                        <w:tcBorders>
                          <w:left w:val="single" w:sz="4" w:space="0" w:color="000000"/>
                          <w:bottom w:val="single" w:sz="4" w:space="0" w:color="000000"/>
                          <w:right w:val="single" w:sz="4" w:space="0" w:color="000000"/>
                        </w:tcBorders>
                        <w:shd w:val="clear" w:color="auto" w:fill="DCDCDC"/>
                      </w:tcPr>
                      <w:p>
                        <w:pPr/>
                      </w:p>
                    </w:tc>
                    <w:tc>
                      <w:tcPr>
                        <w:tcW w:w="524"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736" w:type="dxa"/>
                        <w:vMerge/>
                        <w:tcBorders>
                          <w:left w:val="single" w:sz="4" w:space="0" w:color="000000"/>
                          <w:bottom w:val="single" w:sz="4" w:space="0" w:color="000000"/>
                          <w:right w:val="single" w:sz="4" w:space="0" w:color="000000"/>
                        </w:tcBorders>
                        <w:shd w:val="clear" w:color="auto" w:fill="DCDCDC"/>
                      </w:tcPr>
                      <w:p>
                        <w:pPr/>
                      </w:p>
                    </w:tc>
                    <w:tc>
                      <w:tcPr>
                        <w:tcW w:w="1364" w:type="dxa"/>
                        <w:tcBorders>
                          <w:top w:val="nil" w:sz="6" w:space="0" w:color="auto"/>
                          <w:left w:val="single" w:sz="4" w:space="0" w:color="000000"/>
                          <w:bottom w:val="single" w:sz="4" w:space="0" w:color="000000"/>
                          <w:right w:val="single" w:sz="4" w:space="0" w:color="000000"/>
                        </w:tcBorders>
                        <w:shd w:val="clear" w:color="auto" w:fill="DCDCDC"/>
                      </w:tcPr>
                      <w:p>
                        <w:pPr/>
                      </w:p>
                    </w:tc>
                    <w:tc>
                      <w:tcPr>
                        <w:tcW w:w="105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66" w:type="dxa"/>
                        <w:vMerge/>
                        <w:tcBorders>
                          <w:left w:val="single" w:sz="4" w:space="0" w:color="000000"/>
                          <w:bottom w:val="single" w:sz="4" w:space="0" w:color="000000"/>
                          <w:right w:val="single" w:sz="4" w:space="0" w:color="000000"/>
                        </w:tcBorders>
                        <w:shd w:val="clear" w:color="auto" w:fill="DCDCDC"/>
                      </w:tcPr>
                      <w:p>
                        <w:pPr/>
                      </w:p>
                    </w:tc>
                    <w:tc>
                      <w:tcPr>
                        <w:tcW w:w="1470" w:type="dxa"/>
                        <w:vMerge/>
                        <w:tcBorders>
                          <w:left w:val="single" w:sz="4" w:space="0" w:color="000000"/>
                          <w:bottom w:val="single" w:sz="4" w:space="0" w:color="000000"/>
                          <w:right w:val="single" w:sz="4" w:space="0" w:color="000000"/>
                        </w:tcBorders>
                        <w:shd w:val="clear" w:color="auto" w:fill="DCDCDC"/>
                      </w:tcPr>
                      <w:p>
                        <w:pPr/>
                      </w:p>
                    </w:tc>
                  </w:tr>
                  <w:tr>
                    <w:trPr>
                      <w:trHeight w:val="341"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66" w:type="dxa"/>
                        <w:tcBorders>
                          <w:top w:val="single" w:sz="36" w:space="0" w:color="DCDCDC"/>
                          <w:left w:val="single" w:sz="9" w:space="0" w:color="DCDCDC"/>
                          <w:bottom w:val="single" w:sz="4" w:space="0" w:color="000000"/>
                          <w:right w:val="single" w:sz="4" w:space="0" w:color="000000"/>
                        </w:tcBorders>
                      </w:tcPr>
                      <w:p>
                        <w:pPr>
                          <w:pStyle w:val="TableParagraph"/>
                          <w:spacing w:line="214" w:lineRule="exact"/>
                          <w:ind w:right="22"/>
                          <w:jc w:val="right"/>
                          <w:rPr>
                            <w:rFonts w:ascii="宋体" w:hAnsi="宋体" w:cs="宋体" w:eastAsia="宋体" w:hint="default"/>
                            <w:sz w:val="18"/>
                            <w:szCs w:val="18"/>
                          </w:rPr>
                        </w:pPr>
                        <w:r>
                          <w:rPr>
                            <w:rFonts w:ascii="宋体"/>
                            <w:sz w:val="18"/>
                          </w:rPr>
                          <w:t>487,731,995.00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 w:right="0"/>
                          <w:jc w:val="center"/>
                          <w:rPr>
                            <w:rFonts w:ascii="宋体" w:hAnsi="宋体" w:cs="宋体" w:eastAsia="宋体" w:hint="default"/>
                            <w:sz w:val="18"/>
                            <w:szCs w:val="18"/>
                          </w:rPr>
                        </w:pPr>
                        <w:r>
                          <w:rPr>
                            <w:rFonts w:ascii="宋体"/>
                            <w:sz w:val="18"/>
                          </w:rPr>
                          <w:t>30,614,641.22</w:t>
                        </w:r>
                      </w:p>
                    </w:tc>
                    <w:tc>
                      <w:tcPr>
                        <w:tcW w:w="630" w:type="dxa"/>
                        <w:tcBorders>
                          <w:top w:val="single" w:sz="36" w:space="0" w:color="DCDCDC"/>
                          <w:left w:val="single" w:sz="4" w:space="0" w:color="000000"/>
                          <w:bottom w:val="single" w:sz="4" w:space="0" w:color="000000"/>
                          <w:right w:val="single" w:sz="4" w:space="0" w:color="000000"/>
                        </w:tcBorders>
                      </w:tcPr>
                      <w:p>
                        <w:pPr/>
                      </w:p>
                    </w:tc>
                    <w:tc>
                      <w:tcPr>
                        <w:tcW w:w="524" w:type="dxa"/>
                        <w:tcBorders>
                          <w:top w:val="single" w:sz="36" w:space="0" w:color="DCDCDC"/>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 w:right="0"/>
                          <w:jc w:val="center"/>
                          <w:rPr>
                            <w:rFonts w:ascii="宋体" w:hAnsi="宋体" w:cs="宋体" w:eastAsia="宋体" w:hint="default"/>
                            <w:sz w:val="18"/>
                            <w:szCs w:val="18"/>
                          </w:rPr>
                        </w:pPr>
                        <w:r>
                          <w:rPr>
                            <w:rFonts w:ascii="宋体"/>
                            <w:sz w:val="18"/>
                          </w:rPr>
                          <w:t>40,657,199.52</w:t>
                        </w:r>
                      </w:p>
                    </w:tc>
                    <w:tc>
                      <w:tcPr>
                        <w:tcW w:w="736" w:type="dxa"/>
                        <w:tcBorders>
                          <w:top w:val="single" w:sz="36" w:space="0" w:color="DCDCDC"/>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14,783,864.52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-87,276.12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303,530,837.44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877,231,261.58</w:t>
                        </w:r>
                      </w:p>
                    </w:tc>
                  </w:tr>
                  <w:tr>
                    <w:trPr>
                      <w:trHeight w:val="340"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487,731,995.00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 w:right="0"/>
                          <w:jc w:val="center"/>
                          <w:rPr>
                            <w:rFonts w:ascii="宋体" w:hAnsi="宋体" w:cs="宋体" w:eastAsia="宋体" w:hint="default"/>
                            <w:sz w:val="18"/>
                            <w:szCs w:val="18"/>
                          </w:rPr>
                        </w:pPr>
                        <w:r>
                          <w:rPr>
                            <w:rFonts w:ascii="宋体"/>
                            <w:sz w:val="18"/>
                          </w:rPr>
                          <w:t>30,614,641.22</w:t>
                        </w: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 w:right="0"/>
                          <w:jc w:val="center"/>
                          <w:rPr>
                            <w:rFonts w:ascii="宋体" w:hAnsi="宋体" w:cs="宋体" w:eastAsia="宋体" w:hint="default"/>
                            <w:sz w:val="18"/>
                            <w:szCs w:val="18"/>
                          </w:rPr>
                        </w:pPr>
                        <w:r>
                          <w:rPr>
                            <w:rFonts w:ascii="宋体"/>
                            <w:sz w:val="18"/>
                          </w:rPr>
                          <w:t>40,657,199.52</w:t>
                        </w: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14,783,864.52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-87,276.12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303,530,837.44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877,231,261.58</w:t>
                        </w:r>
                      </w:p>
                    </w:tc>
                  </w:tr>
                  <w:tr>
                    <w:trPr>
                      <w:trHeight w:val="340"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-82,909,304.68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-147,876.57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-18,283,572.04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-101,340,753.29</w:t>
                        </w:r>
                      </w:p>
                    </w:tc>
                  </w:tr>
                  <w:tr>
                    <w:trPr>
                      <w:trHeight w:val="341"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-82,890,070.59</w:t>
                        </w:r>
                      </w:p>
                    </w:tc>
                    <w:tc>
                      <w:tcPr>
                        <w:tcW w:w="10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19,443,590.70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-63,446,479.89</w:t>
                        </w:r>
                      </w:p>
                    </w:tc>
                  </w:tr>
                  <w:tr>
                    <w:trPr>
                      <w:trHeight w:val="340"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-147,876.57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-29,544.58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-177,421.15</w:t>
                        </w:r>
                      </w:p>
                    </w:tc>
                  </w:tr>
                  <w:tr>
                    <w:trPr>
                      <w:trHeight w:val="340"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-82,890,070.59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-147,876.57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19,414,046.12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-63,623,901.04</w:t>
                        </w:r>
                      </w:p>
                    </w:tc>
                  </w:tr>
                  <w:tr>
                    <w:trPr>
                      <w:trHeight w:val="341"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-22,015,856.07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-22,015,856.07</w:t>
                        </w:r>
                      </w:p>
                    </w:tc>
                  </w:tr>
                  <w:tr>
                    <w:trPr>
                      <w:trHeight w:val="340"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-22,015,856.07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-22,015,856.07</w:t>
                        </w:r>
                      </w:p>
                    </w:tc>
                  </w:tr>
                  <w:tr>
                    <w:trPr>
                      <w:trHeight w:val="340"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-19,234.09</w:t>
                        </w:r>
                      </w:p>
                    </w:tc>
                    <w:tc>
                      <w:tcPr>
                        <w:tcW w:w="10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-15,681,762.09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-15,700,996.18</w:t>
                        </w:r>
                      </w:p>
                    </w:tc>
                  </w:tr>
                  <w:tr>
                    <w:trPr>
                      <w:trHeight w:val="340"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-15,681,762.09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-15,681,762.09</w:t>
                        </w:r>
                      </w:p>
                    </w:tc>
                  </w:tr>
                  <w:tr>
                    <w:trPr>
                      <w:trHeight w:val="340"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-19,234.09</w:t>
                        </w:r>
                      </w:p>
                    </w:tc>
                    <w:tc>
                      <w:tcPr>
                        <w:tcW w:w="10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-19,234.09</w:t>
                        </w:r>
                      </w:p>
                    </w:tc>
                  </w:tr>
                  <w:tr>
                    <w:trPr>
                      <w:trHeight w:val="341" w:hRule="exact"/>
                    </w:trPr>
                    <w:tc>
                      <w:tcPr>
                        <w:tcW w:w="38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Times New Roman"/>
          <w:sz w:val="18"/>
        </w:rPr>
        <w:t>42</w:t>
      </w:r>
    </w:p>
    <w:p>
      <w:pPr>
        <w:spacing w:after="0"/>
        <w:jc w:val="center"/>
        <w:rPr>
          <w:rFonts w:ascii="Times New Roman" w:hAnsi="Times New Roman" w:cs="Times New Roman" w:eastAsia="Times New Roman" w:hint="default"/>
          <w:sz w:val="18"/>
          <w:szCs w:val="18"/>
        </w:rPr>
        <w:sectPr>
          <w:pgSz w:w="16840" w:h="11910" w:orient="landscape"/>
          <w:pgMar w:top="760" w:bottom="280" w:left="920" w:right="780"/>
        </w:sectPr>
      </w:pPr>
    </w:p>
    <w:p>
      <w:pPr>
        <w:spacing w:line="240" w:lineRule="auto" w:before="5"/>
        <w:rPr>
          <w:rFonts w:ascii="Times New Roman" w:hAnsi="Times New Roman" w:cs="Times New Roman" w:eastAsia="Times New Roman" w:hint="default"/>
          <w:sz w:val="27"/>
          <w:szCs w:val="27"/>
        </w:rPr>
      </w:pPr>
    </w:p>
    <w:p>
      <w:pPr>
        <w:pStyle w:val="Heading4"/>
        <w:tabs>
          <w:tab w:pos="7039" w:val="left" w:leader="none"/>
        </w:tabs>
        <w:spacing w:line="240" w:lineRule="auto"/>
        <w:ind w:left="3726" w:right="0"/>
        <w:jc w:val="left"/>
        <w:rPr>
          <w:b w:val="0"/>
          <w:bCs w:val="0"/>
        </w:rPr>
      </w:pPr>
      <w:r>
        <w:rPr/>
        <w:pict>
          <v:shape style="position:absolute;margin-left:56.691002pt;margin-top:-11.486306pt;width:94.936996pt;height:25.5pt;mso-position-horizontal-relative:page;mso-position-vertical-relative:paragraph;z-index:3688" type="#_x0000_t75" stroked="false">
            <v:imagedata r:id="rId12"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5"/>
        <w:rPr>
          <w:rFonts w:ascii="黑体" w:hAnsi="黑体" w:cs="黑体" w:eastAsia="黑体" w:hint="default"/>
          <w:b/>
          <w:bCs/>
          <w:sz w:val="4"/>
          <w:szCs w:val="4"/>
        </w:rPr>
      </w:pPr>
    </w:p>
    <w:tbl>
      <w:tblPr>
        <w:tblW w:w="0" w:type="auto"/>
        <w:jc w:val="left"/>
        <w:tblInd w:w="115" w:type="dxa"/>
        <w:tblLayout w:type="fixed"/>
        <w:tblCellMar>
          <w:top w:w="0" w:type="dxa"/>
          <w:left w:w="0" w:type="dxa"/>
          <w:bottom w:w="0" w:type="dxa"/>
          <w:right w:w="0" w:type="dxa"/>
        </w:tblCellMar>
        <w:tblLook w:val="01E0"/>
      </w:tblPr>
      <w:tblGrid>
        <w:gridCol w:w="3862"/>
        <w:gridCol w:w="1377"/>
        <w:gridCol w:w="1260"/>
        <w:gridCol w:w="630"/>
        <w:gridCol w:w="524"/>
        <w:gridCol w:w="1260"/>
        <w:gridCol w:w="728"/>
        <w:gridCol w:w="1350"/>
        <w:gridCol w:w="1065"/>
        <w:gridCol w:w="1373"/>
        <w:gridCol w:w="1470"/>
      </w:tblGrid>
      <w:tr>
        <w:trPr>
          <w:trHeight w:val="347" w:hRule="exact"/>
        </w:trPr>
        <w:tc>
          <w:tcPr>
            <w:tcW w:w="3862" w:type="dxa"/>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371"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377" w:type="dxa"/>
            <w:tcBorders>
              <w:top w:val="single" w:sz="6" w:space="0" w:color="000000"/>
              <w:left w:val="single" w:sz="9" w:space="0" w:color="DCDCDC"/>
              <w:bottom w:val="single" w:sz="4" w:space="0" w:color="000000"/>
              <w:right w:val="single" w:sz="4" w:space="0" w:color="000000"/>
            </w:tcBorders>
          </w:tcPr>
          <w:p>
            <w:pPr/>
          </w:p>
        </w:tc>
        <w:tc>
          <w:tcPr>
            <w:tcW w:w="1260" w:type="dxa"/>
            <w:tcBorders>
              <w:top w:val="single" w:sz="6" w:space="0" w:color="000000"/>
              <w:left w:val="single" w:sz="4" w:space="0" w:color="000000"/>
              <w:bottom w:val="single" w:sz="4" w:space="0" w:color="000000"/>
              <w:right w:val="single" w:sz="4" w:space="0" w:color="000000"/>
            </w:tcBorders>
          </w:tcPr>
          <w:p>
            <w:pPr/>
          </w:p>
        </w:tc>
        <w:tc>
          <w:tcPr>
            <w:tcW w:w="630" w:type="dxa"/>
            <w:tcBorders>
              <w:top w:val="single" w:sz="6" w:space="0" w:color="000000"/>
              <w:left w:val="single" w:sz="4" w:space="0" w:color="000000"/>
              <w:bottom w:val="single" w:sz="4" w:space="0" w:color="000000"/>
              <w:right w:val="single" w:sz="4" w:space="0" w:color="000000"/>
            </w:tcBorders>
          </w:tcPr>
          <w:p>
            <w:pPr/>
          </w:p>
        </w:tc>
        <w:tc>
          <w:tcPr>
            <w:tcW w:w="524" w:type="dxa"/>
            <w:tcBorders>
              <w:top w:val="single" w:sz="6" w:space="0" w:color="000000"/>
              <w:left w:val="single" w:sz="4" w:space="0" w:color="000000"/>
              <w:bottom w:val="single" w:sz="4" w:space="0" w:color="000000"/>
              <w:right w:val="single" w:sz="4" w:space="0" w:color="000000"/>
            </w:tcBorders>
          </w:tcPr>
          <w:p>
            <w:pPr/>
          </w:p>
        </w:tc>
        <w:tc>
          <w:tcPr>
            <w:tcW w:w="1260" w:type="dxa"/>
            <w:tcBorders>
              <w:top w:val="single" w:sz="6" w:space="0" w:color="000000"/>
              <w:left w:val="single" w:sz="4" w:space="0" w:color="000000"/>
              <w:bottom w:val="single" w:sz="4" w:space="0" w:color="000000"/>
              <w:right w:val="single" w:sz="4" w:space="0" w:color="000000"/>
            </w:tcBorders>
          </w:tcPr>
          <w:p>
            <w:pPr/>
          </w:p>
        </w:tc>
        <w:tc>
          <w:tcPr>
            <w:tcW w:w="728" w:type="dxa"/>
            <w:tcBorders>
              <w:top w:val="single" w:sz="6" w:space="0" w:color="000000"/>
              <w:left w:val="single" w:sz="4" w:space="0" w:color="000000"/>
              <w:bottom w:val="single" w:sz="4" w:space="0" w:color="000000"/>
              <w:right w:val="single" w:sz="4" w:space="0" w:color="000000"/>
            </w:tcBorders>
          </w:tcPr>
          <w:p>
            <w:pPr/>
          </w:p>
        </w:tc>
        <w:tc>
          <w:tcPr>
            <w:tcW w:w="1350" w:type="dxa"/>
            <w:tcBorders>
              <w:top w:val="single" w:sz="6" w:space="0" w:color="000000"/>
              <w:left w:val="single" w:sz="4" w:space="0" w:color="000000"/>
              <w:bottom w:val="single" w:sz="4" w:space="0" w:color="000000"/>
              <w:right w:val="single" w:sz="4" w:space="0" w:color="000000"/>
            </w:tcBorders>
          </w:tcPr>
          <w:p>
            <w:pPr/>
          </w:p>
        </w:tc>
        <w:tc>
          <w:tcPr>
            <w:tcW w:w="1065" w:type="dxa"/>
            <w:tcBorders>
              <w:top w:val="single" w:sz="6" w:space="0" w:color="000000"/>
              <w:left w:val="single" w:sz="4" w:space="0" w:color="000000"/>
              <w:bottom w:val="single" w:sz="4" w:space="0" w:color="000000"/>
              <w:right w:val="single" w:sz="4" w:space="0" w:color="000000"/>
            </w:tcBorders>
          </w:tcPr>
          <w:p>
            <w:pPr/>
          </w:p>
        </w:tc>
        <w:tc>
          <w:tcPr>
            <w:tcW w:w="1373" w:type="dxa"/>
            <w:tcBorders>
              <w:top w:val="single" w:sz="6" w:space="0" w:color="000000"/>
              <w:left w:val="single" w:sz="4" w:space="0" w:color="000000"/>
              <w:bottom w:val="single" w:sz="4" w:space="0" w:color="000000"/>
              <w:right w:val="single" w:sz="4" w:space="0" w:color="000000"/>
            </w:tcBorders>
          </w:tcPr>
          <w:p>
            <w:pPr/>
          </w:p>
        </w:tc>
        <w:tc>
          <w:tcPr>
            <w:tcW w:w="1470" w:type="dxa"/>
            <w:tcBorders>
              <w:top w:val="single" w:sz="6" w:space="0" w:color="000000"/>
              <w:left w:val="single" w:sz="4" w:space="0" w:color="000000"/>
              <w:bottom w:val="single" w:sz="4" w:space="0" w:color="000000"/>
              <w:right w:val="single" w:sz="4" w:space="0" w:color="000000"/>
            </w:tcBorders>
          </w:tcPr>
          <w:p>
            <w:pPr/>
          </w:p>
        </w:tc>
      </w:tr>
      <w:tr>
        <w:trPr>
          <w:trHeight w:val="340"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377" w:type="dxa"/>
            <w:tcBorders>
              <w:top w:val="single" w:sz="4" w:space="0" w:color="000000"/>
              <w:left w:val="single" w:sz="9"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77" w:type="dxa"/>
            <w:tcBorders>
              <w:top w:val="single" w:sz="4" w:space="0" w:color="000000"/>
              <w:left w:val="single" w:sz="9"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77" w:type="dxa"/>
            <w:tcBorders>
              <w:top w:val="single" w:sz="4" w:space="0" w:color="000000"/>
              <w:left w:val="single" w:sz="9"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77" w:type="dxa"/>
            <w:tcBorders>
              <w:top w:val="single" w:sz="4" w:space="0" w:color="000000"/>
              <w:left w:val="single" w:sz="9"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377" w:type="dxa"/>
            <w:tcBorders>
              <w:top w:val="single" w:sz="4" w:space="0" w:color="000000"/>
              <w:left w:val="single" w:sz="9"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377" w:type="dxa"/>
            <w:tcBorders>
              <w:top w:val="single" w:sz="4" w:space="0" w:color="000000"/>
              <w:left w:val="single" w:sz="9" w:space="0" w:color="DCDCDC"/>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77" w:type="dxa"/>
            <w:tcBorders>
              <w:top w:val="single" w:sz="4" w:space="0" w:color="000000"/>
              <w:left w:val="single" w:sz="10" w:space="0" w:color="DCDCDC"/>
              <w:bottom w:val="single" w:sz="55" w:space="0" w:color="DCDCDC"/>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487,731,995.00</w:t>
            </w:r>
          </w:p>
        </w:tc>
        <w:tc>
          <w:tcPr>
            <w:tcW w:w="1260" w:type="dxa"/>
            <w:tcBorders>
              <w:top w:val="single" w:sz="4" w:space="0" w:color="000000"/>
              <w:left w:val="single" w:sz="4" w:space="0" w:color="000000"/>
              <w:bottom w:val="single" w:sz="55" w:space="0" w:color="DCDCDC"/>
              <w:right w:val="single" w:sz="4" w:space="0" w:color="000000"/>
            </w:tcBorders>
          </w:tcPr>
          <w:p>
            <w:pPr>
              <w:pStyle w:val="TableParagraph"/>
              <w:spacing w:line="240" w:lineRule="auto" w:before="17"/>
              <w:ind w:left="32" w:right="0"/>
              <w:jc w:val="center"/>
              <w:rPr>
                <w:rFonts w:ascii="宋体" w:hAnsi="宋体" w:cs="宋体" w:eastAsia="宋体" w:hint="default"/>
                <w:sz w:val="18"/>
                <w:szCs w:val="18"/>
              </w:rPr>
            </w:pPr>
            <w:r>
              <w:rPr>
                <w:rFonts w:ascii="宋体"/>
                <w:sz w:val="18"/>
              </w:rPr>
              <w:t>30,614,641.22</w:t>
            </w:r>
          </w:p>
        </w:tc>
        <w:tc>
          <w:tcPr>
            <w:tcW w:w="630" w:type="dxa"/>
            <w:tcBorders>
              <w:top w:val="single" w:sz="4" w:space="0" w:color="000000"/>
              <w:left w:val="single" w:sz="4" w:space="0" w:color="000000"/>
              <w:bottom w:val="single" w:sz="55" w:space="0" w:color="DCDCDC"/>
              <w:right w:val="single" w:sz="4" w:space="0" w:color="000000"/>
            </w:tcBorders>
          </w:tcPr>
          <w:p>
            <w:pPr/>
          </w:p>
        </w:tc>
        <w:tc>
          <w:tcPr>
            <w:tcW w:w="524" w:type="dxa"/>
            <w:tcBorders>
              <w:top w:val="single" w:sz="4" w:space="0" w:color="000000"/>
              <w:left w:val="single" w:sz="4" w:space="0" w:color="000000"/>
              <w:bottom w:val="single" w:sz="55" w:space="0" w:color="DCDCDC"/>
              <w:right w:val="single" w:sz="4" w:space="0" w:color="000000"/>
            </w:tcBorders>
          </w:tcPr>
          <w:p>
            <w:pPr/>
          </w:p>
        </w:tc>
        <w:tc>
          <w:tcPr>
            <w:tcW w:w="1260" w:type="dxa"/>
            <w:tcBorders>
              <w:top w:val="single" w:sz="4" w:space="0" w:color="000000"/>
              <w:left w:val="single" w:sz="4" w:space="0" w:color="000000"/>
              <w:bottom w:val="single" w:sz="55" w:space="0" w:color="DCDCDC"/>
              <w:right w:val="single" w:sz="4" w:space="0" w:color="000000"/>
            </w:tcBorders>
          </w:tcPr>
          <w:p>
            <w:pPr>
              <w:pStyle w:val="TableParagraph"/>
              <w:spacing w:line="240" w:lineRule="auto" w:before="17"/>
              <w:ind w:left="32" w:right="0"/>
              <w:jc w:val="center"/>
              <w:rPr>
                <w:rFonts w:ascii="宋体" w:hAnsi="宋体" w:cs="宋体" w:eastAsia="宋体" w:hint="default"/>
                <w:sz w:val="18"/>
                <w:szCs w:val="18"/>
              </w:rPr>
            </w:pPr>
            <w:r>
              <w:rPr>
                <w:rFonts w:ascii="宋体"/>
                <w:sz w:val="18"/>
              </w:rPr>
              <w:t>40,657,199.52</w:t>
            </w:r>
          </w:p>
        </w:tc>
        <w:tc>
          <w:tcPr>
            <w:tcW w:w="728" w:type="dxa"/>
            <w:tcBorders>
              <w:top w:val="single" w:sz="4" w:space="0" w:color="000000"/>
              <w:left w:val="single" w:sz="4" w:space="0" w:color="000000"/>
              <w:bottom w:val="single" w:sz="55" w:space="0" w:color="DCDCDC"/>
              <w:right w:val="single" w:sz="4" w:space="0" w:color="000000"/>
            </w:tcBorders>
          </w:tcPr>
          <w:p>
            <w:pPr/>
          </w:p>
        </w:tc>
        <w:tc>
          <w:tcPr>
            <w:tcW w:w="1350" w:type="dxa"/>
            <w:tcBorders>
              <w:top w:val="single" w:sz="4" w:space="0" w:color="000000"/>
              <w:left w:val="single" w:sz="4" w:space="0" w:color="000000"/>
              <w:bottom w:val="single" w:sz="55" w:space="0" w:color="DCDCDC"/>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sz w:val="18"/>
              </w:rPr>
              <w:t>-68,125,440.16</w:t>
            </w:r>
          </w:p>
        </w:tc>
        <w:tc>
          <w:tcPr>
            <w:tcW w:w="1065" w:type="dxa"/>
            <w:tcBorders>
              <w:top w:val="single" w:sz="4" w:space="0" w:color="000000"/>
              <w:left w:val="single" w:sz="4" w:space="0" w:color="000000"/>
              <w:bottom w:val="single" w:sz="55" w:space="0" w:color="DCDCDC"/>
              <w:right w:val="single" w:sz="4" w:space="0" w:color="000000"/>
            </w:tcBorders>
          </w:tcPr>
          <w:p>
            <w:pPr>
              <w:pStyle w:val="TableParagraph"/>
              <w:spacing w:line="240" w:lineRule="auto" w:before="17"/>
              <w:ind w:right="14"/>
              <w:jc w:val="right"/>
              <w:rPr>
                <w:rFonts w:ascii="宋体" w:hAnsi="宋体" w:cs="宋体" w:eastAsia="宋体" w:hint="default"/>
                <w:sz w:val="18"/>
                <w:szCs w:val="18"/>
              </w:rPr>
            </w:pPr>
            <w:r>
              <w:rPr>
                <w:rFonts w:ascii="宋体"/>
                <w:sz w:val="18"/>
              </w:rPr>
              <w:t>-235,152.69</w:t>
            </w:r>
          </w:p>
        </w:tc>
        <w:tc>
          <w:tcPr>
            <w:tcW w:w="1373" w:type="dxa"/>
            <w:tcBorders>
              <w:top w:val="single" w:sz="4" w:space="0" w:color="000000"/>
              <w:left w:val="single" w:sz="4" w:space="0" w:color="000000"/>
              <w:bottom w:val="single" w:sz="55" w:space="0" w:color="DCDCDC"/>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285,247,265.40</w:t>
            </w:r>
          </w:p>
        </w:tc>
        <w:tc>
          <w:tcPr>
            <w:tcW w:w="1470" w:type="dxa"/>
            <w:tcBorders>
              <w:top w:val="single" w:sz="4" w:space="0" w:color="000000"/>
              <w:left w:val="single" w:sz="4" w:space="0" w:color="000000"/>
              <w:bottom w:val="single" w:sz="55" w:space="0" w:color="DCDCDC"/>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775,890,508.29</w:t>
            </w:r>
          </w:p>
        </w:tc>
      </w:tr>
      <w:tr>
        <w:trPr>
          <w:trHeight w:val="429" w:hRule="exact"/>
        </w:trPr>
        <w:tc>
          <w:tcPr>
            <w:tcW w:w="3862" w:type="dxa"/>
            <w:tcBorders>
              <w:top w:val="single" w:sz="4" w:space="0" w:color="000000"/>
              <w:left w:val="single" w:sz="4" w:space="0" w:color="000000"/>
              <w:bottom w:val="nil" w:sz="6" w:space="0" w:color="auto"/>
              <w:right w:val="single" w:sz="4" w:space="0" w:color="000000"/>
            </w:tcBorders>
            <w:shd w:val="clear" w:color="auto" w:fill="DCDCDC"/>
          </w:tcPr>
          <w:p>
            <w:pPr/>
          </w:p>
        </w:tc>
        <w:tc>
          <w:tcPr>
            <w:tcW w:w="11037"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18" w:hRule="exact"/>
        </w:trPr>
        <w:tc>
          <w:tcPr>
            <w:tcW w:w="386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37"/>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94"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73" w:type="dxa"/>
            <w:tcBorders>
              <w:top w:val="single" w:sz="4" w:space="0" w:color="000000"/>
              <w:left w:val="single" w:sz="4" w:space="0" w:color="000000"/>
              <w:bottom w:val="nil" w:sz="6" w:space="0" w:color="auto"/>
              <w:right w:val="single" w:sz="4" w:space="0" w:color="000000"/>
            </w:tcBorders>
            <w:shd w:val="clear" w:color="auto" w:fill="DCDCDC"/>
          </w:tcPr>
          <w:p>
            <w:pPr/>
          </w:p>
        </w:tc>
        <w:tc>
          <w:tcPr>
            <w:tcW w:w="147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41" w:hRule="exact"/>
        </w:trPr>
        <w:tc>
          <w:tcPr>
            <w:tcW w:w="3862" w:type="dxa"/>
            <w:vMerge w:val="restart"/>
            <w:tcBorders>
              <w:top w:val="nil" w:sz="6" w:space="0" w:color="auto"/>
              <w:left w:val="single" w:sz="4" w:space="0" w:color="000000"/>
              <w:right w:val="single" w:sz="4" w:space="0" w:color="000000"/>
            </w:tcBorders>
            <w:shd w:val="clear" w:color="auto" w:fill="DCDCDC"/>
          </w:tcPr>
          <w:p>
            <w:pPr/>
          </w:p>
        </w:tc>
        <w:tc>
          <w:tcPr>
            <w:tcW w:w="1377"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88"/>
              <w:ind w:left="32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5" w:lineRule="exact"/>
              <w:ind w:left="238"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63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8"/>
              <w:ind w:left="129" w:right="38"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52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8"/>
              <w:ind w:left="76" w:right="7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72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88"/>
              <w:ind w:left="83" w:right="9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5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5" w:type="dxa"/>
            <w:tcBorders>
              <w:top w:val="single" w:sz="4" w:space="0" w:color="000000"/>
              <w:left w:val="single" w:sz="4" w:space="0" w:color="000000"/>
              <w:bottom w:val="nil" w:sz="6" w:space="0" w:color="auto"/>
              <w:right w:val="single" w:sz="4" w:space="0" w:color="000000"/>
            </w:tcBorders>
            <w:shd w:val="clear" w:color="auto" w:fill="DCDCDC"/>
          </w:tcPr>
          <w:p>
            <w:pPr/>
          </w:p>
        </w:tc>
        <w:tc>
          <w:tcPr>
            <w:tcW w:w="137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left="13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4" w:lineRule="exact"/>
              <w:ind w:left="99"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34" w:hRule="exact"/>
        </w:trPr>
        <w:tc>
          <w:tcPr>
            <w:tcW w:w="3862" w:type="dxa"/>
            <w:vMerge/>
            <w:tcBorders>
              <w:left w:val="single" w:sz="4" w:space="0" w:color="000000"/>
              <w:right w:val="single" w:sz="4" w:space="0" w:color="000000"/>
            </w:tcBorders>
            <w:shd w:val="clear" w:color="auto" w:fill="DCDCDC"/>
          </w:tcPr>
          <w:p>
            <w:pPr/>
          </w:p>
        </w:tc>
        <w:tc>
          <w:tcPr>
            <w:tcW w:w="1377" w:type="dxa"/>
            <w:vMerge/>
            <w:tcBorders>
              <w:left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630" w:type="dxa"/>
            <w:vMerge/>
            <w:tcBorders>
              <w:left w:val="single" w:sz="4" w:space="0" w:color="000000"/>
              <w:right w:val="single" w:sz="4" w:space="0" w:color="000000"/>
            </w:tcBorders>
            <w:shd w:val="clear" w:color="auto" w:fill="DCDCDC"/>
          </w:tcPr>
          <w:p>
            <w:pPr/>
          </w:p>
        </w:tc>
        <w:tc>
          <w:tcPr>
            <w:tcW w:w="524" w:type="dxa"/>
            <w:vMerge/>
            <w:tcBorders>
              <w:left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728" w:type="dxa"/>
            <w:vMerge/>
            <w:tcBorders>
              <w:left w:val="single" w:sz="4" w:space="0" w:color="000000"/>
              <w:right w:val="single" w:sz="4" w:space="0" w:color="000000"/>
            </w:tcBorders>
            <w:shd w:val="clear" w:color="auto" w:fill="DCDCDC"/>
          </w:tcPr>
          <w:p>
            <w:pPr/>
          </w:p>
        </w:tc>
        <w:tc>
          <w:tcPr>
            <w:tcW w:w="135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6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5" w:lineRule="exact"/>
              <w:ind w:left="3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3" w:type="dxa"/>
            <w:vMerge w:val="restart"/>
            <w:tcBorders>
              <w:top w:val="nil" w:sz="6" w:space="0" w:color="auto"/>
              <w:left w:val="single" w:sz="4" w:space="0" w:color="000000"/>
              <w:right w:val="single" w:sz="4" w:space="0" w:color="000000"/>
            </w:tcBorders>
            <w:shd w:val="clear" w:color="auto" w:fill="DCDCDC"/>
          </w:tcPr>
          <w:p>
            <w:pPr/>
          </w:p>
        </w:tc>
        <w:tc>
          <w:tcPr>
            <w:tcW w:w="1470" w:type="dxa"/>
            <w:vMerge w:val="restart"/>
            <w:tcBorders>
              <w:top w:val="nil" w:sz="6" w:space="0" w:color="auto"/>
              <w:left w:val="single" w:sz="4" w:space="0" w:color="000000"/>
              <w:right w:val="single" w:sz="4" w:space="0" w:color="000000"/>
            </w:tcBorders>
            <w:shd w:val="clear" w:color="auto" w:fill="DCDCDC"/>
          </w:tcPr>
          <w:p>
            <w:pPr/>
          </w:p>
        </w:tc>
      </w:tr>
      <w:tr>
        <w:trPr>
          <w:trHeight w:val="180" w:hRule="exact"/>
        </w:trPr>
        <w:tc>
          <w:tcPr>
            <w:tcW w:w="3862" w:type="dxa"/>
            <w:vMerge/>
            <w:tcBorders>
              <w:left w:val="single" w:sz="4" w:space="0" w:color="000000"/>
              <w:bottom w:val="single" w:sz="4" w:space="0" w:color="000000"/>
              <w:right w:val="single" w:sz="4" w:space="0" w:color="000000"/>
            </w:tcBorders>
            <w:shd w:val="clear" w:color="auto" w:fill="DCDCDC"/>
          </w:tcPr>
          <w:p>
            <w:pPr/>
          </w:p>
        </w:tc>
        <w:tc>
          <w:tcPr>
            <w:tcW w:w="1377"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630" w:type="dxa"/>
            <w:vMerge/>
            <w:tcBorders>
              <w:left w:val="single" w:sz="4" w:space="0" w:color="000000"/>
              <w:bottom w:val="single" w:sz="4" w:space="0" w:color="000000"/>
              <w:right w:val="single" w:sz="4" w:space="0" w:color="000000"/>
            </w:tcBorders>
            <w:shd w:val="clear" w:color="auto" w:fill="DCDCDC"/>
          </w:tcPr>
          <w:p>
            <w:pPr/>
          </w:p>
        </w:tc>
        <w:tc>
          <w:tcPr>
            <w:tcW w:w="524"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728" w:type="dxa"/>
            <w:vMerge/>
            <w:tcBorders>
              <w:left w:val="single" w:sz="4" w:space="0" w:color="000000"/>
              <w:bottom w:val="single" w:sz="4" w:space="0" w:color="000000"/>
              <w:right w:val="single" w:sz="4" w:space="0" w:color="000000"/>
            </w:tcBorders>
            <w:shd w:val="clear" w:color="auto" w:fill="DCDCDC"/>
          </w:tcPr>
          <w:p>
            <w:pPr/>
          </w:p>
        </w:tc>
        <w:tc>
          <w:tcPr>
            <w:tcW w:w="1350" w:type="dxa"/>
            <w:tcBorders>
              <w:top w:val="nil" w:sz="6" w:space="0" w:color="auto"/>
              <w:left w:val="single" w:sz="4" w:space="0" w:color="000000"/>
              <w:bottom w:val="single" w:sz="4" w:space="0" w:color="000000"/>
              <w:right w:val="single" w:sz="4" w:space="0" w:color="000000"/>
            </w:tcBorders>
            <w:shd w:val="clear" w:color="auto" w:fill="DCDCDC"/>
          </w:tcPr>
          <w:p>
            <w:pPr/>
          </w:p>
        </w:tc>
        <w:tc>
          <w:tcPr>
            <w:tcW w:w="1065"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3" w:type="dxa"/>
            <w:vMerge/>
            <w:tcBorders>
              <w:left w:val="single" w:sz="4" w:space="0" w:color="000000"/>
              <w:bottom w:val="single" w:sz="4" w:space="0" w:color="000000"/>
              <w:right w:val="single" w:sz="4" w:space="0" w:color="000000"/>
            </w:tcBorders>
            <w:shd w:val="clear" w:color="auto" w:fill="DCDCDC"/>
          </w:tcPr>
          <w:p>
            <w:pPr/>
          </w:p>
        </w:tc>
        <w:tc>
          <w:tcPr>
            <w:tcW w:w="1470" w:type="dxa"/>
            <w:vMerge/>
            <w:tcBorders>
              <w:left w:val="single" w:sz="4" w:space="0" w:color="000000"/>
              <w:bottom w:val="single" w:sz="4" w:space="0" w:color="000000"/>
              <w:right w:val="single" w:sz="4" w:space="0" w:color="000000"/>
            </w:tcBorders>
            <w:shd w:val="clear" w:color="auto" w:fill="DCDCDC"/>
          </w:tcPr>
          <w:p>
            <w:pPr/>
          </w:p>
        </w:tc>
      </w:tr>
      <w:tr>
        <w:trPr>
          <w:trHeight w:val="340"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77" w:type="dxa"/>
            <w:tcBorders>
              <w:top w:val="single" w:sz="27" w:space="0" w:color="DCDCDC"/>
              <w:left w:val="single" w:sz="4" w:space="0" w:color="000000"/>
              <w:bottom w:val="single" w:sz="4" w:space="0" w:color="000000"/>
              <w:right w:val="single" w:sz="4" w:space="0" w:color="000000"/>
            </w:tcBorders>
          </w:tcPr>
          <w:p>
            <w:pPr>
              <w:pStyle w:val="TableParagraph"/>
              <w:spacing w:line="224" w:lineRule="exact"/>
              <w:ind w:right="22"/>
              <w:jc w:val="right"/>
              <w:rPr>
                <w:rFonts w:ascii="宋体" w:hAnsi="宋体" w:cs="宋体" w:eastAsia="宋体" w:hint="default"/>
                <w:sz w:val="18"/>
                <w:szCs w:val="18"/>
              </w:rPr>
            </w:pPr>
            <w:r>
              <w:rPr>
                <w:rFonts w:ascii="宋体"/>
                <w:sz w:val="18"/>
              </w:rPr>
              <w:t>487,731,995.00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 w:right="0"/>
              <w:jc w:val="center"/>
              <w:rPr>
                <w:rFonts w:ascii="宋体" w:hAnsi="宋体" w:cs="宋体" w:eastAsia="宋体" w:hint="default"/>
                <w:sz w:val="18"/>
                <w:szCs w:val="18"/>
              </w:rPr>
            </w:pPr>
            <w:r>
              <w:rPr>
                <w:rFonts w:ascii="宋体"/>
                <w:sz w:val="18"/>
              </w:rPr>
              <w:t>30,614,641.22</w:t>
            </w:r>
          </w:p>
        </w:tc>
        <w:tc>
          <w:tcPr>
            <w:tcW w:w="630" w:type="dxa"/>
            <w:tcBorders>
              <w:top w:val="single" w:sz="27" w:space="0" w:color="DCDCDC"/>
              <w:left w:val="single" w:sz="4" w:space="0" w:color="000000"/>
              <w:bottom w:val="single" w:sz="4" w:space="0" w:color="000000"/>
              <w:right w:val="single" w:sz="4" w:space="0" w:color="000000"/>
            </w:tcBorders>
          </w:tcPr>
          <w:p>
            <w:pPr/>
          </w:p>
        </w:tc>
        <w:tc>
          <w:tcPr>
            <w:tcW w:w="524" w:type="dxa"/>
            <w:tcBorders>
              <w:top w:val="single" w:sz="27" w:space="0" w:color="DCDCDC"/>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 w:right="0"/>
              <w:jc w:val="center"/>
              <w:rPr>
                <w:rFonts w:ascii="宋体" w:hAnsi="宋体" w:cs="宋体" w:eastAsia="宋体" w:hint="default"/>
                <w:sz w:val="18"/>
                <w:szCs w:val="18"/>
              </w:rPr>
            </w:pPr>
            <w:r>
              <w:rPr>
                <w:rFonts w:ascii="宋体"/>
                <w:sz w:val="18"/>
              </w:rPr>
              <w:t>40,657,199.52</w:t>
            </w:r>
          </w:p>
        </w:tc>
        <w:tc>
          <w:tcPr>
            <w:tcW w:w="728" w:type="dxa"/>
            <w:tcBorders>
              <w:top w:val="single" w:sz="27" w:space="0" w:color="DCDCDC"/>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3"/>
              <w:jc w:val="right"/>
              <w:rPr>
                <w:rFonts w:ascii="宋体" w:hAnsi="宋体" w:cs="宋体" w:eastAsia="宋体" w:hint="default"/>
                <w:sz w:val="18"/>
                <w:szCs w:val="18"/>
              </w:rPr>
            </w:pPr>
            <w:r>
              <w:rPr>
                <w:rFonts w:ascii="宋体"/>
                <w:sz w:val="18"/>
              </w:rPr>
              <w:t>10,097,331.21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8"/>
              <w:jc w:val="right"/>
              <w:rPr>
                <w:rFonts w:ascii="宋体" w:hAnsi="宋体" w:cs="宋体" w:eastAsia="宋体" w:hint="default"/>
                <w:sz w:val="18"/>
                <w:szCs w:val="18"/>
              </w:rPr>
            </w:pPr>
            <w:r>
              <w:rPr>
                <w:rFonts w:ascii="宋体"/>
                <w:sz w:val="18"/>
              </w:rPr>
              <w:t>-185,384.56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303,671,370.51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872,587,152.90</w:t>
            </w:r>
          </w:p>
        </w:tc>
      </w:tr>
      <w:tr>
        <w:trPr>
          <w:trHeight w:val="340"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487,731,995.00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 w:right="0"/>
              <w:jc w:val="center"/>
              <w:rPr>
                <w:rFonts w:ascii="宋体" w:hAnsi="宋体" w:cs="宋体" w:eastAsia="宋体" w:hint="default"/>
                <w:sz w:val="18"/>
                <w:szCs w:val="18"/>
              </w:rPr>
            </w:pPr>
            <w:r>
              <w:rPr>
                <w:rFonts w:ascii="宋体"/>
                <w:sz w:val="18"/>
              </w:rPr>
              <w:t>30,614,641.22</w:t>
            </w: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 w:right="0"/>
              <w:jc w:val="center"/>
              <w:rPr>
                <w:rFonts w:ascii="宋体" w:hAnsi="宋体" w:cs="宋体" w:eastAsia="宋体" w:hint="default"/>
                <w:sz w:val="18"/>
                <w:szCs w:val="18"/>
              </w:rPr>
            </w:pPr>
            <w:r>
              <w:rPr>
                <w:rFonts w:ascii="宋体"/>
                <w:sz w:val="18"/>
              </w:rPr>
              <w:t>40,657,199.52</w:t>
            </w: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3"/>
              <w:jc w:val="right"/>
              <w:rPr>
                <w:rFonts w:ascii="宋体" w:hAnsi="宋体" w:cs="宋体" w:eastAsia="宋体" w:hint="default"/>
                <w:sz w:val="18"/>
                <w:szCs w:val="18"/>
              </w:rPr>
            </w:pPr>
            <w:r>
              <w:rPr>
                <w:rFonts w:ascii="宋体"/>
                <w:sz w:val="18"/>
              </w:rPr>
              <w:t>10,097,331.21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8"/>
              <w:jc w:val="right"/>
              <w:rPr>
                <w:rFonts w:ascii="宋体" w:hAnsi="宋体" w:cs="宋体" w:eastAsia="宋体" w:hint="default"/>
                <w:sz w:val="18"/>
                <w:szCs w:val="18"/>
              </w:rPr>
            </w:pPr>
            <w:r>
              <w:rPr>
                <w:rFonts w:ascii="宋体"/>
                <w:sz w:val="18"/>
              </w:rPr>
              <w:t>-185,384.56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303,671,370.51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872,587,152.90</w:t>
            </w:r>
          </w:p>
        </w:tc>
      </w:tr>
      <w:tr>
        <w:trPr>
          <w:trHeight w:val="341"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3"/>
              <w:jc w:val="right"/>
              <w:rPr>
                <w:rFonts w:ascii="宋体" w:hAnsi="宋体" w:cs="宋体" w:eastAsia="宋体" w:hint="default"/>
                <w:sz w:val="18"/>
                <w:szCs w:val="18"/>
              </w:rPr>
            </w:pPr>
            <w:r>
              <w:rPr>
                <w:rFonts w:ascii="宋体"/>
                <w:sz w:val="18"/>
              </w:rPr>
              <w:t>4,686,533.31</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8"/>
              <w:jc w:val="right"/>
              <w:rPr>
                <w:rFonts w:ascii="宋体" w:hAnsi="宋体" w:cs="宋体" w:eastAsia="宋体" w:hint="default"/>
                <w:sz w:val="18"/>
                <w:szCs w:val="18"/>
              </w:rPr>
            </w:pPr>
            <w:r>
              <w:rPr>
                <w:rFonts w:ascii="宋体"/>
                <w:sz w:val="18"/>
              </w:rPr>
              <w:t>98,108.44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-140,533.07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4,644,108.68</w:t>
            </w:r>
          </w:p>
        </w:tc>
      </w:tr>
      <w:tr>
        <w:trPr>
          <w:trHeight w:val="340"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3"/>
              <w:jc w:val="right"/>
              <w:rPr>
                <w:rFonts w:ascii="宋体" w:hAnsi="宋体" w:cs="宋体" w:eastAsia="宋体" w:hint="default"/>
                <w:sz w:val="18"/>
                <w:szCs w:val="18"/>
              </w:rPr>
            </w:pPr>
            <w:r>
              <w:rPr>
                <w:rFonts w:ascii="宋体"/>
                <w:sz w:val="18"/>
              </w:rPr>
              <w:t>4,717,562.55</w:t>
            </w:r>
          </w:p>
        </w:tc>
        <w:tc>
          <w:tcPr>
            <w:tcW w:w="10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18,965,631.88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23,683,194.43</w:t>
            </w:r>
          </w:p>
        </w:tc>
      </w:tr>
      <w:tr>
        <w:trPr>
          <w:trHeight w:val="340"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8"/>
              <w:jc w:val="right"/>
              <w:rPr>
                <w:rFonts w:ascii="宋体" w:hAnsi="宋体" w:cs="宋体" w:eastAsia="宋体" w:hint="default"/>
                <w:sz w:val="18"/>
                <w:szCs w:val="18"/>
              </w:rPr>
            </w:pPr>
            <w:r>
              <w:rPr>
                <w:rFonts w:ascii="宋体"/>
                <w:sz w:val="18"/>
              </w:rPr>
              <w:t>98,108.44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-30,664.58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67,443.86</w:t>
            </w:r>
          </w:p>
        </w:tc>
      </w:tr>
      <w:tr>
        <w:trPr>
          <w:trHeight w:val="341"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3"/>
              <w:jc w:val="right"/>
              <w:rPr>
                <w:rFonts w:ascii="宋体" w:hAnsi="宋体" w:cs="宋体" w:eastAsia="宋体" w:hint="default"/>
                <w:sz w:val="18"/>
                <w:szCs w:val="18"/>
              </w:rPr>
            </w:pPr>
            <w:r>
              <w:rPr>
                <w:rFonts w:ascii="宋体"/>
                <w:sz w:val="18"/>
              </w:rPr>
              <w:t>4,717,562.55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8"/>
              <w:jc w:val="right"/>
              <w:rPr>
                <w:rFonts w:ascii="宋体" w:hAnsi="宋体" w:cs="宋体" w:eastAsia="宋体" w:hint="default"/>
                <w:sz w:val="18"/>
                <w:szCs w:val="18"/>
              </w:rPr>
            </w:pPr>
            <w:r>
              <w:rPr>
                <w:rFonts w:ascii="宋体"/>
                <w:sz w:val="18"/>
              </w:rPr>
              <w:t>98,108.44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18,934,967.30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23,750,638.29</w:t>
            </w:r>
          </w:p>
        </w:tc>
      </w:tr>
      <w:tr>
        <w:trPr>
          <w:trHeight w:val="340"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-19,075,500.37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-19,075,500.37</w:t>
            </w:r>
          </w:p>
        </w:tc>
      </w:tr>
      <w:tr>
        <w:trPr>
          <w:trHeight w:val="340"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6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-19,075,500.37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-19,075,500.37</w:t>
            </w:r>
          </w:p>
        </w:tc>
      </w:tr>
    </w:tbl>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14"/>
          <w:szCs w:val="14"/>
        </w:rPr>
      </w:pPr>
    </w:p>
    <w:p>
      <w:pPr>
        <w:spacing w:before="76"/>
        <w:ind w:left="6153" w:right="6292" w:firstLine="0"/>
        <w:jc w:val="center"/>
        <w:rPr>
          <w:rFonts w:ascii="Times New Roman" w:hAnsi="Times New Roman" w:cs="Times New Roman" w:eastAsia="Times New Roman" w:hint="default"/>
          <w:sz w:val="18"/>
          <w:szCs w:val="18"/>
        </w:rPr>
      </w:pPr>
      <w:r>
        <w:rPr>
          <w:rFonts w:ascii="Times New Roman"/>
          <w:sz w:val="18"/>
        </w:rPr>
        <w:t>43</w:t>
      </w:r>
    </w:p>
    <w:p>
      <w:pPr>
        <w:spacing w:after="0"/>
        <w:jc w:val="center"/>
        <w:rPr>
          <w:rFonts w:ascii="Times New Roman" w:hAnsi="Times New Roman" w:cs="Times New Roman" w:eastAsia="Times New Roman" w:hint="default"/>
          <w:sz w:val="18"/>
          <w:szCs w:val="18"/>
        </w:rPr>
        <w:sectPr>
          <w:pgSz w:w="16840" w:h="11910" w:orient="landscape"/>
          <w:pgMar w:top="760" w:bottom="280" w:left="920" w:right="780"/>
        </w:sectPr>
      </w:pPr>
    </w:p>
    <w:p>
      <w:pPr>
        <w:spacing w:line="240" w:lineRule="auto" w:before="5"/>
        <w:rPr>
          <w:rFonts w:ascii="Times New Roman" w:hAnsi="Times New Roman" w:cs="Times New Roman" w:eastAsia="Times New Roman" w:hint="default"/>
          <w:sz w:val="27"/>
          <w:szCs w:val="27"/>
        </w:rPr>
      </w:pPr>
    </w:p>
    <w:p>
      <w:pPr>
        <w:pStyle w:val="Heading4"/>
        <w:tabs>
          <w:tab w:pos="7039" w:val="left" w:leader="none"/>
        </w:tabs>
        <w:spacing w:line="240" w:lineRule="auto"/>
        <w:ind w:left="3726" w:right="0"/>
        <w:jc w:val="left"/>
        <w:rPr>
          <w:b w:val="0"/>
          <w:bCs w:val="0"/>
        </w:rPr>
      </w:pPr>
      <w:r>
        <w:rPr/>
        <w:pict>
          <v:shape style="position:absolute;margin-left:56.691002pt;margin-top:-11.486306pt;width:94.936996pt;height:25.5pt;mso-position-horizontal-relative:page;mso-position-vertical-relative:paragraph;z-index:3712" type="#_x0000_t75" stroked="false">
            <v:imagedata r:id="rId12"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5"/>
        <w:rPr>
          <w:rFonts w:ascii="黑体" w:hAnsi="黑体" w:cs="黑体" w:eastAsia="黑体" w:hint="default"/>
          <w:b/>
          <w:bCs/>
          <w:sz w:val="4"/>
          <w:szCs w:val="4"/>
        </w:rPr>
      </w:pPr>
    </w:p>
    <w:tbl>
      <w:tblPr>
        <w:tblW w:w="0" w:type="auto"/>
        <w:jc w:val="left"/>
        <w:tblInd w:w="103" w:type="dxa"/>
        <w:tblLayout w:type="fixed"/>
        <w:tblCellMar>
          <w:top w:w="0" w:type="dxa"/>
          <w:left w:w="0" w:type="dxa"/>
          <w:bottom w:w="0" w:type="dxa"/>
          <w:right w:w="0" w:type="dxa"/>
        </w:tblCellMar>
        <w:tblLook w:val="01E0"/>
      </w:tblPr>
      <w:tblGrid>
        <w:gridCol w:w="3885"/>
        <w:gridCol w:w="1366"/>
        <w:gridCol w:w="1260"/>
        <w:gridCol w:w="630"/>
        <w:gridCol w:w="524"/>
        <w:gridCol w:w="1260"/>
        <w:gridCol w:w="720"/>
        <w:gridCol w:w="1336"/>
        <w:gridCol w:w="1080"/>
        <w:gridCol w:w="1380"/>
        <w:gridCol w:w="1470"/>
      </w:tblGrid>
      <w:tr>
        <w:trPr>
          <w:trHeight w:val="347" w:hRule="exact"/>
        </w:trPr>
        <w:tc>
          <w:tcPr>
            <w:tcW w:w="3885" w:type="dxa"/>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2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66" w:type="dxa"/>
            <w:tcBorders>
              <w:top w:val="single" w:sz="6" w:space="0" w:color="000000"/>
              <w:left w:val="single" w:sz="4" w:space="0" w:color="000000"/>
              <w:bottom w:val="single" w:sz="4" w:space="0" w:color="000000"/>
              <w:right w:val="single" w:sz="4" w:space="0" w:color="000000"/>
            </w:tcBorders>
          </w:tcPr>
          <w:p>
            <w:pPr/>
          </w:p>
        </w:tc>
        <w:tc>
          <w:tcPr>
            <w:tcW w:w="1260" w:type="dxa"/>
            <w:tcBorders>
              <w:top w:val="single" w:sz="6" w:space="0" w:color="000000"/>
              <w:left w:val="single" w:sz="4" w:space="0" w:color="000000"/>
              <w:bottom w:val="single" w:sz="4" w:space="0" w:color="000000"/>
              <w:right w:val="single" w:sz="4" w:space="0" w:color="000000"/>
            </w:tcBorders>
          </w:tcPr>
          <w:p>
            <w:pPr/>
          </w:p>
        </w:tc>
        <w:tc>
          <w:tcPr>
            <w:tcW w:w="630" w:type="dxa"/>
            <w:tcBorders>
              <w:top w:val="single" w:sz="6" w:space="0" w:color="000000"/>
              <w:left w:val="single" w:sz="4" w:space="0" w:color="000000"/>
              <w:bottom w:val="single" w:sz="4" w:space="0" w:color="000000"/>
              <w:right w:val="single" w:sz="4" w:space="0" w:color="000000"/>
            </w:tcBorders>
          </w:tcPr>
          <w:p>
            <w:pPr/>
          </w:p>
        </w:tc>
        <w:tc>
          <w:tcPr>
            <w:tcW w:w="524" w:type="dxa"/>
            <w:tcBorders>
              <w:top w:val="single" w:sz="6" w:space="0" w:color="000000"/>
              <w:left w:val="single" w:sz="4" w:space="0" w:color="000000"/>
              <w:bottom w:val="single" w:sz="4" w:space="0" w:color="000000"/>
              <w:right w:val="single" w:sz="4" w:space="0" w:color="000000"/>
            </w:tcBorders>
          </w:tcPr>
          <w:p>
            <w:pPr/>
          </w:p>
        </w:tc>
        <w:tc>
          <w:tcPr>
            <w:tcW w:w="1260" w:type="dxa"/>
            <w:tcBorders>
              <w:top w:val="single" w:sz="6" w:space="0" w:color="000000"/>
              <w:left w:val="single" w:sz="4" w:space="0" w:color="000000"/>
              <w:bottom w:val="single" w:sz="4" w:space="0" w:color="000000"/>
              <w:right w:val="single" w:sz="4" w:space="0" w:color="000000"/>
            </w:tcBorders>
          </w:tcPr>
          <w:p>
            <w:pPr/>
          </w:p>
        </w:tc>
        <w:tc>
          <w:tcPr>
            <w:tcW w:w="720" w:type="dxa"/>
            <w:tcBorders>
              <w:top w:val="single" w:sz="6" w:space="0" w:color="000000"/>
              <w:left w:val="single" w:sz="4" w:space="0" w:color="000000"/>
              <w:bottom w:val="single" w:sz="4" w:space="0" w:color="000000"/>
              <w:right w:val="single" w:sz="4" w:space="0" w:color="000000"/>
            </w:tcBorders>
          </w:tcPr>
          <w:p>
            <w:pPr/>
          </w:p>
        </w:tc>
        <w:tc>
          <w:tcPr>
            <w:tcW w:w="133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2"/>
              <w:ind w:right="20"/>
              <w:jc w:val="right"/>
              <w:rPr>
                <w:rFonts w:ascii="宋体" w:hAnsi="宋体" w:cs="宋体" w:eastAsia="宋体" w:hint="default"/>
                <w:sz w:val="18"/>
                <w:szCs w:val="18"/>
              </w:rPr>
            </w:pPr>
            <w:r>
              <w:rPr>
                <w:rFonts w:ascii="宋体"/>
                <w:sz w:val="18"/>
              </w:rPr>
              <w:t>-31,029.24</w:t>
            </w:r>
          </w:p>
        </w:tc>
        <w:tc>
          <w:tcPr>
            <w:tcW w:w="1080" w:type="dxa"/>
            <w:tcBorders>
              <w:top w:val="single" w:sz="6" w:space="0" w:color="000000"/>
              <w:left w:val="single" w:sz="4" w:space="0" w:color="000000"/>
              <w:bottom w:val="single" w:sz="4" w:space="0" w:color="000000"/>
              <w:right w:val="single" w:sz="4" w:space="0" w:color="000000"/>
            </w:tcBorders>
          </w:tcPr>
          <w:p>
            <w:pPr/>
          </w:p>
        </w:tc>
        <w:tc>
          <w:tcPr>
            <w:tcW w:w="1380" w:type="dxa"/>
            <w:tcBorders>
              <w:top w:val="single" w:sz="6" w:space="0" w:color="000000"/>
              <w:left w:val="single" w:sz="4" w:space="0" w:color="000000"/>
              <w:bottom w:val="single" w:sz="4" w:space="0" w:color="000000"/>
              <w:right w:val="single" w:sz="4" w:space="0" w:color="000000"/>
            </w:tcBorders>
          </w:tcPr>
          <w:p>
            <w:pPr/>
          </w:p>
        </w:tc>
        <w:tc>
          <w:tcPr>
            <w:tcW w:w="147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2"/>
              <w:ind w:right="23"/>
              <w:jc w:val="right"/>
              <w:rPr>
                <w:rFonts w:ascii="宋体" w:hAnsi="宋体" w:cs="宋体" w:eastAsia="宋体" w:hint="default"/>
                <w:sz w:val="18"/>
                <w:szCs w:val="18"/>
              </w:rPr>
            </w:pPr>
            <w:r>
              <w:rPr>
                <w:rFonts w:ascii="宋体"/>
                <w:sz w:val="18"/>
              </w:rPr>
              <w:t>-31,029.24</w:t>
            </w:r>
          </w:p>
        </w:tc>
      </w:tr>
      <w:tr>
        <w:trPr>
          <w:trHeight w:val="340" w:hRule="exact"/>
        </w:trPr>
        <w:tc>
          <w:tcPr>
            <w:tcW w:w="38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-31,029.24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-31,029.24</w:t>
            </w:r>
          </w:p>
        </w:tc>
      </w:tr>
      <w:tr>
        <w:trPr>
          <w:trHeight w:val="341" w:hRule="exact"/>
        </w:trPr>
        <w:tc>
          <w:tcPr>
            <w:tcW w:w="38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0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880"/>
              <w:jc w:val="righ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880"/>
              <w:jc w:val="righ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8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1" w:right="0"/>
              <w:jc w:val="left"/>
              <w:rPr>
                <w:rFonts w:ascii="宋体" w:hAnsi="宋体" w:cs="宋体" w:eastAsia="宋体" w:hint="default"/>
                <w:sz w:val="18"/>
                <w:szCs w:val="18"/>
              </w:rPr>
            </w:pPr>
            <w:r>
              <w:rPr>
                <w:rFonts w:ascii="宋体"/>
                <w:sz w:val="18"/>
              </w:rPr>
              <w:t>487,731,995.00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6" w:right="0"/>
              <w:jc w:val="left"/>
              <w:rPr>
                <w:rFonts w:ascii="宋体" w:hAnsi="宋体" w:cs="宋体" w:eastAsia="宋体" w:hint="default"/>
                <w:sz w:val="18"/>
                <w:szCs w:val="18"/>
              </w:rPr>
            </w:pPr>
            <w:r>
              <w:rPr>
                <w:rFonts w:ascii="宋体"/>
                <w:sz w:val="18"/>
              </w:rPr>
              <w:t>30,614,641.22</w:t>
            </w:r>
          </w:p>
        </w:tc>
        <w:tc>
          <w:tcPr>
            <w:tcW w:w="63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6" w:right="0"/>
              <w:jc w:val="left"/>
              <w:rPr>
                <w:rFonts w:ascii="宋体" w:hAnsi="宋体" w:cs="宋体" w:eastAsia="宋体" w:hint="default"/>
                <w:sz w:val="18"/>
                <w:szCs w:val="18"/>
              </w:rPr>
            </w:pPr>
            <w:r>
              <w:rPr>
                <w:rFonts w:ascii="宋体"/>
                <w:sz w:val="18"/>
              </w:rPr>
              <w:t>40,657,199.52</w:t>
            </w:r>
          </w:p>
        </w:tc>
        <w:tc>
          <w:tcPr>
            <w:tcW w:w="720"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14,783,864.52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7" w:right="0"/>
              <w:jc w:val="left"/>
              <w:rPr>
                <w:rFonts w:ascii="宋体" w:hAnsi="宋体" w:cs="宋体" w:eastAsia="宋体" w:hint="default"/>
                <w:sz w:val="18"/>
                <w:szCs w:val="18"/>
              </w:rPr>
            </w:pPr>
            <w:r>
              <w:rPr>
                <w:rFonts w:ascii="宋体"/>
                <w:sz w:val="18"/>
              </w:rPr>
              <w:t>-87,276.12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6" w:right="0"/>
              <w:jc w:val="left"/>
              <w:rPr>
                <w:rFonts w:ascii="宋体" w:hAnsi="宋体" w:cs="宋体" w:eastAsia="宋体" w:hint="default"/>
                <w:sz w:val="18"/>
                <w:szCs w:val="18"/>
              </w:rPr>
            </w:pPr>
            <w:r>
              <w:rPr>
                <w:rFonts w:ascii="宋体"/>
                <w:sz w:val="18"/>
              </w:rPr>
              <w:t>303,530,837.44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877,231,261.58</w:t>
            </w:r>
          </w:p>
        </w:tc>
      </w:tr>
    </w:tbl>
    <w:p>
      <w:pPr>
        <w:spacing w:line="240" w:lineRule="auto" w:before="8"/>
        <w:rPr>
          <w:rFonts w:ascii="黑体" w:hAnsi="黑体" w:cs="黑体" w:eastAsia="黑体" w:hint="default"/>
          <w:b/>
          <w:bCs/>
          <w:sz w:val="22"/>
          <w:szCs w:val="22"/>
        </w:rPr>
      </w:pPr>
    </w:p>
    <w:p>
      <w:pPr>
        <w:spacing w:before="26"/>
        <w:ind w:left="6153" w:right="6295" w:firstLine="0"/>
        <w:jc w:val="center"/>
        <w:rPr>
          <w:rFonts w:ascii="宋体" w:hAnsi="宋体" w:cs="宋体" w:eastAsia="宋体" w:hint="default"/>
          <w:sz w:val="24"/>
          <w:szCs w:val="24"/>
        </w:rPr>
      </w:pPr>
      <w:r>
        <w:rPr>
          <w:rFonts w:ascii="宋体" w:hAnsi="宋体" w:cs="宋体" w:eastAsia="宋体" w:hint="default"/>
          <w:b/>
          <w:bCs/>
          <w:sz w:val="24"/>
          <w:szCs w:val="24"/>
        </w:rPr>
        <w:t>母公司所有者权益变动表</w:t>
      </w:r>
      <w:r>
        <w:rPr>
          <w:rFonts w:ascii="宋体" w:hAnsi="宋体" w:cs="宋体" w:eastAsia="宋体" w:hint="default"/>
          <w:sz w:val="24"/>
          <w:szCs w:val="24"/>
        </w:rPr>
      </w:r>
    </w:p>
    <w:p>
      <w:pPr>
        <w:spacing w:line="240" w:lineRule="auto" w:before="4"/>
        <w:rPr>
          <w:rFonts w:ascii="宋体" w:hAnsi="宋体" w:cs="宋体" w:eastAsia="宋体" w:hint="default"/>
          <w:b/>
          <w:bCs/>
          <w:sz w:val="21"/>
          <w:szCs w:val="21"/>
        </w:rPr>
      </w:pPr>
    </w:p>
    <w:p>
      <w:pPr>
        <w:pStyle w:val="BodyText"/>
        <w:tabs>
          <w:tab w:pos="7038" w:val="left" w:leader="none"/>
          <w:tab w:pos="12339" w:val="left" w:leader="none"/>
        </w:tabs>
        <w:spacing w:line="240" w:lineRule="auto" w:before="0"/>
        <w:ind w:left="213" w:right="0"/>
        <w:jc w:val="left"/>
      </w:pPr>
      <w:r>
        <w:rPr>
          <w:spacing w:val="-1"/>
        </w:rPr>
        <w:t>编制单位：重庆华立药业股份有限公</w:t>
      </w:r>
      <w:r>
        <w:rPr/>
        <w:t>司</w:t>
        <w:tab/>
        <w:t>2009</w:t>
      </w:r>
      <w:r>
        <w:rPr>
          <w:spacing w:val="-52"/>
        </w:rPr>
        <w:t> </w:t>
      </w:r>
      <w:r>
        <w:rPr/>
        <w:t>年度</w:t>
        <w:tab/>
      </w:r>
      <w:r>
        <w:rPr>
          <w:spacing w:val="-2"/>
        </w:rPr>
        <w:t>单</w:t>
      </w:r>
      <w:r>
        <w:rPr>
          <w:spacing w:val="-1"/>
        </w:rPr>
        <w:t>位</w:t>
      </w:r>
      <w:r>
        <w:rPr>
          <w:spacing w:val="-105"/>
        </w:rPr>
        <w:t>：</w:t>
      </w:r>
      <w:r>
        <w:rPr/>
        <w:t>（人民</w:t>
      </w:r>
      <w:r>
        <w:rPr>
          <w:spacing w:val="-2"/>
        </w:rPr>
        <w:t>币</w:t>
      </w:r>
      <w:r>
        <w:rPr/>
        <w:t>）元</w:t>
      </w:r>
    </w:p>
    <w:p>
      <w:pPr>
        <w:spacing w:line="240" w:lineRule="auto" w:before="7"/>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3870"/>
        <w:gridCol w:w="1366"/>
        <w:gridCol w:w="1368"/>
        <w:gridCol w:w="1156"/>
        <w:gridCol w:w="840"/>
        <w:gridCol w:w="1260"/>
        <w:gridCol w:w="1154"/>
        <w:gridCol w:w="1470"/>
        <w:gridCol w:w="1786"/>
      </w:tblGrid>
      <w:tr>
        <w:trPr>
          <w:trHeight w:val="349" w:hRule="exact"/>
        </w:trPr>
        <w:tc>
          <w:tcPr>
            <w:tcW w:w="3870" w:type="dxa"/>
            <w:tcBorders>
              <w:top w:val="single" w:sz="4" w:space="0" w:color="000000"/>
              <w:left w:val="single" w:sz="4" w:space="0" w:color="000000"/>
              <w:bottom w:val="nil" w:sz="6" w:space="0" w:color="auto"/>
              <w:right w:val="single" w:sz="4" w:space="0" w:color="000000"/>
            </w:tcBorders>
            <w:shd w:val="clear" w:color="auto" w:fill="DCDCDC"/>
          </w:tcPr>
          <w:p>
            <w:pPr/>
          </w:p>
        </w:tc>
        <w:tc>
          <w:tcPr>
            <w:tcW w:w="10399"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205" w:hRule="exact"/>
        </w:trPr>
        <w:tc>
          <w:tcPr>
            <w:tcW w:w="387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91" w:lineRule="exact"/>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37"/>
              <w:ind w:left="317"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5" w:lineRule="exact"/>
              <w:ind w:left="227"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68" w:type="dxa"/>
            <w:tcBorders>
              <w:top w:val="single" w:sz="4" w:space="0" w:color="000000"/>
              <w:left w:val="single" w:sz="4" w:space="0" w:color="000000"/>
              <w:bottom w:val="nil" w:sz="6" w:space="0" w:color="auto"/>
              <w:right w:val="single" w:sz="4" w:space="0" w:color="000000"/>
            </w:tcBorders>
            <w:shd w:val="clear" w:color="auto" w:fill="DCDCDC"/>
          </w:tcPr>
          <w:p>
            <w:pPr/>
          </w:p>
        </w:tc>
        <w:tc>
          <w:tcPr>
            <w:tcW w:w="1156" w:type="dxa"/>
            <w:tcBorders>
              <w:top w:val="single" w:sz="4" w:space="0" w:color="000000"/>
              <w:left w:val="single" w:sz="4" w:space="0" w:color="000000"/>
              <w:bottom w:val="nil" w:sz="6" w:space="0" w:color="auto"/>
              <w:right w:val="single" w:sz="4" w:space="0" w:color="000000"/>
            </w:tcBorders>
            <w:shd w:val="clear" w:color="auto" w:fill="DCDCDC"/>
          </w:tcPr>
          <w:p>
            <w:pPr/>
          </w:p>
        </w:tc>
        <w:tc>
          <w:tcPr>
            <w:tcW w:w="840"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1154" w:type="dxa"/>
            <w:tcBorders>
              <w:top w:val="single" w:sz="4" w:space="0" w:color="000000"/>
              <w:left w:val="single" w:sz="4" w:space="0" w:color="000000"/>
              <w:bottom w:val="nil" w:sz="6" w:space="0" w:color="auto"/>
              <w:right w:val="single" w:sz="4" w:space="0" w:color="000000"/>
            </w:tcBorders>
            <w:shd w:val="clear" w:color="auto" w:fill="DCDCDC"/>
          </w:tcPr>
          <w:p>
            <w:pPr/>
          </w:p>
        </w:tc>
        <w:tc>
          <w:tcPr>
            <w:tcW w:w="1470" w:type="dxa"/>
            <w:tcBorders>
              <w:top w:val="single" w:sz="4" w:space="0" w:color="000000"/>
              <w:left w:val="single" w:sz="4" w:space="0" w:color="000000"/>
              <w:bottom w:val="nil" w:sz="6" w:space="0" w:color="auto"/>
              <w:right w:val="single" w:sz="4" w:space="0" w:color="000000"/>
            </w:tcBorders>
            <w:shd w:val="clear" w:color="auto" w:fill="DCDCDC"/>
          </w:tcPr>
          <w:p>
            <w:pPr/>
          </w:p>
        </w:tc>
        <w:tc>
          <w:tcPr>
            <w:tcW w:w="1786"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19" w:hRule="exact"/>
        </w:trPr>
        <w:tc>
          <w:tcPr>
            <w:tcW w:w="3870" w:type="dxa"/>
            <w:vMerge w:val="restart"/>
            <w:tcBorders>
              <w:top w:val="nil" w:sz="6" w:space="0" w:color="auto"/>
              <w:left w:val="single" w:sz="4" w:space="0" w:color="000000"/>
              <w:right w:val="single" w:sz="4" w:space="0" w:color="000000"/>
            </w:tcBorders>
            <w:shd w:val="clear" w:color="auto" w:fill="DCDCDC"/>
          </w:tcPr>
          <w:p>
            <w:pPr/>
          </w:p>
        </w:tc>
        <w:tc>
          <w:tcPr>
            <w:tcW w:w="1366" w:type="dxa"/>
            <w:vMerge/>
            <w:tcBorders>
              <w:left w:val="single" w:sz="4" w:space="0" w:color="000000"/>
              <w:right w:val="single" w:sz="4" w:space="0" w:color="000000"/>
            </w:tcBorders>
            <w:shd w:val="clear" w:color="auto" w:fill="DCDCDC"/>
          </w:tcPr>
          <w:p>
            <w:pPr/>
          </w:p>
        </w:tc>
        <w:tc>
          <w:tcPr>
            <w:tcW w:w="136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15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4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90" w:lineRule="exact"/>
              <w:ind w:left="5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90" w:lineRule="exact"/>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15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90" w:lineRule="exact"/>
              <w:ind w:left="3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7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190" w:lineRule="exact"/>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78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07" w:lineRule="exact"/>
              <w:ind w:left="15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80" w:hRule="exact"/>
        </w:trPr>
        <w:tc>
          <w:tcPr>
            <w:tcW w:w="3870" w:type="dxa"/>
            <w:vMerge/>
            <w:tcBorders>
              <w:left w:val="single" w:sz="4" w:space="0" w:color="000000"/>
              <w:bottom w:val="single" w:sz="4" w:space="0" w:color="000000"/>
              <w:right w:val="single" w:sz="4" w:space="0" w:color="000000"/>
            </w:tcBorders>
            <w:shd w:val="clear" w:color="auto" w:fill="DCDCDC"/>
          </w:tcPr>
          <w:p>
            <w:pPr/>
          </w:p>
        </w:tc>
        <w:tc>
          <w:tcPr>
            <w:tcW w:w="1366" w:type="dxa"/>
            <w:vMerge/>
            <w:tcBorders>
              <w:left w:val="single" w:sz="4" w:space="0" w:color="000000"/>
              <w:bottom w:val="single" w:sz="4" w:space="0" w:color="000000"/>
              <w:right w:val="single" w:sz="4" w:space="0" w:color="000000"/>
            </w:tcBorders>
            <w:shd w:val="clear" w:color="auto" w:fill="DCDCDC"/>
          </w:tcPr>
          <w:p>
            <w:pPr/>
          </w:p>
        </w:tc>
        <w:tc>
          <w:tcPr>
            <w:tcW w:w="1368" w:type="dxa"/>
            <w:tcBorders>
              <w:top w:val="nil" w:sz="6" w:space="0" w:color="auto"/>
              <w:left w:val="single" w:sz="4" w:space="0" w:color="000000"/>
              <w:bottom w:val="single" w:sz="4" w:space="0" w:color="000000"/>
              <w:right w:val="single" w:sz="4" w:space="0" w:color="000000"/>
            </w:tcBorders>
            <w:shd w:val="clear" w:color="auto" w:fill="DCDCDC"/>
          </w:tcPr>
          <w:p>
            <w:pPr/>
          </w:p>
        </w:tc>
        <w:tc>
          <w:tcPr>
            <w:tcW w:w="1156" w:type="dxa"/>
            <w:tcBorders>
              <w:top w:val="nil" w:sz="6" w:space="0" w:color="auto"/>
              <w:left w:val="single" w:sz="4" w:space="0" w:color="000000"/>
              <w:bottom w:val="single" w:sz="4" w:space="0" w:color="000000"/>
              <w:right w:val="single" w:sz="4" w:space="0" w:color="000000"/>
            </w:tcBorders>
            <w:shd w:val="clear" w:color="auto" w:fill="DCDCDC"/>
          </w:tcPr>
          <w:p>
            <w:pPr/>
          </w:p>
        </w:tc>
        <w:tc>
          <w:tcPr>
            <w:tcW w:w="840"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1154" w:type="dxa"/>
            <w:tcBorders>
              <w:top w:val="nil" w:sz="6" w:space="0" w:color="auto"/>
              <w:left w:val="single" w:sz="4" w:space="0" w:color="000000"/>
              <w:bottom w:val="single" w:sz="4" w:space="0" w:color="000000"/>
              <w:right w:val="single" w:sz="4" w:space="0" w:color="000000"/>
            </w:tcBorders>
            <w:shd w:val="clear" w:color="auto" w:fill="DCDCDC"/>
          </w:tcPr>
          <w:p>
            <w:pPr/>
          </w:p>
        </w:tc>
        <w:tc>
          <w:tcPr>
            <w:tcW w:w="1470" w:type="dxa"/>
            <w:tcBorders>
              <w:top w:val="nil" w:sz="6" w:space="0" w:color="auto"/>
              <w:left w:val="single" w:sz="4" w:space="0" w:color="000000"/>
              <w:bottom w:val="single" w:sz="4" w:space="0" w:color="000000"/>
              <w:right w:val="single" w:sz="4" w:space="0" w:color="000000"/>
            </w:tcBorders>
            <w:shd w:val="clear" w:color="auto" w:fill="DCDCDC"/>
          </w:tcPr>
          <w:p>
            <w:pPr/>
          </w:p>
        </w:tc>
        <w:tc>
          <w:tcPr>
            <w:tcW w:w="1786"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41"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66" w:type="dxa"/>
            <w:tcBorders>
              <w:top w:val="single" w:sz="24" w:space="0" w:color="DCDCDC"/>
              <w:left w:val="single" w:sz="10" w:space="0" w:color="DCDCDC"/>
              <w:bottom w:val="single" w:sz="4" w:space="0" w:color="000000"/>
              <w:right w:val="single" w:sz="4" w:space="0" w:color="000000"/>
            </w:tcBorders>
          </w:tcPr>
          <w:p>
            <w:pPr>
              <w:pStyle w:val="TableParagraph"/>
              <w:spacing w:line="229" w:lineRule="exact"/>
              <w:ind w:right="20"/>
              <w:jc w:val="right"/>
              <w:rPr>
                <w:rFonts w:ascii="宋体" w:hAnsi="宋体" w:cs="宋体" w:eastAsia="宋体" w:hint="default"/>
                <w:sz w:val="18"/>
                <w:szCs w:val="18"/>
              </w:rPr>
            </w:pPr>
            <w:r>
              <w:rPr>
                <w:rFonts w:ascii="宋体"/>
                <w:sz w:val="18"/>
              </w:rPr>
              <w:t>487,731,995.00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0" w:right="0"/>
              <w:jc w:val="center"/>
              <w:rPr>
                <w:rFonts w:ascii="宋体" w:hAnsi="宋体" w:cs="宋体" w:eastAsia="宋体" w:hint="default"/>
                <w:sz w:val="18"/>
                <w:szCs w:val="18"/>
              </w:rPr>
            </w:pPr>
            <w:r>
              <w:rPr>
                <w:rFonts w:ascii="宋体"/>
                <w:sz w:val="18"/>
              </w:rPr>
              <w:t>119,506,224.01</w:t>
            </w: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 w:right="0"/>
              <w:jc w:val="center"/>
              <w:rPr>
                <w:rFonts w:ascii="宋体" w:hAnsi="宋体" w:cs="宋体" w:eastAsia="宋体" w:hint="default"/>
                <w:sz w:val="18"/>
                <w:szCs w:val="18"/>
              </w:rPr>
            </w:pPr>
            <w:r>
              <w:rPr>
                <w:rFonts w:ascii="宋体"/>
                <w:sz w:val="18"/>
              </w:rPr>
              <w:t>28,791,805.68</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 w:right="0"/>
              <w:jc w:val="center"/>
              <w:rPr>
                <w:rFonts w:ascii="宋体" w:hAnsi="宋体" w:cs="宋体" w:eastAsia="宋体" w:hint="default"/>
                <w:sz w:val="18"/>
                <w:szCs w:val="18"/>
              </w:rPr>
            </w:pPr>
            <w:r>
              <w:rPr>
                <w:rFonts w:ascii="宋体"/>
                <w:sz w:val="18"/>
              </w:rPr>
              <w:t>-239,409,121.34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396,620,903.35</w:t>
            </w:r>
          </w:p>
        </w:tc>
      </w:tr>
      <w:tr>
        <w:trPr>
          <w:trHeight w:val="340"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6"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487,731,995.00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0" w:right="0"/>
              <w:jc w:val="center"/>
              <w:rPr>
                <w:rFonts w:ascii="宋体" w:hAnsi="宋体" w:cs="宋体" w:eastAsia="宋体" w:hint="default"/>
                <w:sz w:val="18"/>
                <w:szCs w:val="18"/>
              </w:rPr>
            </w:pPr>
            <w:r>
              <w:rPr>
                <w:rFonts w:ascii="宋体"/>
                <w:sz w:val="18"/>
              </w:rPr>
              <w:t>119,506,224.01</w:t>
            </w: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 w:right="0"/>
              <w:jc w:val="center"/>
              <w:rPr>
                <w:rFonts w:ascii="宋体" w:hAnsi="宋体" w:cs="宋体" w:eastAsia="宋体" w:hint="default"/>
                <w:sz w:val="18"/>
                <w:szCs w:val="18"/>
              </w:rPr>
            </w:pPr>
            <w:r>
              <w:rPr>
                <w:rFonts w:ascii="宋体"/>
                <w:sz w:val="18"/>
              </w:rPr>
              <w:t>28,791,805.68</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 w:right="0"/>
              <w:jc w:val="center"/>
              <w:rPr>
                <w:rFonts w:ascii="宋体" w:hAnsi="宋体" w:cs="宋体" w:eastAsia="宋体" w:hint="default"/>
                <w:sz w:val="18"/>
                <w:szCs w:val="18"/>
              </w:rPr>
            </w:pPr>
            <w:r>
              <w:rPr>
                <w:rFonts w:ascii="宋体"/>
                <w:sz w:val="18"/>
              </w:rPr>
              <w:t>-239,409,121.34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396,620,903.35</w:t>
            </w:r>
          </w:p>
        </w:tc>
      </w:tr>
    </w:tbl>
    <w:p>
      <w:pPr>
        <w:spacing w:line="240" w:lineRule="auto" w:before="3"/>
        <w:rPr>
          <w:rFonts w:ascii="宋体" w:hAnsi="宋体" w:cs="宋体" w:eastAsia="宋体" w:hint="default"/>
          <w:sz w:val="27"/>
          <w:szCs w:val="27"/>
        </w:rPr>
      </w:pPr>
    </w:p>
    <w:p>
      <w:pPr>
        <w:spacing w:before="76"/>
        <w:ind w:left="6153" w:right="6292" w:firstLine="0"/>
        <w:jc w:val="center"/>
        <w:rPr>
          <w:rFonts w:ascii="Times New Roman" w:hAnsi="Times New Roman" w:cs="Times New Roman" w:eastAsia="Times New Roman" w:hint="default"/>
          <w:sz w:val="18"/>
          <w:szCs w:val="18"/>
        </w:rPr>
      </w:pPr>
      <w:r>
        <w:rPr/>
        <w:pict>
          <v:group style="position:absolute;margin-left:244.671005pt;margin-top:-83.437660pt;width:.1pt;height:11.7pt;mso-position-horizontal-relative:page;mso-position-vertical-relative:paragraph;z-index:-705856" coordorigin="4893,-1669" coordsize="2,234">
            <v:shape style="position:absolute;left:4893;top:-1669;width:2;height:234" coordorigin="4893,-1669" coordsize="0,234" path="m4893,-1669l4893,-1435e" filled="false" stroked="true" strokeweight="1.2pt" strokecolor="#dcdcdc">
              <v:path arrowok="t"/>
            </v:shape>
            <w10:wrap type="none"/>
          </v:group>
        </w:pict>
      </w:r>
      <w:r>
        <w:rPr/>
        <w:pict>
          <v:group style="position:absolute;margin-left:244.671005pt;margin-top:-66.457657pt;width:.1pt;height:11.7pt;mso-position-horizontal-relative:page;mso-position-vertical-relative:paragraph;z-index:-705832" coordorigin="4893,-1329" coordsize="2,234">
            <v:shape style="position:absolute;left:4893;top:-1329;width:2;height:234" coordorigin="4893,-1329" coordsize="0,234" path="m4893,-1329l4893,-1095e" filled="false" stroked="true" strokeweight="1.2pt" strokecolor="#dcdcdc">
              <v:path arrowok="t"/>
            </v:shape>
            <w10:wrap type="none"/>
          </v:group>
        </w:pict>
      </w:r>
      <w:r>
        <w:rPr/>
        <w:pict>
          <v:group style="position:absolute;margin-left:244.671005pt;margin-top:-49.477657pt;width:.1pt;height:11.7pt;mso-position-horizontal-relative:page;mso-position-vertical-relative:paragraph;z-index:-705808" coordorigin="4893,-990" coordsize="2,234">
            <v:shape style="position:absolute;left:4893;top:-990;width:2;height:234" coordorigin="4893,-990" coordsize="0,234" path="m4893,-990l4893,-756e" filled="false" stroked="true" strokeweight="1.2pt" strokecolor="#dcdcdc">
              <v:path arrowok="t"/>
            </v:shape>
            <w10:wrap type="none"/>
          </v:group>
        </w:pict>
      </w:r>
      <w:r>
        <w:rPr/>
        <w:pict>
          <v:group style="position:absolute;margin-left:244.671005pt;margin-top:-32.437656pt;width:.1pt;height:11.7pt;mso-position-horizontal-relative:page;mso-position-vertical-relative:paragraph;z-index:-705784" coordorigin="4893,-649" coordsize="2,234">
            <v:shape style="position:absolute;left:4893;top:-649;width:2;height:234" coordorigin="4893,-649" coordsize="0,234" path="m4893,-649l4893,-415e" filled="false" stroked="true" strokeweight="1.2pt" strokecolor="#dcdcdc">
              <v:path arrowok="t"/>
            </v:shape>
            <w10:wrap type="none"/>
          </v:group>
        </w:pict>
      </w:r>
      <w:r>
        <w:rPr>
          <w:rFonts w:ascii="Times New Roman"/>
          <w:sz w:val="18"/>
        </w:rPr>
        <w:t>44</w:t>
      </w:r>
    </w:p>
    <w:p>
      <w:pPr>
        <w:spacing w:after="0"/>
        <w:jc w:val="center"/>
        <w:rPr>
          <w:rFonts w:ascii="Times New Roman" w:hAnsi="Times New Roman" w:cs="Times New Roman" w:eastAsia="Times New Roman" w:hint="default"/>
          <w:sz w:val="18"/>
          <w:szCs w:val="18"/>
        </w:rPr>
        <w:sectPr>
          <w:pgSz w:w="16840" w:h="11910" w:orient="landscape"/>
          <w:pgMar w:top="760" w:bottom="280" w:left="920" w:right="780"/>
        </w:sectPr>
      </w:pPr>
    </w:p>
    <w:p>
      <w:pPr>
        <w:spacing w:line="240" w:lineRule="auto" w:before="5"/>
        <w:rPr>
          <w:rFonts w:ascii="Times New Roman" w:hAnsi="Times New Roman" w:cs="Times New Roman" w:eastAsia="Times New Roman" w:hint="default"/>
          <w:sz w:val="27"/>
          <w:szCs w:val="27"/>
        </w:rPr>
      </w:pPr>
    </w:p>
    <w:p>
      <w:pPr>
        <w:pStyle w:val="Heading4"/>
        <w:tabs>
          <w:tab w:pos="7039" w:val="left" w:leader="none"/>
        </w:tabs>
        <w:spacing w:line="240" w:lineRule="auto"/>
        <w:ind w:left="3726" w:right="0"/>
        <w:jc w:val="left"/>
        <w:rPr>
          <w:b w:val="0"/>
          <w:bCs w:val="0"/>
        </w:rPr>
      </w:pPr>
      <w:r>
        <w:rPr/>
        <w:pict>
          <v:shape style="position:absolute;margin-left:56.691002pt;margin-top:-11.486306pt;width:94.936996pt;height:25.5pt;mso-position-horizontal-relative:page;mso-position-vertical-relative:paragraph;z-index:3832" type="#_x0000_t75" stroked="false">
            <v:imagedata r:id="rId12"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5"/>
        <w:rPr>
          <w:rFonts w:ascii="黑体" w:hAnsi="黑体" w:cs="黑体" w:eastAsia="黑体" w:hint="default"/>
          <w:b/>
          <w:bCs/>
          <w:sz w:val="4"/>
          <w:szCs w:val="4"/>
        </w:rPr>
      </w:pPr>
    </w:p>
    <w:tbl>
      <w:tblPr>
        <w:tblW w:w="0" w:type="auto"/>
        <w:jc w:val="left"/>
        <w:tblInd w:w="115" w:type="dxa"/>
        <w:tblLayout w:type="fixed"/>
        <w:tblCellMar>
          <w:top w:w="0" w:type="dxa"/>
          <w:left w:w="0" w:type="dxa"/>
          <w:bottom w:w="0" w:type="dxa"/>
          <w:right w:w="0" w:type="dxa"/>
        </w:tblCellMar>
        <w:tblLook w:val="01E0"/>
      </w:tblPr>
      <w:tblGrid>
        <w:gridCol w:w="3858"/>
        <w:gridCol w:w="1378"/>
        <w:gridCol w:w="1374"/>
        <w:gridCol w:w="1156"/>
        <w:gridCol w:w="840"/>
        <w:gridCol w:w="1260"/>
        <w:gridCol w:w="1154"/>
        <w:gridCol w:w="1470"/>
        <w:gridCol w:w="1780"/>
      </w:tblGrid>
      <w:tr>
        <w:trPr>
          <w:trHeight w:val="347" w:hRule="exact"/>
        </w:trPr>
        <w:tc>
          <w:tcPr>
            <w:tcW w:w="3858" w:type="dxa"/>
            <w:tcBorders>
              <w:top w:val="single" w:sz="6"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left="11"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378" w:type="dxa"/>
            <w:tcBorders>
              <w:top w:val="single" w:sz="6" w:space="0" w:color="000000"/>
              <w:left w:val="single" w:sz="10" w:space="0" w:color="DCDCDC"/>
              <w:bottom w:val="single" w:sz="4" w:space="0" w:color="000000"/>
              <w:right w:val="single" w:sz="4" w:space="0" w:color="000000"/>
            </w:tcBorders>
          </w:tcPr>
          <w:p>
            <w:pPr/>
          </w:p>
        </w:tc>
        <w:tc>
          <w:tcPr>
            <w:tcW w:w="1374" w:type="dxa"/>
            <w:tcBorders>
              <w:top w:val="single" w:sz="6" w:space="0" w:color="000000"/>
              <w:left w:val="single" w:sz="4" w:space="0" w:color="000000"/>
              <w:bottom w:val="single" w:sz="4" w:space="0" w:color="000000"/>
              <w:right w:val="single" w:sz="4" w:space="0" w:color="000000"/>
            </w:tcBorders>
          </w:tcPr>
          <w:p>
            <w:pPr/>
          </w:p>
        </w:tc>
        <w:tc>
          <w:tcPr>
            <w:tcW w:w="1156" w:type="dxa"/>
            <w:tcBorders>
              <w:top w:val="single" w:sz="6" w:space="0" w:color="000000"/>
              <w:left w:val="single" w:sz="4" w:space="0" w:color="000000"/>
              <w:bottom w:val="single" w:sz="4" w:space="0" w:color="000000"/>
              <w:right w:val="single" w:sz="4" w:space="0" w:color="000000"/>
            </w:tcBorders>
          </w:tcPr>
          <w:p>
            <w:pPr/>
          </w:p>
        </w:tc>
        <w:tc>
          <w:tcPr>
            <w:tcW w:w="840" w:type="dxa"/>
            <w:tcBorders>
              <w:top w:val="single" w:sz="6" w:space="0" w:color="000000"/>
              <w:left w:val="single" w:sz="4" w:space="0" w:color="000000"/>
              <w:bottom w:val="single" w:sz="4" w:space="0" w:color="000000"/>
              <w:right w:val="single" w:sz="4" w:space="0" w:color="000000"/>
            </w:tcBorders>
          </w:tcPr>
          <w:p>
            <w:pPr/>
          </w:p>
        </w:tc>
        <w:tc>
          <w:tcPr>
            <w:tcW w:w="1260" w:type="dxa"/>
            <w:tcBorders>
              <w:top w:val="single" w:sz="6" w:space="0" w:color="000000"/>
              <w:left w:val="single" w:sz="4" w:space="0" w:color="000000"/>
              <w:bottom w:val="single" w:sz="4" w:space="0" w:color="000000"/>
              <w:right w:val="single" w:sz="4" w:space="0" w:color="000000"/>
            </w:tcBorders>
          </w:tcPr>
          <w:p>
            <w:pPr/>
          </w:p>
        </w:tc>
        <w:tc>
          <w:tcPr>
            <w:tcW w:w="1154" w:type="dxa"/>
            <w:tcBorders>
              <w:top w:val="single" w:sz="6" w:space="0" w:color="000000"/>
              <w:left w:val="single" w:sz="4" w:space="0" w:color="000000"/>
              <w:bottom w:val="single" w:sz="4" w:space="0" w:color="000000"/>
              <w:right w:val="single" w:sz="4" w:space="0" w:color="000000"/>
            </w:tcBorders>
          </w:tcPr>
          <w:p>
            <w:pPr/>
          </w:p>
        </w:tc>
        <w:tc>
          <w:tcPr>
            <w:tcW w:w="147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2"/>
              <w:ind w:right="27"/>
              <w:jc w:val="right"/>
              <w:rPr>
                <w:rFonts w:ascii="宋体" w:hAnsi="宋体" w:cs="宋体" w:eastAsia="宋体" w:hint="default"/>
                <w:sz w:val="18"/>
                <w:szCs w:val="18"/>
              </w:rPr>
            </w:pPr>
            <w:r>
              <w:rPr>
                <w:rFonts w:ascii="宋体"/>
                <w:sz w:val="18"/>
              </w:rPr>
              <w:t>-13,058,730.99</w:t>
            </w:r>
          </w:p>
        </w:tc>
        <w:tc>
          <w:tcPr>
            <w:tcW w:w="17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2"/>
              <w:ind w:right="21"/>
              <w:jc w:val="right"/>
              <w:rPr>
                <w:rFonts w:ascii="宋体" w:hAnsi="宋体" w:cs="宋体" w:eastAsia="宋体" w:hint="default"/>
                <w:sz w:val="18"/>
                <w:szCs w:val="18"/>
              </w:rPr>
            </w:pPr>
            <w:r>
              <w:rPr>
                <w:rFonts w:ascii="宋体"/>
                <w:sz w:val="18"/>
              </w:rPr>
              <w:t>-13,058,730.99</w:t>
            </w:r>
          </w:p>
        </w:tc>
      </w:tr>
      <w:tr>
        <w:trPr>
          <w:trHeight w:val="340"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7"/>
              <w:jc w:val="right"/>
              <w:rPr>
                <w:rFonts w:ascii="宋体" w:hAnsi="宋体" w:cs="宋体" w:eastAsia="宋体" w:hint="default"/>
                <w:sz w:val="18"/>
                <w:szCs w:val="18"/>
              </w:rPr>
            </w:pPr>
            <w:r>
              <w:rPr>
                <w:rFonts w:ascii="宋体"/>
                <w:sz w:val="18"/>
              </w:rPr>
              <w:t>-13,058,730.99</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-13,058,730.99</w:t>
            </w:r>
          </w:p>
        </w:tc>
      </w:tr>
      <w:tr>
        <w:trPr>
          <w:trHeight w:val="341"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7"/>
              <w:jc w:val="right"/>
              <w:rPr>
                <w:rFonts w:ascii="宋体" w:hAnsi="宋体" w:cs="宋体" w:eastAsia="宋体" w:hint="default"/>
                <w:sz w:val="18"/>
                <w:szCs w:val="18"/>
              </w:rPr>
            </w:pPr>
            <w:r>
              <w:rPr>
                <w:rFonts w:ascii="宋体"/>
                <w:sz w:val="18"/>
              </w:rPr>
              <w:t>-13,058,730.99</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-13,058,730.99</w:t>
            </w:r>
          </w:p>
        </w:tc>
      </w:tr>
      <w:tr>
        <w:trPr>
          <w:trHeight w:val="340"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378" w:type="dxa"/>
            <w:tcBorders>
              <w:top w:val="single" w:sz="4" w:space="0" w:color="000000"/>
              <w:left w:val="single" w:sz="10" w:space="0" w:color="DCDCDC"/>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78" w:type="dxa"/>
            <w:tcBorders>
              <w:top w:val="single" w:sz="4" w:space="0" w:color="000000"/>
              <w:left w:val="single" w:sz="22" w:space="0" w:color="DCDCDC"/>
              <w:bottom w:val="single" w:sz="48" w:space="0" w:color="DCDCDC"/>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487,731,995.00</w:t>
            </w:r>
          </w:p>
        </w:tc>
        <w:tc>
          <w:tcPr>
            <w:tcW w:w="1374" w:type="dxa"/>
            <w:tcBorders>
              <w:top w:val="single" w:sz="4" w:space="0" w:color="000000"/>
              <w:left w:val="single" w:sz="4" w:space="0" w:color="000000"/>
              <w:bottom w:val="single" w:sz="48" w:space="0" w:color="DCDCDC"/>
              <w:right w:val="single" w:sz="4" w:space="0" w:color="000000"/>
            </w:tcBorders>
          </w:tcPr>
          <w:p>
            <w:pPr>
              <w:pStyle w:val="TableParagraph"/>
              <w:spacing w:line="240" w:lineRule="auto" w:before="17"/>
              <w:ind w:left="44" w:right="0"/>
              <w:jc w:val="center"/>
              <w:rPr>
                <w:rFonts w:ascii="宋体" w:hAnsi="宋体" w:cs="宋体" w:eastAsia="宋体" w:hint="default"/>
                <w:sz w:val="18"/>
                <w:szCs w:val="18"/>
              </w:rPr>
            </w:pPr>
            <w:r>
              <w:rPr>
                <w:rFonts w:ascii="宋体"/>
                <w:sz w:val="18"/>
              </w:rPr>
              <w:t>119,506,224.01</w:t>
            </w:r>
          </w:p>
        </w:tc>
        <w:tc>
          <w:tcPr>
            <w:tcW w:w="1156" w:type="dxa"/>
            <w:tcBorders>
              <w:top w:val="single" w:sz="4" w:space="0" w:color="000000"/>
              <w:left w:val="single" w:sz="4" w:space="0" w:color="000000"/>
              <w:bottom w:val="single" w:sz="48" w:space="0" w:color="DCDCDC"/>
              <w:right w:val="single" w:sz="4" w:space="0" w:color="000000"/>
            </w:tcBorders>
          </w:tcPr>
          <w:p>
            <w:pPr/>
          </w:p>
        </w:tc>
        <w:tc>
          <w:tcPr>
            <w:tcW w:w="840" w:type="dxa"/>
            <w:tcBorders>
              <w:top w:val="single" w:sz="4" w:space="0" w:color="000000"/>
              <w:left w:val="single" w:sz="4" w:space="0" w:color="000000"/>
              <w:bottom w:val="single" w:sz="48" w:space="0" w:color="DCDCDC"/>
              <w:right w:val="single" w:sz="4" w:space="0" w:color="000000"/>
            </w:tcBorders>
          </w:tcPr>
          <w:p>
            <w:pPr/>
          </w:p>
        </w:tc>
        <w:tc>
          <w:tcPr>
            <w:tcW w:w="1260" w:type="dxa"/>
            <w:tcBorders>
              <w:top w:val="single" w:sz="4" w:space="0" w:color="000000"/>
              <w:left w:val="single" w:sz="4" w:space="0" w:color="000000"/>
              <w:bottom w:val="single" w:sz="48" w:space="0" w:color="DCDCDC"/>
              <w:right w:val="single" w:sz="4" w:space="0" w:color="000000"/>
            </w:tcBorders>
          </w:tcPr>
          <w:p>
            <w:pPr>
              <w:pStyle w:val="TableParagraph"/>
              <w:spacing w:line="240" w:lineRule="auto" w:before="17"/>
              <w:ind w:left="20" w:right="0"/>
              <w:jc w:val="center"/>
              <w:rPr>
                <w:rFonts w:ascii="宋体" w:hAnsi="宋体" w:cs="宋体" w:eastAsia="宋体" w:hint="default"/>
                <w:sz w:val="18"/>
                <w:szCs w:val="18"/>
              </w:rPr>
            </w:pPr>
            <w:r>
              <w:rPr>
                <w:rFonts w:ascii="宋体"/>
                <w:sz w:val="18"/>
              </w:rPr>
              <w:t>28,791,805.68</w:t>
            </w:r>
          </w:p>
        </w:tc>
        <w:tc>
          <w:tcPr>
            <w:tcW w:w="1154" w:type="dxa"/>
            <w:tcBorders>
              <w:top w:val="single" w:sz="4" w:space="0" w:color="000000"/>
              <w:left w:val="single" w:sz="4" w:space="0" w:color="000000"/>
              <w:bottom w:val="single" w:sz="48" w:space="0" w:color="DCDCDC"/>
              <w:right w:val="single" w:sz="4" w:space="0" w:color="000000"/>
            </w:tcBorders>
          </w:tcPr>
          <w:p>
            <w:pPr/>
          </w:p>
        </w:tc>
        <w:tc>
          <w:tcPr>
            <w:tcW w:w="1470" w:type="dxa"/>
            <w:tcBorders>
              <w:top w:val="single" w:sz="4" w:space="0" w:color="000000"/>
              <w:left w:val="single" w:sz="4" w:space="0" w:color="000000"/>
              <w:bottom w:val="single" w:sz="48" w:space="0" w:color="DCDCDC"/>
              <w:right w:val="single" w:sz="4" w:space="0" w:color="000000"/>
            </w:tcBorders>
          </w:tcPr>
          <w:p>
            <w:pPr>
              <w:pStyle w:val="TableParagraph"/>
              <w:spacing w:line="240" w:lineRule="auto" w:before="17"/>
              <w:ind w:right="27"/>
              <w:jc w:val="right"/>
              <w:rPr>
                <w:rFonts w:ascii="宋体" w:hAnsi="宋体" w:cs="宋体" w:eastAsia="宋体" w:hint="default"/>
                <w:sz w:val="18"/>
                <w:szCs w:val="18"/>
              </w:rPr>
            </w:pPr>
            <w:r>
              <w:rPr>
                <w:rFonts w:ascii="宋体"/>
                <w:sz w:val="18"/>
              </w:rPr>
              <w:t>-252,467,852.33</w:t>
            </w:r>
          </w:p>
        </w:tc>
        <w:tc>
          <w:tcPr>
            <w:tcW w:w="1780" w:type="dxa"/>
            <w:tcBorders>
              <w:top w:val="single" w:sz="4" w:space="0" w:color="000000"/>
              <w:left w:val="single" w:sz="4" w:space="0" w:color="000000"/>
              <w:bottom w:val="single" w:sz="48" w:space="0" w:color="DCDCDC"/>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383,562,172.36</w:t>
            </w:r>
          </w:p>
        </w:tc>
      </w:tr>
      <w:tr>
        <w:trPr>
          <w:trHeight w:val="416" w:hRule="exact"/>
        </w:trPr>
        <w:tc>
          <w:tcPr>
            <w:tcW w:w="385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240" w:lineRule="auto" w:before="4"/>
              <w:ind w:right="0"/>
              <w:jc w:val="left"/>
              <w:rPr>
                <w:rFonts w:ascii="黑体" w:hAnsi="黑体" w:cs="黑体" w:eastAsia="黑体" w:hint="default"/>
                <w:b/>
                <w:bCs/>
                <w:sz w:val="19"/>
                <w:szCs w:val="19"/>
              </w:rPr>
            </w:pPr>
          </w:p>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411"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10" w:hRule="exact"/>
        </w:trPr>
        <w:tc>
          <w:tcPr>
            <w:tcW w:w="3858" w:type="dxa"/>
            <w:tcBorders>
              <w:top w:val="nil" w:sz="6" w:space="0" w:color="auto"/>
              <w:left w:val="single" w:sz="4" w:space="0" w:color="000000"/>
              <w:bottom w:val="single" w:sz="4" w:space="0" w:color="000000"/>
              <w:right w:val="single" w:sz="4" w:space="0" w:color="000000"/>
            </w:tcBorders>
            <w:shd w:val="clear" w:color="auto" w:fill="DCDCDC"/>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left="329"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0" w:lineRule="exact"/>
              <w:ind w:left="239"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3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right="6"/>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1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11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48"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right="12"/>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15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2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27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2"/>
              <w:ind w:left="25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94" w:hRule="exact"/>
        </w:trPr>
        <w:tc>
          <w:tcPr>
            <w:tcW w:w="38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7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71"/>
              <w:ind w:right="20"/>
              <w:jc w:val="right"/>
              <w:rPr>
                <w:rFonts w:ascii="宋体" w:hAnsi="宋体" w:cs="宋体" w:eastAsia="宋体" w:hint="default"/>
                <w:sz w:val="18"/>
                <w:szCs w:val="18"/>
              </w:rPr>
            </w:pPr>
            <w:r>
              <w:rPr>
                <w:rFonts w:ascii="宋体"/>
                <w:sz w:val="18"/>
              </w:rPr>
              <w:t>487,731,995.00</w:t>
            </w:r>
          </w:p>
        </w:tc>
        <w:tc>
          <w:tcPr>
            <w:tcW w:w="1374" w:type="dxa"/>
            <w:tcBorders>
              <w:top w:val="single" w:sz="43" w:space="0" w:color="DCDCDC"/>
              <w:left w:val="single" w:sz="4" w:space="0" w:color="000000"/>
              <w:bottom w:val="single" w:sz="4" w:space="0" w:color="000000"/>
              <w:right w:val="single" w:sz="4" w:space="0" w:color="000000"/>
            </w:tcBorders>
          </w:tcPr>
          <w:p>
            <w:pPr>
              <w:pStyle w:val="TableParagraph"/>
              <w:spacing w:line="240" w:lineRule="auto" w:before="22"/>
              <w:ind w:left="44" w:right="0"/>
              <w:jc w:val="center"/>
              <w:rPr>
                <w:rFonts w:ascii="宋体" w:hAnsi="宋体" w:cs="宋体" w:eastAsia="宋体" w:hint="default"/>
                <w:sz w:val="18"/>
                <w:szCs w:val="18"/>
              </w:rPr>
            </w:pPr>
            <w:r>
              <w:rPr>
                <w:rFonts w:ascii="宋体"/>
                <w:sz w:val="18"/>
              </w:rPr>
              <w:t>119,506,224.01</w:t>
            </w:r>
          </w:p>
        </w:tc>
        <w:tc>
          <w:tcPr>
            <w:tcW w:w="1156" w:type="dxa"/>
            <w:tcBorders>
              <w:top w:val="single" w:sz="43" w:space="0" w:color="DCDCDC"/>
              <w:left w:val="single" w:sz="4" w:space="0" w:color="000000"/>
              <w:bottom w:val="single" w:sz="4" w:space="0" w:color="000000"/>
              <w:right w:val="single" w:sz="4" w:space="0" w:color="000000"/>
            </w:tcBorders>
          </w:tcPr>
          <w:p>
            <w:pPr/>
          </w:p>
        </w:tc>
        <w:tc>
          <w:tcPr>
            <w:tcW w:w="840" w:type="dxa"/>
            <w:tcBorders>
              <w:top w:val="single" w:sz="43" w:space="0" w:color="DCDCDC"/>
              <w:left w:val="single" w:sz="4" w:space="0" w:color="000000"/>
              <w:bottom w:val="single" w:sz="4" w:space="0" w:color="000000"/>
              <w:right w:val="single" w:sz="4" w:space="0" w:color="000000"/>
            </w:tcBorders>
          </w:tcPr>
          <w:p>
            <w:pPr/>
          </w:p>
        </w:tc>
        <w:tc>
          <w:tcPr>
            <w:tcW w:w="1260"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7"/>
              <w:ind w:left="20" w:right="0"/>
              <w:jc w:val="center"/>
              <w:rPr>
                <w:rFonts w:ascii="宋体" w:hAnsi="宋体" w:cs="宋体" w:eastAsia="宋体" w:hint="default"/>
                <w:sz w:val="18"/>
                <w:szCs w:val="18"/>
              </w:rPr>
            </w:pPr>
            <w:r>
              <w:rPr>
                <w:rFonts w:ascii="宋体"/>
                <w:sz w:val="18"/>
              </w:rPr>
              <w:t>28,791,805.68</w:t>
            </w:r>
          </w:p>
        </w:tc>
        <w:tc>
          <w:tcPr>
            <w:tcW w:w="1154" w:type="dxa"/>
            <w:tcBorders>
              <w:top w:val="single" w:sz="47" w:space="0" w:color="DCDCDC"/>
              <w:left w:val="single" w:sz="4" w:space="0" w:color="000000"/>
              <w:bottom w:val="single" w:sz="4" w:space="0" w:color="000000"/>
              <w:right w:val="single" w:sz="4" w:space="0" w:color="000000"/>
            </w:tcBorders>
          </w:tcPr>
          <w:p>
            <w:pPr/>
          </w:p>
        </w:tc>
        <w:tc>
          <w:tcPr>
            <w:tcW w:w="1470"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7"/>
              <w:ind w:right="27"/>
              <w:jc w:val="right"/>
              <w:rPr>
                <w:rFonts w:ascii="宋体" w:hAnsi="宋体" w:cs="宋体" w:eastAsia="宋体" w:hint="default"/>
                <w:sz w:val="18"/>
                <w:szCs w:val="18"/>
              </w:rPr>
            </w:pPr>
            <w:r>
              <w:rPr>
                <w:rFonts w:ascii="宋体"/>
                <w:sz w:val="18"/>
              </w:rPr>
              <w:t>-201,487,329.58</w:t>
            </w:r>
          </w:p>
        </w:tc>
        <w:tc>
          <w:tcPr>
            <w:tcW w:w="1780"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434,542,695.11</w:t>
            </w:r>
          </w:p>
        </w:tc>
      </w:tr>
    </w:tbl>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6"/>
          <w:szCs w:val="16"/>
        </w:rPr>
      </w:pPr>
    </w:p>
    <w:p>
      <w:pPr>
        <w:spacing w:before="0"/>
        <w:ind w:left="7389" w:right="6891" w:firstLine="0"/>
        <w:jc w:val="center"/>
        <w:rPr>
          <w:rFonts w:ascii="Times New Roman" w:hAnsi="Times New Roman" w:cs="Times New Roman" w:eastAsia="Times New Roman" w:hint="default"/>
          <w:sz w:val="18"/>
          <w:szCs w:val="18"/>
        </w:rPr>
      </w:pPr>
      <w:r>
        <w:rPr>
          <w:rFonts w:ascii="Times New Roman"/>
          <w:sz w:val="18"/>
        </w:rPr>
        <w:t>45</w:t>
      </w:r>
    </w:p>
    <w:p>
      <w:pPr>
        <w:spacing w:after="0"/>
        <w:jc w:val="center"/>
        <w:rPr>
          <w:rFonts w:ascii="Times New Roman" w:hAnsi="Times New Roman" w:cs="Times New Roman" w:eastAsia="Times New Roman" w:hint="default"/>
          <w:sz w:val="18"/>
          <w:szCs w:val="18"/>
        </w:rPr>
        <w:sectPr>
          <w:pgSz w:w="16840" w:h="11910" w:orient="landscape"/>
          <w:pgMar w:top="760" w:bottom="280" w:left="920" w:right="1420"/>
        </w:sectPr>
      </w:pPr>
    </w:p>
    <w:p>
      <w:pPr>
        <w:spacing w:line="240" w:lineRule="auto" w:before="5"/>
        <w:rPr>
          <w:rFonts w:ascii="Times New Roman" w:hAnsi="Times New Roman" w:cs="Times New Roman" w:eastAsia="Times New Roman" w:hint="default"/>
          <w:sz w:val="27"/>
          <w:szCs w:val="27"/>
        </w:rPr>
      </w:pPr>
    </w:p>
    <w:p>
      <w:pPr>
        <w:pStyle w:val="Heading4"/>
        <w:tabs>
          <w:tab w:pos="7039" w:val="left" w:leader="none"/>
        </w:tabs>
        <w:spacing w:line="240" w:lineRule="auto"/>
        <w:ind w:left="3726" w:right="0"/>
        <w:jc w:val="left"/>
        <w:rPr>
          <w:b w:val="0"/>
          <w:bCs w:val="0"/>
        </w:rPr>
      </w:pPr>
      <w:r>
        <w:rPr/>
        <w:pict>
          <v:shape style="position:absolute;margin-left:56.691002pt;margin-top:-11.486306pt;width:94.936996pt;height:25.5pt;mso-position-horizontal-relative:page;mso-position-vertical-relative:paragraph;z-index:3856" type="#_x0000_t75" stroked="false">
            <v:imagedata r:id="rId12" o:title=""/>
          </v:shape>
        </w:pict>
      </w:r>
      <w:r>
        <w:rPr/>
        <w:t>2009</w:t>
      </w:r>
      <w:r>
        <w:rPr>
          <w:spacing w:val="-63"/>
        </w:rPr>
        <w:t> </w:t>
      </w:r>
      <w:r>
        <w:rPr/>
        <w:t>年年度报告正文</w:t>
        <w:tab/>
        <w:t>证券代码</w:t>
      </w:r>
      <w:r>
        <w:rPr>
          <w:spacing w:val="-63"/>
        </w:rPr>
        <w:t> </w:t>
      </w:r>
      <w:r>
        <w:rPr/>
        <w:t>000607</w:t>
      </w:r>
      <w:r>
        <w:rPr>
          <w:b w:val="0"/>
          <w:bCs w:val="0"/>
        </w:rPr>
      </w:r>
    </w:p>
    <w:p>
      <w:pPr>
        <w:spacing w:line="240" w:lineRule="auto" w:before="5"/>
        <w:rPr>
          <w:rFonts w:ascii="黑体" w:hAnsi="黑体" w:cs="黑体" w:eastAsia="黑体" w:hint="default"/>
          <w:b/>
          <w:bCs/>
          <w:sz w:val="4"/>
          <w:szCs w:val="4"/>
        </w:rPr>
      </w:pPr>
    </w:p>
    <w:tbl>
      <w:tblPr>
        <w:tblW w:w="0" w:type="auto"/>
        <w:jc w:val="left"/>
        <w:tblInd w:w="103" w:type="dxa"/>
        <w:tblLayout w:type="fixed"/>
        <w:tblCellMar>
          <w:top w:w="0" w:type="dxa"/>
          <w:left w:w="0" w:type="dxa"/>
          <w:bottom w:w="0" w:type="dxa"/>
          <w:right w:w="0" w:type="dxa"/>
        </w:tblCellMar>
        <w:tblLook w:val="01E0"/>
      </w:tblPr>
      <w:tblGrid>
        <w:gridCol w:w="3882"/>
        <w:gridCol w:w="1366"/>
        <w:gridCol w:w="1368"/>
        <w:gridCol w:w="1156"/>
        <w:gridCol w:w="840"/>
        <w:gridCol w:w="1260"/>
        <w:gridCol w:w="1154"/>
        <w:gridCol w:w="1470"/>
        <w:gridCol w:w="1786"/>
      </w:tblGrid>
      <w:tr>
        <w:trPr>
          <w:trHeight w:val="347" w:hRule="exact"/>
        </w:trPr>
        <w:tc>
          <w:tcPr>
            <w:tcW w:w="3882" w:type="dxa"/>
            <w:tcBorders>
              <w:top w:val="single" w:sz="6" w:space="0" w:color="000000"/>
              <w:left w:val="single" w:sz="4" w:space="0" w:color="000000"/>
              <w:bottom w:val="single" w:sz="4" w:space="0" w:color="FFFFFF"/>
              <w:right w:val="single" w:sz="4" w:space="0" w:color="000000"/>
            </w:tcBorders>
            <w:shd w:val="clear" w:color="auto" w:fill="DCDCDC"/>
          </w:tcPr>
          <w:p>
            <w:pPr>
              <w:pStyle w:val="TableParagraph"/>
              <w:spacing w:line="240" w:lineRule="auto" w:before="22"/>
              <w:ind w:left="2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66" w:type="dxa"/>
            <w:tcBorders>
              <w:top w:val="single" w:sz="6" w:space="0" w:color="000000"/>
              <w:left w:val="single" w:sz="4" w:space="0" w:color="000000"/>
              <w:bottom w:val="single" w:sz="4" w:space="0" w:color="FFFFFF"/>
              <w:right w:val="single" w:sz="4" w:space="0" w:color="000000"/>
            </w:tcBorders>
          </w:tcPr>
          <w:p>
            <w:pPr/>
          </w:p>
        </w:tc>
        <w:tc>
          <w:tcPr>
            <w:tcW w:w="1368" w:type="dxa"/>
            <w:tcBorders>
              <w:top w:val="single" w:sz="6" w:space="0" w:color="000000"/>
              <w:left w:val="single" w:sz="4" w:space="0" w:color="000000"/>
              <w:bottom w:val="single" w:sz="4" w:space="0" w:color="FFFFFF"/>
              <w:right w:val="single" w:sz="4" w:space="0" w:color="000000"/>
            </w:tcBorders>
          </w:tcPr>
          <w:p>
            <w:pPr/>
          </w:p>
        </w:tc>
        <w:tc>
          <w:tcPr>
            <w:tcW w:w="1156" w:type="dxa"/>
            <w:tcBorders>
              <w:top w:val="single" w:sz="6" w:space="0" w:color="000000"/>
              <w:left w:val="single" w:sz="4" w:space="0" w:color="000000"/>
              <w:bottom w:val="single" w:sz="4" w:space="0" w:color="FFFFFF"/>
              <w:right w:val="single" w:sz="4" w:space="0" w:color="000000"/>
            </w:tcBorders>
          </w:tcPr>
          <w:p>
            <w:pPr/>
          </w:p>
        </w:tc>
        <w:tc>
          <w:tcPr>
            <w:tcW w:w="840" w:type="dxa"/>
            <w:tcBorders>
              <w:top w:val="single" w:sz="6" w:space="0" w:color="000000"/>
              <w:left w:val="single" w:sz="4" w:space="0" w:color="000000"/>
              <w:bottom w:val="single" w:sz="4" w:space="0" w:color="FFFFFF"/>
              <w:right w:val="single" w:sz="4" w:space="0" w:color="000000"/>
            </w:tcBorders>
          </w:tcPr>
          <w:p>
            <w:pPr/>
          </w:p>
        </w:tc>
        <w:tc>
          <w:tcPr>
            <w:tcW w:w="1260" w:type="dxa"/>
            <w:tcBorders>
              <w:top w:val="single" w:sz="6" w:space="0" w:color="000000"/>
              <w:left w:val="single" w:sz="4" w:space="0" w:color="000000"/>
              <w:bottom w:val="single" w:sz="4" w:space="0" w:color="FFFFFF"/>
              <w:right w:val="single" w:sz="4" w:space="0" w:color="000000"/>
            </w:tcBorders>
          </w:tcPr>
          <w:p>
            <w:pPr/>
          </w:p>
        </w:tc>
        <w:tc>
          <w:tcPr>
            <w:tcW w:w="1154" w:type="dxa"/>
            <w:tcBorders>
              <w:top w:val="single" w:sz="6" w:space="0" w:color="000000"/>
              <w:left w:val="single" w:sz="4" w:space="0" w:color="000000"/>
              <w:bottom w:val="single" w:sz="4" w:space="0" w:color="FFFFFF"/>
              <w:right w:val="single" w:sz="4" w:space="0" w:color="000000"/>
            </w:tcBorders>
          </w:tcPr>
          <w:p>
            <w:pPr/>
          </w:p>
        </w:tc>
        <w:tc>
          <w:tcPr>
            <w:tcW w:w="1470" w:type="dxa"/>
            <w:tcBorders>
              <w:top w:val="single" w:sz="6" w:space="0" w:color="000000"/>
              <w:left w:val="single" w:sz="4" w:space="0" w:color="000000"/>
              <w:bottom w:val="single" w:sz="4" w:space="0" w:color="FFFFFF"/>
              <w:right w:val="single" w:sz="4" w:space="0" w:color="000000"/>
            </w:tcBorders>
          </w:tcPr>
          <w:p>
            <w:pPr/>
          </w:p>
        </w:tc>
        <w:tc>
          <w:tcPr>
            <w:tcW w:w="1786" w:type="dxa"/>
            <w:tcBorders>
              <w:top w:val="single" w:sz="6" w:space="0" w:color="000000"/>
              <w:left w:val="single" w:sz="4" w:space="0" w:color="000000"/>
              <w:bottom w:val="single" w:sz="4" w:space="0" w:color="FFFFFF"/>
              <w:right w:val="single" w:sz="4" w:space="0" w:color="000000"/>
            </w:tcBorders>
          </w:tcPr>
          <w:p>
            <w:pP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2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1"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2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6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487,731,995.00</w:t>
            </w:r>
          </w:p>
        </w:tc>
        <w:tc>
          <w:tcPr>
            <w:tcW w:w="136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7"/>
              <w:ind w:left="50" w:right="0"/>
              <w:jc w:val="center"/>
              <w:rPr>
                <w:rFonts w:ascii="宋体" w:hAnsi="宋体" w:cs="宋体" w:eastAsia="宋体" w:hint="default"/>
                <w:sz w:val="18"/>
                <w:szCs w:val="18"/>
              </w:rPr>
            </w:pPr>
            <w:r>
              <w:rPr>
                <w:rFonts w:ascii="宋体"/>
                <w:sz w:val="18"/>
              </w:rPr>
              <w:t>119,506,224.01</w:t>
            </w: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28,791,805.68</w:t>
            </w: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-201,487,329.58</w:t>
            </w:r>
          </w:p>
        </w:tc>
        <w:tc>
          <w:tcPr>
            <w:tcW w:w="178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434,542,695.11</w:t>
            </w: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三、本年增减变动金额（减少以“-”号填列）</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-37,921,791.76</w:t>
            </w:r>
          </w:p>
        </w:tc>
        <w:tc>
          <w:tcPr>
            <w:tcW w:w="178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-37,921,791.76</w:t>
            </w:r>
          </w:p>
        </w:tc>
      </w:tr>
      <w:tr>
        <w:trPr>
          <w:trHeight w:val="341"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2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-37,921,791.76</w:t>
            </w:r>
          </w:p>
        </w:tc>
        <w:tc>
          <w:tcPr>
            <w:tcW w:w="178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-37,921,791.76</w:t>
            </w: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2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2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-37,921,791.76</w:t>
            </w:r>
          </w:p>
        </w:tc>
        <w:tc>
          <w:tcPr>
            <w:tcW w:w="1786"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-37,921,791.76</w:t>
            </w:r>
          </w:p>
        </w:tc>
      </w:tr>
      <w:tr>
        <w:trPr>
          <w:trHeight w:val="341"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20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1"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2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1"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3．对所有者（或股东）的分配</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1"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20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1"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2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1"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0" w:hRule="exact"/>
        </w:trPr>
        <w:tc>
          <w:tcPr>
            <w:tcW w:w="3882" w:type="dxa"/>
            <w:tcBorders>
              <w:top w:val="single" w:sz="4" w:space="0" w:color="FFFFFF"/>
              <w:left w:val="single" w:sz="4" w:space="0" w:color="000000"/>
              <w:bottom w:val="single" w:sz="4" w:space="0" w:color="FFFFFF"/>
              <w:right w:val="single" w:sz="4" w:space="0" w:color="000000"/>
            </w:tcBorders>
            <w:shd w:val="clear" w:color="auto" w:fill="DCDCDC"/>
          </w:tcPr>
          <w:p>
            <w:pPr>
              <w:pStyle w:val="TableParagraph"/>
              <w:spacing w:line="240" w:lineRule="auto" w:before="17"/>
              <w:ind w:left="38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366" w:type="dxa"/>
            <w:tcBorders>
              <w:top w:val="single" w:sz="4" w:space="0" w:color="FFFFFF"/>
              <w:left w:val="single" w:sz="4" w:space="0" w:color="000000"/>
              <w:bottom w:val="single" w:sz="4" w:space="0" w:color="FFFFFF"/>
              <w:right w:val="single" w:sz="4" w:space="0" w:color="000000"/>
            </w:tcBorders>
          </w:tcPr>
          <w:p>
            <w:pPr/>
          </w:p>
        </w:tc>
        <w:tc>
          <w:tcPr>
            <w:tcW w:w="1368" w:type="dxa"/>
            <w:tcBorders>
              <w:top w:val="single" w:sz="4" w:space="0" w:color="FFFFFF"/>
              <w:left w:val="single" w:sz="4" w:space="0" w:color="000000"/>
              <w:bottom w:val="single" w:sz="4" w:space="0" w:color="FFFFFF"/>
              <w:right w:val="single" w:sz="4" w:space="0" w:color="000000"/>
            </w:tcBorders>
          </w:tcPr>
          <w:p>
            <w:pPr/>
          </w:p>
        </w:tc>
        <w:tc>
          <w:tcPr>
            <w:tcW w:w="1156" w:type="dxa"/>
            <w:tcBorders>
              <w:top w:val="single" w:sz="4" w:space="0" w:color="FFFFFF"/>
              <w:left w:val="single" w:sz="4" w:space="0" w:color="000000"/>
              <w:bottom w:val="single" w:sz="4" w:space="0" w:color="FFFFFF"/>
              <w:right w:val="single" w:sz="4" w:space="0" w:color="000000"/>
            </w:tcBorders>
          </w:tcPr>
          <w:p>
            <w:pPr/>
          </w:p>
        </w:tc>
        <w:tc>
          <w:tcPr>
            <w:tcW w:w="840" w:type="dxa"/>
            <w:tcBorders>
              <w:top w:val="single" w:sz="4" w:space="0" w:color="FFFFFF"/>
              <w:left w:val="single" w:sz="4" w:space="0" w:color="000000"/>
              <w:bottom w:val="single" w:sz="4" w:space="0" w:color="FFFFFF"/>
              <w:right w:val="single" w:sz="4" w:space="0" w:color="000000"/>
            </w:tcBorders>
          </w:tcPr>
          <w:p>
            <w:pPr/>
          </w:p>
        </w:tc>
        <w:tc>
          <w:tcPr>
            <w:tcW w:w="1260" w:type="dxa"/>
            <w:tcBorders>
              <w:top w:val="single" w:sz="4" w:space="0" w:color="FFFFFF"/>
              <w:left w:val="single" w:sz="4" w:space="0" w:color="000000"/>
              <w:bottom w:val="single" w:sz="4" w:space="0" w:color="FFFFFF"/>
              <w:right w:val="single" w:sz="4" w:space="0" w:color="000000"/>
            </w:tcBorders>
          </w:tcPr>
          <w:p>
            <w:pPr/>
          </w:p>
        </w:tc>
        <w:tc>
          <w:tcPr>
            <w:tcW w:w="1154" w:type="dxa"/>
            <w:tcBorders>
              <w:top w:val="single" w:sz="4" w:space="0" w:color="FFFFFF"/>
              <w:left w:val="single" w:sz="4" w:space="0" w:color="000000"/>
              <w:bottom w:val="single" w:sz="4" w:space="0" w:color="FFFFFF"/>
              <w:right w:val="single" w:sz="4" w:space="0" w:color="000000"/>
            </w:tcBorders>
          </w:tcPr>
          <w:p>
            <w:pPr/>
          </w:p>
        </w:tc>
        <w:tc>
          <w:tcPr>
            <w:tcW w:w="1470" w:type="dxa"/>
            <w:tcBorders>
              <w:top w:val="single" w:sz="4" w:space="0" w:color="FFFFFF"/>
              <w:left w:val="single" w:sz="4" w:space="0" w:color="000000"/>
              <w:bottom w:val="single" w:sz="4" w:space="0" w:color="FFFFFF"/>
              <w:right w:val="single" w:sz="4" w:space="0" w:color="000000"/>
            </w:tcBorders>
          </w:tcPr>
          <w:p>
            <w:pPr/>
          </w:p>
        </w:tc>
        <w:tc>
          <w:tcPr>
            <w:tcW w:w="1786" w:type="dxa"/>
            <w:tcBorders>
              <w:top w:val="single" w:sz="4" w:space="0" w:color="FFFFFF"/>
              <w:left w:val="single" w:sz="4" w:space="0" w:color="000000"/>
              <w:bottom w:val="single" w:sz="4" w:space="0" w:color="FFFFFF"/>
              <w:right w:val="single" w:sz="4" w:space="0" w:color="000000"/>
            </w:tcBorders>
          </w:tcPr>
          <w:p>
            <w:pPr/>
          </w:p>
        </w:tc>
      </w:tr>
      <w:tr>
        <w:trPr>
          <w:trHeight w:val="341" w:hRule="exact"/>
        </w:trPr>
        <w:tc>
          <w:tcPr>
            <w:tcW w:w="3882" w:type="dxa"/>
            <w:tcBorders>
              <w:top w:val="single" w:sz="4" w:space="0" w:color="FFFFFF"/>
              <w:left w:val="single" w:sz="4" w:space="0" w:color="000000"/>
              <w:bottom w:val="single" w:sz="4" w:space="0" w:color="000000"/>
              <w:right w:val="single" w:sz="4" w:space="0" w:color="000000"/>
            </w:tcBorders>
            <w:shd w:val="clear" w:color="auto" w:fill="DCDCDC"/>
          </w:tcPr>
          <w:p>
            <w:pPr>
              <w:pStyle w:val="TableParagraph"/>
              <w:spacing w:line="240" w:lineRule="auto" w:before="17"/>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6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487,731,995.00</w:t>
            </w:r>
          </w:p>
        </w:tc>
        <w:tc>
          <w:tcPr>
            <w:tcW w:w="136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7"/>
              <w:ind w:left="50" w:right="0"/>
              <w:jc w:val="center"/>
              <w:rPr>
                <w:rFonts w:ascii="宋体" w:hAnsi="宋体" w:cs="宋体" w:eastAsia="宋体" w:hint="default"/>
                <w:sz w:val="18"/>
                <w:szCs w:val="18"/>
              </w:rPr>
            </w:pPr>
            <w:r>
              <w:rPr>
                <w:rFonts w:ascii="宋体"/>
                <w:sz w:val="18"/>
              </w:rPr>
              <w:t>119,506,224.01</w:t>
            </w:r>
          </w:p>
        </w:tc>
        <w:tc>
          <w:tcPr>
            <w:tcW w:w="1156" w:type="dxa"/>
            <w:tcBorders>
              <w:top w:val="single" w:sz="4" w:space="0" w:color="FFFFFF"/>
              <w:left w:val="single" w:sz="4" w:space="0" w:color="000000"/>
              <w:bottom w:val="single" w:sz="4" w:space="0" w:color="000000"/>
              <w:right w:val="single" w:sz="4" w:space="0" w:color="000000"/>
            </w:tcBorders>
          </w:tcPr>
          <w:p>
            <w:pPr/>
          </w:p>
        </w:tc>
        <w:tc>
          <w:tcPr>
            <w:tcW w:w="840" w:type="dxa"/>
            <w:tcBorders>
              <w:top w:val="single" w:sz="4" w:space="0" w:color="FFFFFF"/>
              <w:left w:val="single" w:sz="4" w:space="0" w:color="000000"/>
              <w:bottom w:val="single" w:sz="4" w:space="0" w:color="000000"/>
              <w:right w:val="single" w:sz="4" w:space="0" w:color="000000"/>
            </w:tcBorders>
          </w:tcPr>
          <w:p>
            <w:pPr/>
          </w:p>
        </w:tc>
        <w:tc>
          <w:tcPr>
            <w:tcW w:w="12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28,791,805.68</w:t>
            </w:r>
          </w:p>
        </w:tc>
        <w:tc>
          <w:tcPr>
            <w:tcW w:w="1154" w:type="dxa"/>
            <w:tcBorders>
              <w:top w:val="single" w:sz="4" w:space="0" w:color="FFFFFF"/>
              <w:left w:val="single" w:sz="4" w:space="0" w:color="000000"/>
              <w:bottom w:val="single" w:sz="4" w:space="0" w:color="000000"/>
              <w:right w:val="single" w:sz="4" w:space="0" w:color="000000"/>
            </w:tcBorders>
          </w:tcPr>
          <w:p>
            <w:pPr/>
          </w:p>
        </w:tc>
        <w:tc>
          <w:tcPr>
            <w:tcW w:w="147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-239,409,121.34</w:t>
            </w:r>
          </w:p>
        </w:tc>
        <w:tc>
          <w:tcPr>
            <w:tcW w:w="178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396,620,903.35</w:t>
            </w:r>
          </w:p>
        </w:tc>
      </w:tr>
    </w:tbl>
    <w:p>
      <w:pPr>
        <w:spacing w:line="240" w:lineRule="auto" w:before="5"/>
        <w:rPr>
          <w:rFonts w:ascii="黑体" w:hAnsi="黑体" w:cs="黑体" w:eastAsia="黑体" w:hint="default"/>
          <w:b/>
          <w:bCs/>
          <w:sz w:val="24"/>
          <w:szCs w:val="24"/>
        </w:rPr>
      </w:pPr>
    </w:p>
    <w:p>
      <w:pPr>
        <w:spacing w:before="76"/>
        <w:ind w:left="7389" w:right="6891" w:firstLine="0"/>
        <w:jc w:val="center"/>
        <w:rPr>
          <w:rFonts w:ascii="Times New Roman" w:hAnsi="Times New Roman" w:cs="Times New Roman" w:eastAsia="Times New Roman" w:hint="default"/>
          <w:sz w:val="18"/>
          <w:szCs w:val="18"/>
        </w:rPr>
      </w:pPr>
      <w:r>
        <w:rPr>
          <w:rFonts w:ascii="Times New Roman"/>
          <w:sz w:val="18"/>
        </w:rPr>
        <w:t>46</w:t>
      </w:r>
    </w:p>
    <w:p>
      <w:pPr>
        <w:spacing w:after="0"/>
        <w:jc w:val="center"/>
        <w:rPr>
          <w:rFonts w:ascii="Times New Roman" w:hAnsi="Times New Roman" w:cs="Times New Roman" w:eastAsia="Times New Roman" w:hint="default"/>
          <w:sz w:val="18"/>
          <w:szCs w:val="18"/>
        </w:rPr>
        <w:sectPr>
          <w:pgSz w:w="16840" w:h="11910" w:orient="landscape"/>
          <w:pgMar w:top="760" w:bottom="280" w:left="920" w:right="142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70.860001pt;margin-top:-9.926001pt;width:84.0pt;height:23.94pt;mso-position-horizontal-relative:page;mso-position-vertical-relative:paragraph;z-index:3904"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spacing w:before="89"/>
        <w:ind w:left="3267" w:right="3345" w:firstLine="0"/>
        <w:jc w:val="center"/>
        <w:rPr>
          <w:rFonts w:ascii="宋体" w:hAnsi="宋体" w:cs="宋体" w:eastAsia="宋体" w:hint="default"/>
          <w:sz w:val="24"/>
          <w:szCs w:val="24"/>
        </w:rPr>
      </w:pPr>
      <w:r>
        <w:rPr>
          <w:rFonts w:ascii="宋体" w:hAnsi="宋体" w:cs="宋体" w:eastAsia="宋体" w:hint="default"/>
          <w:b/>
          <w:bCs/>
          <w:sz w:val="24"/>
          <w:szCs w:val="24"/>
        </w:rPr>
        <w:t>重庆华立药业股份有限公司</w:t>
      </w:r>
      <w:r>
        <w:rPr>
          <w:rFonts w:ascii="宋体" w:hAnsi="宋体" w:cs="宋体" w:eastAsia="宋体" w:hint="default"/>
          <w:sz w:val="24"/>
          <w:szCs w:val="24"/>
        </w:rPr>
      </w:r>
    </w:p>
    <w:p>
      <w:pPr>
        <w:spacing w:before="154"/>
        <w:ind w:left="3267" w:right="3344" w:firstLine="0"/>
        <w:jc w:val="center"/>
        <w:rPr>
          <w:rFonts w:ascii="宋体" w:hAnsi="宋体" w:cs="宋体" w:eastAsia="宋体" w:hint="default"/>
          <w:sz w:val="24"/>
          <w:szCs w:val="24"/>
        </w:rPr>
      </w:pPr>
      <w:r>
        <w:rPr>
          <w:rFonts w:ascii="Times New Roman" w:hAnsi="Times New Roman" w:cs="Times New Roman" w:eastAsia="Times New Roman" w:hint="default"/>
          <w:b/>
          <w:bCs/>
          <w:sz w:val="24"/>
          <w:szCs w:val="24"/>
        </w:rPr>
        <w:t>2009</w:t>
      </w:r>
      <w:r>
        <w:rPr>
          <w:rFonts w:ascii="Times New Roman" w:hAnsi="Times New Roman" w:cs="Times New Roman" w:eastAsia="Times New Roman" w:hint="default"/>
          <w:b/>
          <w:bCs/>
          <w:spacing w:val="-8"/>
          <w:sz w:val="24"/>
          <w:szCs w:val="24"/>
        </w:rPr>
        <w:t> </w:t>
      </w:r>
      <w:r>
        <w:rPr>
          <w:rFonts w:ascii="宋体" w:hAnsi="宋体" w:cs="宋体" w:eastAsia="宋体" w:hint="default"/>
          <w:b/>
          <w:bCs/>
          <w:sz w:val="24"/>
          <w:szCs w:val="24"/>
        </w:rPr>
        <w:t>年度财务报表附注</w:t>
      </w:r>
      <w:r>
        <w:rPr>
          <w:rFonts w:ascii="宋体" w:hAnsi="宋体" w:cs="宋体" w:eastAsia="宋体" w:hint="default"/>
          <w:sz w:val="24"/>
          <w:szCs w:val="24"/>
        </w:rPr>
      </w:r>
    </w:p>
    <w:p>
      <w:pPr>
        <w:spacing w:line="240" w:lineRule="auto" w:before="1"/>
        <w:rPr>
          <w:rFonts w:ascii="宋体" w:hAnsi="宋体" w:cs="宋体" w:eastAsia="宋体" w:hint="default"/>
          <w:b/>
          <w:bCs/>
          <w:sz w:val="8"/>
          <w:szCs w:val="8"/>
        </w:rPr>
      </w:pPr>
    </w:p>
    <w:p>
      <w:pPr>
        <w:pStyle w:val="BodyText"/>
        <w:spacing w:line="357" w:lineRule="auto" w:before="35"/>
        <w:ind w:left="558" w:right="152" w:hanging="420"/>
        <w:jc w:val="left"/>
      </w:pPr>
      <w:r>
        <w:rPr>
          <w:rFonts w:ascii="宋体" w:hAnsi="宋体" w:cs="宋体" w:eastAsia="宋体" w:hint="default"/>
          <w:b/>
          <w:bCs/>
        </w:rPr>
        <w:t>一、</w:t>
      </w:r>
      <w:r>
        <w:rPr>
          <w:rFonts w:ascii="宋体" w:hAnsi="宋体" w:cs="宋体" w:eastAsia="宋体" w:hint="default"/>
          <w:b/>
          <w:bCs/>
          <w:spacing w:val="-47"/>
        </w:rPr>
        <w:t> </w:t>
      </w:r>
      <w:r>
        <w:rPr>
          <w:rFonts w:ascii="宋体" w:hAnsi="宋体" w:cs="宋体" w:eastAsia="宋体" w:hint="default"/>
          <w:b/>
          <w:bCs/>
        </w:rPr>
        <w:t>公司的基本情况</w:t>
      </w:r>
      <w:r>
        <w:rPr>
          <w:rFonts w:ascii="宋体" w:hAnsi="宋体" w:cs="宋体" w:eastAsia="宋体" w:hint="default"/>
          <w:b/>
          <w:bCs/>
          <w:w w:val="99"/>
        </w:rPr>
        <w:t> </w:t>
      </w:r>
      <w:r>
        <w:rPr/>
        <w:t>重庆华立药业股份有限公司（以下简称</w:t>
      </w:r>
      <w:r>
        <w:rPr>
          <w:rFonts w:ascii="Century Gothic" w:hAnsi="Century Gothic" w:cs="Century Gothic" w:eastAsia="Century Gothic" w:hint="default"/>
        </w:rPr>
        <w:t>“</w:t>
      </w:r>
      <w:r>
        <w:rPr/>
        <w:t>公司</w:t>
      </w:r>
      <w:r>
        <w:rPr>
          <w:rFonts w:ascii="Century Gothic" w:hAnsi="Century Gothic" w:cs="Century Gothic" w:eastAsia="Century Gothic" w:hint="default"/>
        </w:rPr>
        <w:t>”</w:t>
      </w:r>
      <w:r>
        <w:rPr/>
        <w:t>或</w:t>
      </w:r>
      <w:r>
        <w:rPr>
          <w:rFonts w:ascii="Century Gothic" w:hAnsi="Century Gothic" w:cs="Century Gothic" w:eastAsia="Century Gothic" w:hint="default"/>
        </w:rPr>
        <w:t>“</w:t>
      </w:r>
      <w:r>
        <w:rPr/>
        <w:t>本公司</w:t>
      </w:r>
      <w:r>
        <w:rPr>
          <w:rFonts w:ascii="Century Gothic" w:hAnsi="Century Gothic" w:cs="Century Gothic" w:eastAsia="Century Gothic" w:hint="default"/>
        </w:rPr>
        <w:t>”</w:t>
      </w:r>
      <w:r>
        <w:rPr/>
        <w:t>），其前身为重庆川仪股份有限公司，</w:t>
      </w:r>
    </w:p>
    <w:p>
      <w:pPr>
        <w:pStyle w:val="BodyText"/>
        <w:spacing w:line="338" w:lineRule="auto" w:before="0"/>
        <w:ind w:right="291"/>
        <w:jc w:val="left"/>
      </w:pPr>
      <w:r>
        <w:rPr/>
        <w:t>系于</w:t>
      </w:r>
      <w:r>
        <w:rPr>
          <w:spacing w:val="-55"/>
        </w:rPr>
        <w:t> </w:t>
      </w:r>
      <w:r>
        <w:rPr>
          <w:rFonts w:ascii="Century Gothic" w:hAnsi="Century Gothic" w:cs="Century Gothic" w:eastAsia="Century Gothic" w:hint="default"/>
        </w:rPr>
        <w:t>1993</w:t>
      </w:r>
      <w:r>
        <w:rPr>
          <w:rFonts w:ascii="Century Gothic" w:hAnsi="Century Gothic" w:cs="Century Gothic" w:eastAsia="Century Gothic" w:hint="default"/>
          <w:spacing w:val="-8"/>
        </w:rPr>
        <w:t> </w:t>
      </w:r>
      <w:r>
        <w:rPr/>
        <w:t>年经重庆市体改委体改发</w:t>
      </w:r>
      <w:r>
        <w:rPr>
          <w:rFonts w:ascii="Century Gothic" w:hAnsi="Century Gothic" w:cs="Century Gothic" w:eastAsia="Century Gothic" w:hint="default"/>
        </w:rPr>
        <w:t>[93]30</w:t>
      </w:r>
      <w:r>
        <w:rPr>
          <w:rFonts w:ascii="Century Gothic" w:hAnsi="Century Gothic" w:cs="Century Gothic" w:eastAsia="Century Gothic" w:hint="default"/>
          <w:spacing w:val="-8"/>
        </w:rPr>
        <w:t> </w:t>
      </w:r>
      <w:r>
        <w:rPr/>
        <w:t>号文批准设立的定向募集股份有限公司，</w:t>
      </w:r>
      <w:r>
        <w:rPr>
          <w:rFonts w:ascii="Century Gothic" w:hAnsi="Century Gothic" w:cs="Century Gothic" w:eastAsia="Century Gothic" w:hint="default"/>
        </w:rPr>
        <w:t>1996</w:t>
      </w:r>
      <w:r>
        <w:rPr>
          <w:rFonts w:ascii="Century Gothic" w:hAnsi="Century Gothic" w:cs="Century Gothic" w:eastAsia="Century Gothic" w:hint="default"/>
          <w:spacing w:val="-8"/>
        </w:rPr>
        <w:t> </w:t>
      </w:r>
      <w:r>
        <w:rPr/>
        <w:t>年经批准 向社会公开发行</w:t>
      </w:r>
      <w:r>
        <w:rPr>
          <w:spacing w:val="-54"/>
        </w:rPr>
        <w:t> </w:t>
      </w:r>
      <w:r>
        <w:rPr>
          <w:rFonts w:ascii="Century Gothic" w:hAnsi="Century Gothic" w:cs="Century Gothic" w:eastAsia="Century Gothic" w:hint="default"/>
        </w:rPr>
        <w:t>A</w:t>
      </w:r>
      <w:r>
        <w:rPr>
          <w:rFonts w:ascii="Century Gothic" w:hAnsi="Century Gothic" w:cs="Century Gothic" w:eastAsia="Century Gothic" w:hint="default"/>
          <w:spacing w:val="-9"/>
        </w:rPr>
        <w:t> </w:t>
      </w:r>
      <w:r>
        <w:rPr/>
        <w:t>股股票，同年</w:t>
      </w:r>
      <w:r>
        <w:rPr>
          <w:spacing w:val="-54"/>
        </w:rPr>
        <w:t> </w:t>
      </w:r>
      <w:r>
        <w:rPr>
          <w:rFonts w:ascii="Century Gothic" w:hAnsi="Century Gothic" w:cs="Century Gothic" w:eastAsia="Century Gothic" w:hint="default"/>
        </w:rPr>
        <w:t>8</w:t>
      </w:r>
      <w:r>
        <w:rPr>
          <w:rFonts w:ascii="Century Gothic" w:hAnsi="Century Gothic" w:cs="Century Gothic" w:eastAsia="Century Gothic" w:hint="default"/>
          <w:spacing w:val="-8"/>
        </w:rPr>
        <w:t> </w:t>
      </w:r>
      <w:r>
        <w:rPr/>
        <w:t>月</w:t>
      </w:r>
      <w:r>
        <w:rPr>
          <w:spacing w:val="-54"/>
        </w:rPr>
        <w:t> </w:t>
      </w:r>
      <w:r>
        <w:rPr>
          <w:rFonts w:ascii="Century Gothic" w:hAnsi="Century Gothic" w:cs="Century Gothic" w:eastAsia="Century Gothic" w:hint="default"/>
        </w:rPr>
        <w:t>30</w:t>
      </w:r>
      <w:r>
        <w:rPr>
          <w:rFonts w:ascii="Century Gothic" w:hAnsi="Century Gothic" w:cs="Century Gothic" w:eastAsia="Century Gothic" w:hint="default"/>
          <w:spacing w:val="-7"/>
        </w:rPr>
        <w:t> </w:t>
      </w:r>
      <w:r>
        <w:rPr/>
        <w:t>日，人民币</w:t>
      </w:r>
      <w:r>
        <w:rPr>
          <w:spacing w:val="-54"/>
        </w:rPr>
        <w:t> </w:t>
      </w:r>
      <w:r>
        <w:rPr>
          <w:rFonts w:ascii="Century Gothic" w:hAnsi="Century Gothic" w:cs="Century Gothic" w:eastAsia="Century Gothic" w:hint="default"/>
        </w:rPr>
        <w:t>4,500</w:t>
      </w:r>
      <w:r>
        <w:rPr>
          <w:rFonts w:ascii="Century Gothic" w:hAnsi="Century Gothic" w:cs="Century Gothic" w:eastAsia="Century Gothic" w:hint="default"/>
          <w:spacing w:val="-7"/>
        </w:rPr>
        <w:t> </w:t>
      </w:r>
      <w:r>
        <w:rPr/>
        <w:t>万股普通股在深交所挂牌上市。</w:t>
      </w:r>
    </w:p>
    <w:p>
      <w:pPr>
        <w:pStyle w:val="BodyText"/>
        <w:spacing w:line="336" w:lineRule="auto" w:before="15"/>
        <w:ind w:right="213" w:firstLine="420"/>
        <w:jc w:val="both"/>
      </w:pPr>
      <w:r>
        <w:rPr/>
        <w:t>公司于</w:t>
      </w:r>
      <w:r>
        <w:rPr>
          <w:spacing w:val="-55"/>
        </w:rPr>
        <w:t> </w:t>
      </w:r>
      <w:r>
        <w:rPr>
          <w:rFonts w:ascii="Century Gothic" w:hAnsi="Century Gothic" w:cs="Century Gothic" w:eastAsia="Century Gothic" w:hint="default"/>
        </w:rPr>
        <w:t>1999</w:t>
      </w:r>
      <w:r>
        <w:rPr>
          <w:rFonts w:ascii="Century Gothic" w:hAnsi="Century Gothic" w:cs="Century Gothic" w:eastAsia="Century Gothic" w:hint="default"/>
          <w:spacing w:val="-9"/>
        </w:rPr>
        <w:t> </w:t>
      </w:r>
      <w:r>
        <w:rPr/>
        <w:t>年</w:t>
      </w:r>
      <w:r>
        <w:rPr>
          <w:spacing w:val="-55"/>
        </w:rPr>
        <w:t> </w:t>
      </w:r>
      <w:r>
        <w:rPr>
          <w:rFonts w:ascii="Century Gothic" w:hAnsi="Century Gothic" w:cs="Century Gothic" w:eastAsia="Century Gothic" w:hint="default"/>
        </w:rPr>
        <w:t>5</w:t>
      </w:r>
      <w:r>
        <w:rPr>
          <w:rFonts w:ascii="Century Gothic" w:hAnsi="Century Gothic" w:cs="Century Gothic" w:eastAsia="Century Gothic" w:hint="default"/>
          <w:spacing w:val="-8"/>
        </w:rPr>
        <w:t> </w:t>
      </w:r>
      <w:r>
        <w:rPr/>
        <w:t>月和</w:t>
      </w:r>
      <w:r>
        <w:rPr>
          <w:spacing w:val="-55"/>
        </w:rPr>
        <w:t> </w:t>
      </w:r>
      <w:r>
        <w:rPr>
          <w:rFonts w:ascii="Century Gothic" w:hAnsi="Century Gothic" w:cs="Century Gothic" w:eastAsia="Century Gothic" w:hint="default"/>
        </w:rPr>
        <w:t>7</w:t>
      </w:r>
      <w:r>
        <w:rPr>
          <w:rFonts w:ascii="Century Gothic" w:hAnsi="Century Gothic" w:cs="Century Gothic" w:eastAsia="Century Gothic" w:hint="default"/>
          <w:spacing w:val="-9"/>
        </w:rPr>
        <w:t> </w:t>
      </w:r>
      <w:r>
        <w:rPr/>
        <w:t>月分别进行了股权转让和重大资产重组，华方医药科技有限公司（原名 华立产业集团有限公司，以下简称</w:t>
      </w:r>
      <w:r>
        <w:rPr>
          <w:rFonts w:ascii="Century Gothic" w:hAnsi="Century Gothic" w:cs="Century Gothic" w:eastAsia="Century Gothic" w:hint="default"/>
        </w:rPr>
        <w:t>“</w:t>
      </w:r>
      <w:r>
        <w:rPr/>
        <w:t>华方科技</w:t>
      </w:r>
      <w:r>
        <w:rPr>
          <w:rFonts w:ascii="Century Gothic" w:hAnsi="Century Gothic" w:cs="Century Gothic" w:eastAsia="Century Gothic" w:hint="default"/>
        </w:rPr>
        <w:t>”</w:t>
      </w:r>
      <w:r>
        <w:rPr/>
        <w:t>）成为公司第一大股东。</w:t>
      </w:r>
      <w:r>
        <w:rPr>
          <w:rFonts w:ascii="Century Gothic" w:hAnsi="Century Gothic" w:cs="Century Gothic" w:eastAsia="Century Gothic" w:hint="default"/>
        </w:rPr>
        <w:t>1999</w:t>
      </w:r>
      <w:r>
        <w:rPr>
          <w:rFonts w:ascii="Century Gothic" w:hAnsi="Century Gothic" w:cs="Century Gothic" w:eastAsia="Century Gothic" w:hint="default"/>
          <w:spacing w:val="-27"/>
        </w:rPr>
        <w:t> </w:t>
      </w:r>
      <w:r>
        <w:rPr/>
        <w:t>年</w:t>
      </w:r>
      <w:r>
        <w:rPr>
          <w:spacing w:val="-74"/>
        </w:rPr>
        <w:t> </w:t>
      </w:r>
      <w:r>
        <w:rPr>
          <w:rFonts w:ascii="Century Gothic" w:hAnsi="Century Gothic" w:cs="Century Gothic" w:eastAsia="Century Gothic" w:hint="default"/>
        </w:rPr>
        <w:t>10</w:t>
      </w:r>
      <w:r>
        <w:rPr>
          <w:rFonts w:ascii="Century Gothic" w:hAnsi="Century Gothic" w:cs="Century Gothic" w:eastAsia="Century Gothic" w:hint="default"/>
          <w:spacing w:val="-27"/>
        </w:rPr>
        <w:t> </w:t>
      </w:r>
      <w:r>
        <w:rPr/>
        <w:t>月公司更名为重庆 华立控股股份有限公司，</w:t>
      </w:r>
      <w:r>
        <w:rPr>
          <w:rFonts w:ascii="Century Gothic" w:hAnsi="Century Gothic" w:cs="Century Gothic" w:eastAsia="Century Gothic" w:hint="default"/>
        </w:rPr>
        <w:t>2006</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6</w:t>
      </w:r>
      <w:r>
        <w:rPr>
          <w:rFonts w:ascii="Century Gothic" w:hAnsi="Century Gothic" w:cs="Century Gothic" w:eastAsia="Century Gothic" w:hint="default"/>
          <w:spacing w:val="-8"/>
        </w:rPr>
        <w:t> </w:t>
      </w:r>
      <w:r>
        <w:rPr/>
        <w:t>月公司更名为重庆华立药业股份有限公司。</w:t>
      </w:r>
    </w:p>
    <w:p>
      <w:pPr>
        <w:pStyle w:val="BodyText"/>
        <w:spacing w:line="336" w:lineRule="auto" w:before="19"/>
        <w:ind w:right="80" w:firstLine="419"/>
        <w:jc w:val="left"/>
      </w:pPr>
      <w:r>
        <w:rPr>
          <w:rFonts w:ascii="Century Gothic" w:hAnsi="Century Gothic" w:cs="Century Gothic" w:eastAsia="Century Gothic" w:hint="default"/>
        </w:rPr>
        <w:t>2001</w:t>
      </w:r>
      <w:r>
        <w:rPr>
          <w:rFonts w:ascii="Century Gothic" w:hAnsi="Century Gothic" w:cs="Century Gothic" w:eastAsia="Century Gothic" w:hint="default"/>
          <w:spacing w:val="-7"/>
        </w:rPr>
        <w:t> </w:t>
      </w:r>
      <w:r>
        <w:rPr>
          <w:spacing w:val="-7"/>
        </w:rPr>
        <w:t>年度，公司以</w:t>
      </w:r>
      <w:r>
        <w:rPr>
          <w:spacing w:val="-54"/>
        </w:rPr>
        <w:t> </w:t>
      </w:r>
      <w:r>
        <w:rPr>
          <w:rFonts w:ascii="Century Gothic" w:hAnsi="Century Gothic" w:cs="Century Gothic" w:eastAsia="Century Gothic" w:hint="default"/>
          <w:spacing w:val="-7"/>
        </w:rPr>
        <w:t>10</w:t>
      </w:r>
      <w:r>
        <w:rPr>
          <w:spacing w:val="-7"/>
        </w:rPr>
        <w:t>：</w:t>
      </w:r>
      <w:r>
        <w:rPr>
          <w:rFonts w:ascii="Century Gothic" w:hAnsi="Century Gothic" w:cs="Century Gothic" w:eastAsia="Century Gothic" w:hint="default"/>
          <w:spacing w:val="-7"/>
        </w:rPr>
        <w:t>2.5 </w:t>
      </w:r>
      <w:r>
        <w:rPr/>
        <w:t>的比例以资本公积向全体股东转增股本</w:t>
      </w:r>
      <w:r>
        <w:rPr>
          <w:spacing w:val="-54"/>
        </w:rPr>
        <w:t> </w:t>
      </w:r>
      <w:r>
        <w:rPr>
          <w:rFonts w:ascii="Century Gothic" w:hAnsi="Century Gothic" w:cs="Century Gothic" w:eastAsia="Century Gothic" w:hint="default"/>
        </w:rPr>
        <w:t>38,195,000.00</w:t>
      </w:r>
      <w:r>
        <w:rPr>
          <w:rFonts w:ascii="Century Gothic" w:hAnsi="Century Gothic" w:cs="Century Gothic" w:eastAsia="Century Gothic" w:hint="default"/>
          <w:spacing w:val="-7"/>
        </w:rPr>
        <w:t> </w:t>
      </w:r>
      <w:r>
        <w:rPr>
          <w:spacing w:val="-7"/>
        </w:rPr>
        <w:t>元。</w:t>
      </w:r>
      <w:r>
        <w:rPr>
          <w:rFonts w:ascii="Century Gothic" w:hAnsi="Century Gothic" w:cs="Century Gothic" w:eastAsia="Century Gothic" w:hint="default"/>
          <w:spacing w:val="-7"/>
        </w:rPr>
        <w:t>2003 </w:t>
      </w:r>
      <w:r>
        <w:rPr/>
        <w:t>年， 经中国证监会证监发行字</w:t>
      </w:r>
      <w:r>
        <w:rPr>
          <w:rFonts w:ascii="Century Gothic" w:hAnsi="Century Gothic" w:cs="Century Gothic" w:eastAsia="Century Gothic" w:hint="default"/>
        </w:rPr>
        <w:t>[2003]43 </w:t>
      </w:r>
      <w:r>
        <w:rPr/>
        <w:t>号文核准，公司向社会公开增发不超过人民币普通股（</w:t>
      </w:r>
      <w:r>
        <w:rPr>
          <w:rFonts w:ascii="Century Gothic" w:hAnsi="Century Gothic" w:cs="Century Gothic" w:eastAsia="Century Gothic" w:hint="default"/>
        </w:rPr>
        <w:t>A</w:t>
      </w:r>
      <w:r>
        <w:rPr>
          <w:rFonts w:ascii="Century Gothic" w:hAnsi="Century Gothic" w:cs="Century Gothic" w:eastAsia="Century Gothic" w:hint="default"/>
          <w:spacing w:val="-14"/>
        </w:rPr>
        <w:t> </w:t>
      </w:r>
      <w:r>
        <w:rPr/>
        <w:t>股） </w:t>
      </w:r>
      <w:r>
        <w:rPr>
          <w:rFonts w:ascii="Century Gothic" w:hAnsi="Century Gothic" w:cs="Century Gothic" w:eastAsia="Century Gothic" w:hint="default"/>
        </w:rPr>
        <w:t>35,000,000</w:t>
      </w:r>
      <w:r>
        <w:rPr>
          <w:rFonts w:ascii="Century Gothic" w:hAnsi="Century Gothic" w:cs="Century Gothic" w:eastAsia="Century Gothic" w:hint="default"/>
          <w:spacing w:val="-10"/>
        </w:rPr>
        <w:t> </w:t>
      </w:r>
      <w:r>
        <w:rPr/>
        <w:t>股。</w:t>
      </w:r>
      <w:r>
        <w:rPr>
          <w:rFonts w:ascii="Century Gothic" w:hAnsi="Century Gothic" w:cs="Century Gothic" w:eastAsia="Century Gothic" w:hint="default"/>
        </w:rPr>
        <w:t>2004</w:t>
      </w:r>
      <w:r>
        <w:rPr>
          <w:rFonts w:ascii="Century Gothic" w:hAnsi="Century Gothic" w:cs="Century Gothic" w:eastAsia="Century Gothic" w:hint="default"/>
          <w:spacing w:val="-10"/>
        </w:rPr>
        <w:t> </w:t>
      </w:r>
      <w:r>
        <w:rPr/>
        <w:t>年，公司以</w:t>
      </w:r>
      <w:r>
        <w:rPr>
          <w:spacing w:val="-57"/>
        </w:rPr>
        <w:t> </w:t>
      </w:r>
      <w:r>
        <w:rPr>
          <w:rFonts w:ascii="Century Gothic" w:hAnsi="Century Gothic" w:cs="Century Gothic" w:eastAsia="Century Gothic" w:hint="default"/>
        </w:rPr>
        <w:t>2003</w:t>
      </w:r>
      <w:r>
        <w:rPr>
          <w:rFonts w:ascii="Century Gothic" w:hAnsi="Century Gothic" w:cs="Century Gothic" w:eastAsia="Century Gothic" w:hint="default"/>
          <w:spacing w:val="-10"/>
        </w:rPr>
        <w:t> </w:t>
      </w:r>
      <w:r>
        <w:rPr/>
        <w:t>年末总股本</w:t>
      </w:r>
      <w:r>
        <w:rPr>
          <w:spacing w:val="-57"/>
        </w:rPr>
        <w:t> </w:t>
      </w:r>
      <w:r>
        <w:rPr>
          <w:rFonts w:ascii="Century Gothic" w:hAnsi="Century Gothic" w:cs="Century Gothic" w:eastAsia="Century Gothic" w:hint="default"/>
        </w:rPr>
        <w:t>223,722,157</w:t>
      </w:r>
      <w:r>
        <w:rPr>
          <w:rFonts w:ascii="Century Gothic" w:hAnsi="Century Gothic" w:cs="Century Gothic" w:eastAsia="Century Gothic" w:hint="default"/>
          <w:spacing w:val="-10"/>
        </w:rPr>
        <w:t> </w:t>
      </w:r>
      <w:r>
        <w:rPr/>
        <w:t>股为基数，用资本公积金向全体股</w:t>
      </w:r>
    </w:p>
    <w:p>
      <w:pPr>
        <w:pStyle w:val="BodyText"/>
        <w:spacing w:line="240" w:lineRule="auto" w:before="17"/>
        <w:ind w:right="152"/>
        <w:jc w:val="left"/>
        <w:rPr>
          <w:rFonts w:ascii="Century Gothic" w:hAnsi="Century Gothic" w:cs="Century Gothic" w:eastAsia="Century Gothic" w:hint="default"/>
        </w:rPr>
      </w:pPr>
      <w:r>
        <w:rPr/>
        <w:t>东按</w:t>
      </w:r>
      <w:r>
        <w:rPr>
          <w:spacing w:val="-54"/>
        </w:rPr>
        <w:t> </w:t>
      </w:r>
      <w:r>
        <w:rPr>
          <w:rFonts w:ascii="Century Gothic" w:hAnsi="Century Gothic" w:cs="Century Gothic" w:eastAsia="Century Gothic" w:hint="default"/>
          <w:spacing w:val="-8"/>
        </w:rPr>
        <w:t>10</w:t>
      </w:r>
      <w:r>
        <w:rPr>
          <w:spacing w:val="-8"/>
        </w:rPr>
        <w:t>：</w:t>
      </w:r>
      <w:r>
        <w:rPr>
          <w:rFonts w:ascii="Century Gothic" w:hAnsi="Century Gothic" w:cs="Century Gothic" w:eastAsia="Century Gothic" w:hint="default"/>
          <w:spacing w:val="-8"/>
        </w:rPr>
        <w:t>6 </w:t>
      </w:r>
      <w:r>
        <w:rPr/>
        <w:t>的比例转增股本</w:t>
      </w:r>
      <w:r>
        <w:rPr>
          <w:spacing w:val="-54"/>
        </w:rPr>
        <w:t> </w:t>
      </w:r>
      <w:r>
        <w:rPr>
          <w:rFonts w:ascii="Century Gothic" w:hAnsi="Century Gothic" w:cs="Century Gothic" w:eastAsia="Century Gothic" w:hint="default"/>
        </w:rPr>
        <w:t>134,233,294.00</w:t>
      </w:r>
      <w:r>
        <w:rPr>
          <w:rFonts w:ascii="Century Gothic" w:hAnsi="Century Gothic" w:cs="Century Gothic" w:eastAsia="Century Gothic" w:hint="default"/>
          <w:spacing w:val="-7"/>
        </w:rPr>
        <w:t> </w:t>
      </w:r>
      <w:r>
        <w:rPr>
          <w:spacing w:val="-5"/>
        </w:rPr>
        <w:t>元；</w:t>
      </w:r>
      <w:r>
        <w:rPr>
          <w:rFonts w:ascii="Century Gothic" w:hAnsi="Century Gothic" w:cs="Century Gothic" w:eastAsia="Century Gothic" w:hint="default"/>
          <w:spacing w:val="-5"/>
        </w:rPr>
        <w:t>2005</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2</w:t>
      </w:r>
      <w:r>
        <w:rPr>
          <w:rFonts w:ascii="Century Gothic" w:hAnsi="Century Gothic" w:cs="Century Gothic" w:eastAsia="Century Gothic" w:hint="default"/>
          <w:spacing w:val="-7"/>
        </w:rPr>
        <w:t> </w:t>
      </w:r>
      <w:r>
        <w:rPr>
          <w:spacing w:val="-3"/>
        </w:rPr>
        <w:t>日，公司的股权分置方案获得</w:t>
      </w:r>
      <w:r>
        <w:rPr>
          <w:spacing w:val="-54"/>
        </w:rPr>
        <w:t> </w:t>
      </w:r>
      <w:r>
        <w:rPr>
          <w:rFonts w:ascii="Century Gothic" w:hAnsi="Century Gothic" w:cs="Century Gothic" w:eastAsia="Century Gothic" w:hint="default"/>
        </w:rPr>
        <w:t>2005</w:t>
      </w:r>
    </w:p>
    <w:p>
      <w:pPr>
        <w:pStyle w:val="BodyText"/>
        <w:spacing w:line="240" w:lineRule="auto" w:before="119"/>
        <w:ind w:right="152"/>
        <w:jc w:val="left"/>
      </w:pPr>
      <w:r>
        <w:rPr/>
        <w:t>年第二次临时股东大会审议通过，公司以流通股本</w:t>
      </w:r>
      <w:r>
        <w:rPr>
          <w:spacing w:val="-88"/>
        </w:rPr>
        <w:t> </w:t>
      </w:r>
      <w:r>
        <w:rPr>
          <w:rFonts w:ascii="Century Gothic" w:hAnsi="Century Gothic" w:cs="Century Gothic" w:eastAsia="Century Gothic" w:hint="default"/>
        </w:rPr>
        <w:t>142,395,454</w:t>
      </w:r>
      <w:r>
        <w:rPr>
          <w:rFonts w:ascii="Century Gothic" w:hAnsi="Century Gothic" w:cs="Century Gothic" w:eastAsia="Century Gothic" w:hint="default"/>
          <w:spacing w:val="-41"/>
        </w:rPr>
        <w:t> </w:t>
      </w:r>
      <w:r>
        <w:rPr/>
        <w:t>为基数，用资本公积向流通股股东按</w:t>
      </w:r>
    </w:p>
    <w:p>
      <w:pPr>
        <w:pStyle w:val="BodyText"/>
        <w:spacing w:line="240" w:lineRule="auto"/>
        <w:ind w:right="152"/>
        <w:jc w:val="left"/>
        <w:rPr>
          <w:rFonts w:ascii="Century Gothic" w:hAnsi="Century Gothic" w:cs="Century Gothic" w:eastAsia="Century Gothic" w:hint="default"/>
        </w:rPr>
      </w:pPr>
      <w:r>
        <w:rPr>
          <w:rFonts w:ascii="Century Gothic" w:hAnsi="Century Gothic" w:cs="Century Gothic" w:eastAsia="Century Gothic" w:hint="default"/>
          <w:spacing w:val="-6"/>
        </w:rPr>
        <w:t>10</w:t>
      </w:r>
      <w:r>
        <w:rPr>
          <w:spacing w:val="-6"/>
        </w:rPr>
        <w:t>：</w:t>
      </w:r>
      <w:r>
        <w:rPr>
          <w:rFonts w:ascii="Century Gothic" w:hAnsi="Century Gothic" w:cs="Century Gothic" w:eastAsia="Century Gothic" w:hint="default"/>
          <w:spacing w:val="-6"/>
        </w:rPr>
        <w:t>6 </w:t>
      </w:r>
      <w:r>
        <w:rPr/>
        <w:t>的比例转增股本</w:t>
      </w:r>
      <w:r>
        <w:rPr>
          <w:spacing w:val="-53"/>
        </w:rPr>
        <w:t> </w:t>
      </w:r>
      <w:r>
        <w:rPr>
          <w:rFonts w:ascii="Century Gothic" w:hAnsi="Century Gothic" w:cs="Century Gothic" w:eastAsia="Century Gothic" w:hint="default"/>
        </w:rPr>
        <w:t>85,437,272</w:t>
      </w:r>
      <w:r>
        <w:rPr>
          <w:rFonts w:ascii="Century Gothic" w:hAnsi="Century Gothic" w:cs="Century Gothic" w:eastAsia="Century Gothic" w:hint="default"/>
          <w:spacing w:val="-6"/>
        </w:rPr>
        <w:t> </w:t>
      </w:r>
      <w:r>
        <w:rPr>
          <w:spacing w:val="-4"/>
        </w:rPr>
        <w:t>股。</w:t>
      </w:r>
      <w:r>
        <w:rPr>
          <w:rFonts w:ascii="Century Gothic" w:hAnsi="Century Gothic" w:cs="Century Gothic" w:eastAsia="Century Gothic" w:hint="default"/>
          <w:spacing w:val="-4"/>
        </w:rPr>
        <w:t>2005</w:t>
      </w:r>
      <w:r>
        <w:rPr>
          <w:rFonts w:ascii="Century Gothic" w:hAnsi="Century Gothic" w:cs="Century Gothic" w:eastAsia="Century Gothic" w:hint="default"/>
          <w:spacing w:val="-6"/>
        </w:rPr>
        <w:t> </w:t>
      </w:r>
      <w:r>
        <w:rPr/>
        <w:t>年</w:t>
      </w:r>
      <w:r>
        <w:rPr>
          <w:spacing w:val="-53"/>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月</w:t>
      </w:r>
      <w:r>
        <w:rPr>
          <w:spacing w:val="-53"/>
        </w:rPr>
        <w:t> </w:t>
      </w:r>
      <w:r>
        <w:rPr>
          <w:rFonts w:ascii="Century Gothic" w:hAnsi="Century Gothic" w:cs="Century Gothic" w:eastAsia="Century Gothic" w:hint="default"/>
        </w:rPr>
        <w:t>22</w:t>
      </w:r>
      <w:r>
        <w:rPr>
          <w:rFonts w:ascii="Century Gothic" w:hAnsi="Century Gothic" w:cs="Century Gothic" w:eastAsia="Century Gothic" w:hint="default"/>
          <w:spacing w:val="-6"/>
        </w:rPr>
        <w:t> </w:t>
      </w:r>
      <w:r>
        <w:rPr>
          <w:spacing w:val="-4"/>
        </w:rPr>
        <w:t>日，该股改方案实施完毕。截止</w:t>
      </w:r>
      <w:r>
        <w:rPr>
          <w:spacing w:val="-53"/>
        </w:rPr>
        <w:t> </w:t>
      </w:r>
      <w:r>
        <w:rPr>
          <w:rFonts w:ascii="Century Gothic" w:hAnsi="Century Gothic" w:cs="Century Gothic" w:eastAsia="Century Gothic" w:hint="default"/>
        </w:rPr>
        <w:t>2005</w:t>
      </w:r>
      <w:r>
        <w:rPr>
          <w:rFonts w:ascii="Century Gothic" w:hAnsi="Century Gothic" w:cs="Century Gothic" w:eastAsia="Century Gothic" w:hint="default"/>
          <w:spacing w:val="-6"/>
        </w:rPr>
        <w:t> </w:t>
      </w:r>
      <w:r>
        <w:rPr/>
        <w:t>年</w:t>
      </w:r>
      <w:r>
        <w:rPr>
          <w:spacing w:val="-53"/>
        </w:rPr>
        <w:t> </w:t>
      </w:r>
      <w:r>
        <w:rPr>
          <w:rFonts w:ascii="Century Gothic" w:hAnsi="Century Gothic" w:cs="Century Gothic" w:eastAsia="Century Gothic" w:hint="default"/>
        </w:rPr>
        <w:t>12</w:t>
      </w:r>
    </w:p>
    <w:p>
      <w:pPr>
        <w:pStyle w:val="BodyText"/>
        <w:spacing w:line="240" w:lineRule="auto"/>
        <w:ind w:right="152"/>
        <w:jc w:val="left"/>
      </w:pPr>
      <w:r>
        <w:rPr/>
        <w:t>月</w:t>
      </w:r>
      <w:r>
        <w:rPr>
          <w:spacing w:val="-58"/>
        </w:rPr>
        <w:t> </w:t>
      </w:r>
      <w:r>
        <w:rPr>
          <w:rFonts w:ascii="Century Gothic" w:hAnsi="Century Gothic" w:cs="Century Gothic" w:eastAsia="Century Gothic" w:hint="default"/>
        </w:rPr>
        <w:t>31</w:t>
      </w:r>
      <w:r>
        <w:rPr>
          <w:rFonts w:ascii="Century Gothic" w:hAnsi="Century Gothic" w:cs="Century Gothic" w:eastAsia="Century Gothic" w:hint="default"/>
          <w:spacing w:val="-11"/>
        </w:rPr>
        <w:t> </w:t>
      </w:r>
      <w:r>
        <w:rPr/>
        <w:t>日，公司总股份变更为</w:t>
      </w:r>
      <w:r>
        <w:rPr>
          <w:spacing w:val="-58"/>
        </w:rPr>
        <w:t> </w:t>
      </w:r>
      <w:r>
        <w:rPr>
          <w:rFonts w:ascii="Century Gothic" w:hAnsi="Century Gothic" w:cs="Century Gothic" w:eastAsia="Century Gothic" w:hint="default"/>
        </w:rPr>
        <w:t>443,392,723</w:t>
      </w:r>
      <w:r>
        <w:rPr>
          <w:rFonts w:ascii="Century Gothic" w:hAnsi="Century Gothic" w:cs="Century Gothic" w:eastAsia="Century Gothic" w:hint="default"/>
          <w:spacing w:val="-11"/>
        </w:rPr>
        <w:t> </w:t>
      </w:r>
      <w:r>
        <w:rPr/>
        <w:t>股，股本</w:t>
      </w:r>
      <w:r>
        <w:rPr>
          <w:spacing w:val="-58"/>
        </w:rPr>
        <w:t> </w:t>
      </w:r>
      <w:r>
        <w:rPr>
          <w:rFonts w:ascii="Century Gothic" w:hAnsi="Century Gothic" w:cs="Century Gothic" w:eastAsia="Century Gothic" w:hint="default"/>
        </w:rPr>
        <w:t>443,392,723.00</w:t>
      </w:r>
      <w:r>
        <w:rPr>
          <w:rFonts w:ascii="Century Gothic" w:hAnsi="Century Gothic" w:cs="Century Gothic" w:eastAsia="Century Gothic" w:hint="default"/>
          <w:spacing w:val="-11"/>
        </w:rPr>
        <w:t> </w:t>
      </w:r>
      <w:r>
        <w:rPr/>
        <w:t>元，均为流通股。</w:t>
      </w:r>
    </w:p>
    <w:p>
      <w:pPr>
        <w:pStyle w:val="BodyText"/>
        <w:spacing w:line="338" w:lineRule="auto"/>
        <w:ind w:right="152" w:firstLine="420"/>
        <w:jc w:val="left"/>
      </w:pPr>
      <w:r>
        <w:rPr>
          <w:rFonts w:ascii="Century Gothic" w:hAnsi="Century Gothic" w:cs="Century Gothic" w:eastAsia="Century Gothic" w:hint="default"/>
        </w:rPr>
        <w:t>2006</w:t>
      </w:r>
      <w:r>
        <w:rPr>
          <w:rFonts w:ascii="Century Gothic" w:hAnsi="Century Gothic" w:cs="Century Gothic" w:eastAsia="Century Gothic" w:hint="default"/>
          <w:spacing w:val="-8"/>
        </w:rPr>
        <w:t> </w:t>
      </w:r>
      <w:r>
        <w:rPr/>
        <w:t>年</w:t>
      </w:r>
      <w:r>
        <w:rPr>
          <w:spacing w:val="-55"/>
        </w:rPr>
        <w:t> </w:t>
      </w:r>
      <w:r>
        <w:rPr>
          <w:rFonts w:ascii="Century Gothic" w:hAnsi="Century Gothic" w:cs="Century Gothic" w:eastAsia="Century Gothic" w:hint="default"/>
        </w:rPr>
        <w:t>4</w:t>
      </w:r>
      <w:r>
        <w:rPr>
          <w:rFonts w:ascii="Century Gothic" w:hAnsi="Century Gothic" w:cs="Century Gothic" w:eastAsia="Century Gothic" w:hint="default"/>
          <w:spacing w:val="-8"/>
        </w:rPr>
        <w:t> </w:t>
      </w:r>
      <w:r>
        <w:rPr/>
        <w:t>月，经</w:t>
      </w:r>
      <w:r>
        <w:rPr>
          <w:spacing w:val="-55"/>
        </w:rPr>
        <w:t> </w:t>
      </w:r>
      <w:r>
        <w:rPr>
          <w:rFonts w:ascii="Century Gothic" w:hAnsi="Century Gothic" w:cs="Century Gothic" w:eastAsia="Century Gothic" w:hint="default"/>
        </w:rPr>
        <w:t>2005</w:t>
      </w:r>
      <w:r>
        <w:rPr>
          <w:rFonts w:ascii="Century Gothic" w:hAnsi="Century Gothic" w:cs="Century Gothic" w:eastAsia="Century Gothic" w:hint="default"/>
          <w:spacing w:val="-8"/>
        </w:rPr>
        <w:t> </w:t>
      </w:r>
      <w:r>
        <w:rPr/>
        <w:t>年度股东大会批准，公司以</w:t>
      </w:r>
      <w:r>
        <w:rPr>
          <w:spacing w:val="-55"/>
        </w:rPr>
        <w:t> </w:t>
      </w:r>
      <w:r>
        <w:rPr>
          <w:rFonts w:ascii="Century Gothic" w:hAnsi="Century Gothic" w:cs="Century Gothic" w:eastAsia="Century Gothic" w:hint="default"/>
        </w:rPr>
        <w:t>2005</w:t>
      </w:r>
      <w:r>
        <w:rPr>
          <w:rFonts w:ascii="Century Gothic" w:hAnsi="Century Gothic" w:cs="Century Gothic" w:eastAsia="Century Gothic" w:hint="default"/>
          <w:spacing w:val="-8"/>
        </w:rPr>
        <w:t> </w:t>
      </w:r>
      <w:r>
        <w:rPr/>
        <w:t>年</w:t>
      </w:r>
      <w:r>
        <w:rPr>
          <w:spacing w:val="-55"/>
        </w:rPr>
        <w:t> </w:t>
      </w:r>
      <w:r>
        <w:rPr>
          <w:rFonts w:ascii="Century Gothic" w:hAnsi="Century Gothic" w:cs="Century Gothic" w:eastAsia="Century Gothic" w:hint="default"/>
        </w:rPr>
        <w:t>12</w:t>
      </w:r>
      <w:r>
        <w:rPr>
          <w:rFonts w:ascii="Century Gothic" w:hAnsi="Century Gothic" w:cs="Century Gothic" w:eastAsia="Century Gothic" w:hint="default"/>
          <w:spacing w:val="-8"/>
        </w:rPr>
        <w:t> </w:t>
      </w:r>
      <w:r>
        <w:rPr/>
        <w:t>月</w:t>
      </w:r>
      <w:r>
        <w:rPr>
          <w:spacing w:val="-55"/>
        </w:rPr>
        <w:t> </w:t>
      </w:r>
      <w:r>
        <w:rPr>
          <w:rFonts w:ascii="Century Gothic" w:hAnsi="Century Gothic" w:cs="Century Gothic" w:eastAsia="Century Gothic" w:hint="default"/>
        </w:rPr>
        <w:t>31</w:t>
      </w:r>
      <w:r>
        <w:rPr>
          <w:rFonts w:ascii="Century Gothic" w:hAnsi="Century Gothic" w:cs="Century Gothic" w:eastAsia="Century Gothic" w:hint="default"/>
          <w:spacing w:val="-8"/>
        </w:rPr>
        <w:t> </w:t>
      </w:r>
      <w:r>
        <w:rPr/>
        <w:t>日的总股本</w:t>
      </w:r>
      <w:r>
        <w:rPr>
          <w:spacing w:val="-55"/>
        </w:rPr>
        <w:t> </w:t>
      </w:r>
      <w:r>
        <w:rPr>
          <w:rFonts w:ascii="Century Gothic" w:hAnsi="Century Gothic" w:cs="Century Gothic" w:eastAsia="Century Gothic" w:hint="default"/>
        </w:rPr>
        <w:t>443,392,723</w:t>
      </w:r>
      <w:r>
        <w:rPr>
          <w:rFonts w:ascii="Century Gothic" w:hAnsi="Century Gothic" w:cs="Century Gothic" w:eastAsia="Century Gothic" w:hint="default"/>
          <w:spacing w:val="-1"/>
          <w:w w:val="99"/>
        </w:rPr>
        <w:t> </w:t>
      </w:r>
      <w:r>
        <w:rPr/>
        <w:t>股为基数，按</w:t>
      </w:r>
      <w:r>
        <w:rPr>
          <w:spacing w:val="-56"/>
        </w:rPr>
        <w:t> </w:t>
      </w:r>
      <w:r>
        <w:rPr>
          <w:rFonts w:ascii="Century Gothic" w:hAnsi="Century Gothic" w:cs="Century Gothic" w:eastAsia="Century Gothic" w:hint="default"/>
        </w:rPr>
        <w:t>10</w:t>
      </w:r>
      <w:r>
        <w:rPr/>
        <w:t>：</w:t>
      </w:r>
      <w:r>
        <w:rPr>
          <w:rFonts w:ascii="Century Gothic" w:hAnsi="Century Gothic" w:cs="Century Gothic" w:eastAsia="Century Gothic" w:hint="default"/>
        </w:rPr>
        <w:t>1</w:t>
      </w:r>
      <w:r>
        <w:rPr>
          <w:rFonts w:ascii="Century Gothic" w:hAnsi="Century Gothic" w:cs="Century Gothic" w:eastAsia="Century Gothic" w:hint="default"/>
          <w:spacing w:val="-9"/>
        </w:rPr>
        <w:t> </w:t>
      </w:r>
      <w:r>
        <w:rPr/>
        <w:t>的比例用未分配利润向全体股东派送红股</w:t>
      </w:r>
      <w:r>
        <w:rPr>
          <w:spacing w:val="-56"/>
        </w:rPr>
        <w:t> </w:t>
      </w:r>
      <w:r>
        <w:rPr>
          <w:rFonts w:ascii="Century Gothic" w:hAnsi="Century Gothic" w:cs="Century Gothic" w:eastAsia="Century Gothic" w:hint="default"/>
        </w:rPr>
        <w:t>44,339,272</w:t>
      </w:r>
      <w:r>
        <w:rPr>
          <w:rFonts w:ascii="Century Gothic" w:hAnsi="Century Gothic" w:cs="Century Gothic" w:eastAsia="Century Gothic" w:hint="default"/>
          <w:spacing w:val="-9"/>
        </w:rPr>
        <w:t> </w:t>
      </w:r>
      <w:r>
        <w:rPr/>
        <w:t>股，每股面值</w:t>
      </w:r>
      <w:r>
        <w:rPr>
          <w:spacing w:val="-56"/>
        </w:rPr>
        <w:t> </w:t>
      </w:r>
      <w:r>
        <w:rPr>
          <w:rFonts w:ascii="Century Gothic" w:hAnsi="Century Gothic" w:cs="Century Gothic" w:eastAsia="Century Gothic" w:hint="default"/>
        </w:rPr>
        <w:t>1</w:t>
      </w:r>
      <w:r>
        <w:rPr>
          <w:rFonts w:ascii="Century Gothic" w:hAnsi="Century Gothic" w:cs="Century Gothic" w:eastAsia="Century Gothic" w:hint="default"/>
          <w:spacing w:val="-9"/>
        </w:rPr>
        <w:t> </w:t>
      </w:r>
      <w:r>
        <w:rPr/>
        <w:t>元，共转 增股本</w:t>
      </w:r>
      <w:r>
        <w:rPr>
          <w:spacing w:val="-59"/>
        </w:rPr>
        <w:t> </w:t>
      </w:r>
      <w:r>
        <w:rPr>
          <w:rFonts w:ascii="Century Gothic" w:hAnsi="Century Gothic" w:cs="Century Gothic" w:eastAsia="Century Gothic" w:hint="default"/>
        </w:rPr>
        <w:t>44,339,272.00</w:t>
      </w:r>
      <w:r>
        <w:rPr>
          <w:rFonts w:ascii="Century Gothic" w:hAnsi="Century Gothic" w:cs="Century Gothic" w:eastAsia="Century Gothic" w:hint="default"/>
          <w:spacing w:val="-12"/>
        </w:rPr>
        <w:t> </w:t>
      </w:r>
      <w:r>
        <w:rPr/>
        <w:t>元。</w:t>
      </w:r>
    </w:p>
    <w:p>
      <w:pPr>
        <w:pStyle w:val="BodyText"/>
        <w:spacing w:line="336" w:lineRule="auto" w:before="15"/>
        <w:ind w:right="80" w:firstLine="420"/>
        <w:jc w:val="left"/>
      </w:pPr>
      <w:r>
        <w:rPr/>
        <w:t>根据 </w:t>
      </w:r>
      <w:r>
        <w:rPr>
          <w:rFonts w:ascii="Century Gothic" w:hAnsi="Century Gothic" w:cs="Century Gothic" w:eastAsia="Century Gothic" w:hint="default"/>
        </w:rPr>
        <w:t>2009 </w:t>
      </w:r>
      <w:r>
        <w:rPr/>
        <w:t>年 </w:t>
      </w:r>
      <w:r>
        <w:rPr>
          <w:rFonts w:ascii="Century Gothic" w:hAnsi="Century Gothic" w:cs="Century Gothic" w:eastAsia="Century Gothic" w:hint="default"/>
        </w:rPr>
        <w:t>8 </w:t>
      </w:r>
      <w:r>
        <w:rPr/>
        <w:t>月 </w:t>
      </w:r>
      <w:r>
        <w:rPr>
          <w:rFonts w:ascii="Century Gothic" w:hAnsi="Century Gothic" w:cs="Century Gothic" w:eastAsia="Century Gothic" w:hint="default"/>
        </w:rPr>
        <w:t>4</w:t>
      </w:r>
      <w:r>
        <w:rPr>
          <w:rFonts w:ascii="Century Gothic" w:hAnsi="Century Gothic" w:cs="Century Gothic" w:eastAsia="Century Gothic" w:hint="default"/>
          <w:spacing w:val="-21"/>
        </w:rPr>
        <w:t> </w:t>
      </w:r>
      <w:r>
        <w:rPr/>
        <w:t>日华方科技与华立集团股份有限公司（以下简称</w:t>
      </w:r>
      <w:r>
        <w:rPr>
          <w:rFonts w:ascii="Century Gothic" w:hAnsi="Century Gothic" w:cs="Century Gothic" w:eastAsia="Century Gothic" w:hint="default"/>
        </w:rPr>
        <w:t>“</w:t>
      </w:r>
      <w:r>
        <w:rPr/>
        <w:t>华立集团</w:t>
      </w:r>
      <w:r>
        <w:rPr>
          <w:rFonts w:ascii="Century Gothic" w:hAnsi="Century Gothic" w:cs="Century Gothic" w:eastAsia="Century Gothic" w:hint="default"/>
        </w:rPr>
        <w:t>”</w:t>
      </w:r>
      <w:r>
        <w:rPr/>
        <w:t>）签订的股权 转让合同，华方科技将持有公司</w:t>
      </w:r>
      <w:r>
        <w:rPr>
          <w:spacing w:val="-55"/>
        </w:rPr>
        <w:t> </w:t>
      </w:r>
      <w:r>
        <w:rPr>
          <w:rFonts w:ascii="Century Gothic" w:hAnsi="Century Gothic" w:cs="Century Gothic" w:eastAsia="Century Gothic" w:hint="default"/>
        </w:rPr>
        <w:t>23.52%</w:t>
      </w:r>
      <w:r>
        <w:rPr/>
        <w:t>的股份转让给华立集团，华立集团成为公司第一大股东。截 止</w:t>
      </w:r>
      <w:r>
        <w:rPr>
          <w:spacing w:val="-55"/>
        </w:rPr>
        <w:t> </w:t>
      </w:r>
      <w:r>
        <w:rPr>
          <w:rFonts w:ascii="Century Gothic" w:hAnsi="Century Gothic" w:cs="Century Gothic" w:eastAsia="Century Gothic" w:hint="default"/>
        </w:rPr>
        <w:t>2009</w:t>
      </w:r>
      <w:r>
        <w:rPr>
          <w:rFonts w:ascii="Century Gothic" w:hAnsi="Century Gothic" w:cs="Century Gothic" w:eastAsia="Century Gothic" w:hint="default"/>
          <w:spacing w:val="-8"/>
        </w:rPr>
        <w:t> </w:t>
      </w:r>
      <w:r>
        <w:rPr/>
        <w:t>年</w:t>
      </w:r>
      <w:r>
        <w:rPr>
          <w:spacing w:val="-55"/>
        </w:rPr>
        <w:t> </w:t>
      </w:r>
      <w:r>
        <w:rPr>
          <w:rFonts w:ascii="Century Gothic" w:hAnsi="Century Gothic" w:cs="Century Gothic" w:eastAsia="Century Gothic" w:hint="default"/>
        </w:rPr>
        <w:t>12</w:t>
      </w:r>
      <w:r>
        <w:rPr>
          <w:rFonts w:ascii="Century Gothic" w:hAnsi="Century Gothic" w:cs="Century Gothic" w:eastAsia="Century Gothic" w:hint="default"/>
          <w:spacing w:val="-8"/>
        </w:rPr>
        <w:t> </w:t>
      </w:r>
      <w:r>
        <w:rPr/>
        <w:t>月</w:t>
      </w:r>
      <w:r>
        <w:rPr>
          <w:spacing w:val="-55"/>
        </w:rPr>
        <w:t> </w:t>
      </w:r>
      <w:r>
        <w:rPr>
          <w:rFonts w:ascii="Century Gothic" w:hAnsi="Century Gothic" w:cs="Century Gothic" w:eastAsia="Century Gothic" w:hint="default"/>
        </w:rPr>
        <w:t>31</w:t>
      </w:r>
      <w:r>
        <w:rPr>
          <w:rFonts w:ascii="Century Gothic" w:hAnsi="Century Gothic" w:cs="Century Gothic" w:eastAsia="Century Gothic" w:hint="default"/>
          <w:spacing w:val="-8"/>
        </w:rPr>
        <w:t> </w:t>
      </w:r>
      <w:r>
        <w:rPr/>
        <w:t>日，公司注册资本</w:t>
      </w:r>
      <w:r>
        <w:rPr>
          <w:spacing w:val="-55"/>
        </w:rPr>
        <w:t> </w:t>
      </w:r>
      <w:r>
        <w:rPr>
          <w:rFonts w:ascii="Century Gothic" w:hAnsi="Century Gothic" w:cs="Century Gothic" w:eastAsia="Century Gothic" w:hint="default"/>
        </w:rPr>
        <w:t>487,731,995.00</w:t>
      </w:r>
      <w:r>
        <w:rPr>
          <w:rFonts w:ascii="Century Gothic" w:hAnsi="Century Gothic" w:cs="Century Gothic" w:eastAsia="Century Gothic" w:hint="default"/>
          <w:spacing w:val="-8"/>
        </w:rPr>
        <w:t> </w:t>
      </w:r>
      <w:r>
        <w:rPr/>
        <w:t>元，股本</w:t>
      </w:r>
      <w:r>
        <w:rPr>
          <w:spacing w:val="-55"/>
        </w:rPr>
        <w:t> </w:t>
      </w:r>
      <w:r>
        <w:rPr>
          <w:rFonts w:ascii="Century Gothic" w:hAnsi="Century Gothic" w:cs="Century Gothic" w:eastAsia="Century Gothic" w:hint="default"/>
        </w:rPr>
        <w:t>487,731,995</w:t>
      </w:r>
      <w:r>
        <w:rPr>
          <w:rFonts w:ascii="Century Gothic" w:hAnsi="Century Gothic" w:cs="Century Gothic" w:eastAsia="Century Gothic" w:hint="default"/>
          <w:spacing w:val="-8"/>
        </w:rPr>
        <w:t> </w:t>
      </w:r>
      <w:r>
        <w:rPr/>
        <w:t>股，其中：有限售条 件的流通股份</w:t>
      </w:r>
      <w:r>
        <w:rPr>
          <w:spacing w:val="-61"/>
        </w:rPr>
        <w:t> </w:t>
      </w:r>
      <w:r>
        <w:rPr>
          <w:rFonts w:ascii="Century Gothic" w:hAnsi="Century Gothic" w:cs="Century Gothic" w:eastAsia="Century Gothic" w:hint="default"/>
          <w:spacing w:val="-1"/>
          <w:w w:val="99"/>
        </w:rPr>
        <w:t>58,680</w:t>
      </w:r>
      <w:r>
        <w:rPr>
          <w:rFonts w:ascii="Century Gothic" w:hAnsi="Century Gothic" w:cs="Century Gothic" w:eastAsia="Century Gothic" w:hint="default"/>
          <w:spacing w:val="-14"/>
          <w:w w:val="99"/>
        </w:rPr>
        <w:t> </w:t>
      </w:r>
      <w:r>
        <w:rPr>
          <w:spacing w:val="-18"/>
        </w:rPr>
        <w:t>股，占股本的</w:t>
      </w:r>
      <w:r>
        <w:rPr>
          <w:spacing w:val="-61"/>
        </w:rPr>
        <w:t> </w:t>
      </w:r>
      <w:r>
        <w:rPr>
          <w:rFonts w:ascii="Century Gothic" w:hAnsi="Century Gothic" w:cs="Century Gothic" w:eastAsia="Century Gothic" w:hint="default"/>
          <w:spacing w:val="-7"/>
          <w:w w:val="99"/>
        </w:rPr>
        <w:t>0.01%</w:t>
      </w:r>
      <w:r>
        <w:rPr>
          <w:spacing w:val="-7"/>
          <w:w w:val="99"/>
        </w:rPr>
        <w:t>；无限售条件的流通股份</w:t>
      </w:r>
      <w:r>
        <w:rPr>
          <w:spacing w:val="-61"/>
          <w:w w:val="99"/>
        </w:rPr>
        <w:t> </w:t>
      </w:r>
      <w:r>
        <w:rPr>
          <w:rFonts w:ascii="Century Gothic" w:hAnsi="Century Gothic" w:cs="Century Gothic" w:eastAsia="Century Gothic" w:hint="default"/>
          <w:spacing w:val="-1"/>
          <w:w w:val="99"/>
        </w:rPr>
        <w:t>487,673,315</w:t>
      </w:r>
      <w:r>
        <w:rPr>
          <w:rFonts w:ascii="Century Gothic" w:hAnsi="Century Gothic" w:cs="Century Gothic" w:eastAsia="Century Gothic" w:hint="default"/>
          <w:spacing w:val="-14"/>
          <w:w w:val="99"/>
        </w:rPr>
        <w:t> </w:t>
      </w:r>
      <w:r>
        <w:rPr>
          <w:spacing w:val="-18"/>
        </w:rPr>
        <w:t>股，占股本的</w:t>
      </w:r>
      <w:r>
        <w:rPr>
          <w:spacing w:val="-61"/>
        </w:rPr>
        <w:t> </w:t>
      </w:r>
      <w:r>
        <w:rPr>
          <w:rFonts w:ascii="Century Gothic" w:hAnsi="Century Gothic" w:cs="Century Gothic" w:eastAsia="Century Gothic" w:hint="default"/>
          <w:spacing w:val="-1"/>
          <w:w w:val="99"/>
        </w:rPr>
        <w:t>99.99%</w:t>
      </w:r>
      <w:r>
        <w:rPr>
          <w:spacing w:val="-1"/>
          <w:w w:val="99"/>
        </w:rPr>
        <w:t>。</w:t>
      </w:r>
      <w:r>
        <w:rPr/>
        <w:t> 华立集团股份有限公司持有</w:t>
      </w:r>
      <w:r>
        <w:rPr>
          <w:spacing w:val="-58"/>
        </w:rPr>
        <w:t> </w:t>
      </w:r>
      <w:r>
        <w:rPr>
          <w:rFonts w:ascii="Century Gothic" w:hAnsi="Century Gothic" w:cs="Century Gothic" w:eastAsia="Century Gothic" w:hint="default"/>
        </w:rPr>
        <w:t>114,690,754</w:t>
      </w:r>
      <w:r>
        <w:rPr>
          <w:rFonts w:ascii="Century Gothic" w:hAnsi="Century Gothic" w:cs="Century Gothic" w:eastAsia="Century Gothic" w:hint="default"/>
          <w:spacing w:val="-11"/>
        </w:rPr>
        <w:t> </w:t>
      </w:r>
      <w:r>
        <w:rPr/>
        <w:t>股（均为无限售条件流通股），占股本的</w:t>
      </w:r>
      <w:r>
        <w:rPr>
          <w:spacing w:val="-58"/>
        </w:rPr>
        <w:t> </w:t>
      </w:r>
      <w:r>
        <w:rPr>
          <w:rFonts w:ascii="Century Gothic" w:hAnsi="Century Gothic" w:cs="Century Gothic" w:eastAsia="Century Gothic" w:hint="default"/>
        </w:rPr>
        <w:t>23.52%</w:t>
      </w:r>
      <w:r>
        <w:rPr/>
        <w:t>。</w:t>
      </w:r>
    </w:p>
    <w:p>
      <w:pPr>
        <w:pStyle w:val="BodyText"/>
        <w:spacing w:line="350" w:lineRule="auto" w:before="17"/>
        <w:ind w:right="146" w:firstLine="420"/>
        <w:jc w:val="left"/>
      </w:pPr>
      <w:r>
        <w:rPr>
          <w:spacing w:val="-2"/>
        </w:rPr>
        <w:t>公司经营范围：制造、销售仪器仪表及原材料、机电一体化设备、计算机及工业控制软件、电子</w:t>
      </w:r>
      <w:r>
        <w:rPr/>
        <w:t> </w:t>
      </w:r>
      <w:r>
        <w:rPr>
          <w:spacing w:val="-2"/>
        </w:rPr>
        <w:t>产品、电工器材；仪器仪表技术开发、技术咨询、技术服务，计算机网络信息技术开发。经营本企业</w:t>
      </w:r>
      <w:r>
        <w:rPr>
          <w:spacing w:val="-71"/>
        </w:rPr>
        <w:t> </w:t>
      </w:r>
      <w:r>
        <w:rPr>
          <w:spacing w:val="-71"/>
        </w:rPr>
      </w:r>
      <w:r>
        <w:rPr/>
        <w:t>自产产品及技术的出口业务、代理出口将本企业自行研制开发的技术转让给其他企业所生产的产品； </w:t>
      </w:r>
      <w:r>
        <w:rPr>
          <w:spacing w:val="-2"/>
        </w:rPr>
        <w:t>经营本企业生产所需的原辅材料、仪器仪表、机械设备、零配件及技术的进口业务（国家限定公司经</w:t>
      </w:r>
      <w:r>
        <w:rPr>
          <w:spacing w:val="-67"/>
        </w:rPr>
        <w:t> </w:t>
      </w:r>
      <w:r>
        <w:rPr>
          <w:spacing w:val="-67"/>
        </w:rPr>
      </w:r>
      <w:r>
        <w:rPr/>
        <w:t>营和国家禁止进出口的商品除外）；经营进料加工和</w:t>
      </w:r>
      <w:r>
        <w:rPr>
          <w:rFonts w:ascii="Century Gothic" w:hAnsi="Century Gothic" w:cs="Century Gothic" w:eastAsia="Century Gothic" w:hint="default"/>
        </w:rPr>
        <w:t>“</w:t>
      </w:r>
      <w:r>
        <w:rPr/>
        <w:t>三来一补</w:t>
      </w:r>
      <w:r>
        <w:rPr>
          <w:rFonts w:ascii="Century Gothic" w:hAnsi="Century Gothic" w:cs="Century Gothic" w:eastAsia="Century Gothic" w:hint="default"/>
        </w:rPr>
        <w:t>”</w:t>
      </w:r>
      <w:r>
        <w:rPr/>
        <w:t>业务；货物进出口、技术进出口</w:t>
      </w:r>
      <w:r>
        <w:rPr>
          <w:rFonts w:ascii="Century Gothic" w:hAnsi="Century Gothic" w:cs="Century Gothic" w:eastAsia="Century Gothic" w:hint="default"/>
        </w:rPr>
        <w:t>(</w:t>
      </w:r>
      <w:r>
        <w:rPr/>
        <w:t>法 律、行政法规禁止的项目除外、法律、行政法规限制的项目取得许可后经营</w:t>
      </w:r>
      <w:r>
        <w:rPr>
          <w:rFonts w:ascii="Century Gothic" w:hAnsi="Century Gothic" w:cs="Century Gothic" w:eastAsia="Century Gothic" w:hint="default"/>
        </w:rPr>
        <w:t>)</w:t>
      </w:r>
      <w:r>
        <w:rPr/>
        <w:t>；片剂、颗粒剂、胶囊 </w:t>
      </w:r>
      <w:r>
        <w:rPr>
          <w:spacing w:val="-2"/>
        </w:rPr>
        <w:t>剂、软胶囊剂、粉针剂、冻干粉针剂（抗肿瘤类）、小容量注射剂（抗肿瘤类）的研制、开发、生产</w:t>
      </w:r>
    </w:p>
    <w:p>
      <w:pPr>
        <w:pStyle w:val="BodyText"/>
        <w:spacing w:line="336" w:lineRule="auto" w:before="38"/>
        <w:ind w:right="196"/>
        <w:jc w:val="left"/>
      </w:pPr>
      <w:r>
        <w:rPr/>
        <w:t>（按许可证核定事项和期限从事经营）。公司注册地址为北碚区童家溪镇同心园区一路</w:t>
      </w:r>
      <w:r>
        <w:rPr>
          <w:spacing w:val="-71"/>
        </w:rPr>
        <w:t> </w:t>
      </w:r>
      <w:r>
        <w:rPr>
          <w:rFonts w:ascii="Century Gothic" w:hAnsi="Century Gothic" w:cs="Century Gothic" w:eastAsia="Century Gothic" w:hint="default"/>
        </w:rPr>
        <w:t>8</w:t>
      </w:r>
      <w:r>
        <w:rPr>
          <w:rFonts w:ascii="Century Gothic" w:hAnsi="Century Gothic" w:cs="Century Gothic" w:eastAsia="Century Gothic" w:hint="default"/>
          <w:spacing w:val="-24"/>
        </w:rPr>
        <w:t> </w:t>
      </w:r>
      <w:r>
        <w:rPr>
          <w:spacing w:val="-5"/>
        </w:rPr>
        <w:t>号，法定代</w:t>
      </w:r>
      <w:r>
        <w:rPr/>
        <w:t> 表人为刘小斌先生。</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0"/>
        <w:ind w:left="3267" w:right="3344" w:firstLine="0"/>
        <w:jc w:val="center"/>
        <w:rPr>
          <w:rFonts w:ascii="Times New Roman" w:hAnsi="Times New Roman" w:cs="Times New Roman" w:eastAsia="Times New Roman" w:hint="default"/>
          <w:sz w:val="18"/>
          <w:szCs w:val="18"/>
        </w:rPr>
      </w:pPr>
      <w:r>
        <w:rPr>
          <w:rFonts w:ascii="Times New Roman"/>
          <w:sz w:val="18"/>
        </w:rPr>
        <w:t>47</w:t>
      </w:r>
    </w:p>
    <w:p>
      <w:pPr>
        <w:spacing w:after="0"/>
        <w:jc w:val="center"/>
        <w:rPr>
          <w:rFonts w:ascii="Times New Roman" w:hAnsi="Times New Roman" w:cs="Times New Roman" w:eastAsia="Times New Roman" w:hint="default"/>
          <w:sz w:val="18"/>
          <w:szCs w:val="18"/>
        </w:rPr>
        <w:sectPr>
          <w:pgSz w:w="11910" w:h="16840"/>
          <w:pgMar w:top="780" w:bottom="280" w:left="1280" w:right="10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64.860001pt;margin-top:-9.926001pt;width:84.0pt;height:23.94pt;mso-position-horizontal-relative:page;mso-position-vertical-relative:paragraph;z-index:3952"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Heading4"/>
        <w:spacing w:line="240" w:lineRule="auto" w:before="0"/>
        <w:ind w:left="138" w:right="152"/>
        <w:jc w:val="left"/>
        <w:rPr>
          <w:rFonts w:ascii="宋体" w:hAnsi="宋体" w:cs="宋体" w:eastAsia="宋体" w:hint="default"/>
          <w:b w:val="0"/>
          <w:bCs w:val="0"/>
        </w:rPr>
      </w:pPr>
      <w:r>
        <w:rPr>
          <w:rFonts w:ascii="宋体" w:hAnsi="宋体" w:cs="宋体" w:eastAsia="宋体" w:hint="default"/>
        </w:rPr>
        <w:t>二、</w:t>
      </w:r>
      <w:r>
        <w:rPr>
          <w:rFonts w:ascii="宋体" w:hAnsi="宋体" w:cs="宋体" w:eastAsia="宋体" w:hint="default"/>
          <w:spacing w:val="-59"/>
        </w:rPr>
        <w:t> </w:t>
      </w:r>
      <w:r>
        <w:rPr>
          <w:rFonts w:ascii="宋体" w:hAnsi="宋体" w:cs="宋体" w:eastAsia="宋体" w:hint="default"/>
        </w:rPr>
        <w:t>公司主要会计政策、会计估计和前期差错</w:t>
      </w:r>
      <w:r>
        <w:rPr>
          <w:rFonts w:ascii="宋体" w:hAnsi="宋体" w:cs="宋体" w:eastAsia="宋体" w:hint="default"/>
          <w:b w:val="0"/>
          <w:bCs w:val="0"/>
        </w:rPr>
      </w:r>
    </w:p>
    <w:p>
      <w:pPr>
        <w:spacing w:line="357" w:lineRule="auto" w:before="134"/>
        <w:ind w:left="558" w:right="152"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78"/>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pacing w:val="-2"/>
          <w:sz w:val="21"/>
          <w:szCs w:val="21"/>
        </w:rPr>
        <w:t>本公司以持续经营为基础，根据实际发生的交易和事项，按照《企业会计准则</w:t>
      </w:r>
      <w:r>
        <w:rPr>
          <w:rFonts w:ascii="Century Gothic" w:hAnsi="Century Gothic" w:cs="Century Gothic" w:eastAsia="Century Gothic" w:hint="default"/>
          <w:spacing w:val="-2"/>
          <w:sz w:val="21"/>
          <w:szCs w:val="21"/>
        </w:rPr>
        <w:t>—</w:t>
      </w:r>
      <w:r>
        <w:rPr>
          <w:rFonts w:ascii="宋体" w:hAnsi="宋体" w:cs="宋体" w:eastAsia="宋体" w:hint="default"/>
          <w:spacing w:val="-2"/>
          <w:sz w:val="21"/>
          <w:szCs w:val="21"/>
        </w:rPr>
        <w:t>基本准则》和其</w:t>
      </w:r>
    </w:p>
    <w:p>
      <w:pPr>
        <w:pStyle w:val="BodyText"/>
        <w:spacing w:line="357" w:lineRule="auto" w:before="0"/>
        <w:ind w:right="152"/>
        <w:jc w:val="left"/>
      </w:pPr>
      <w:r>
        <w:rPr>
          <w:spacing w:val="-2"/>
        </w:rPr>
        <w:t>他各项具体会计准则、应用指南及准则解释的规定进行确认和计量，在此基础上编制财务报表。编制</w:t>
      </w:r>
      <w:r>
        <w:rPr>
          <w:spacing w:val="-68"/>
        </w:rPr>
        <w:t> </w:t>
      </w:r>
      <w:r>
        <w:rPr>
          <w:spacing w:val="-68"/>
        </w:rPr>
      </w:r>
      <w:r>
        <w:rPr/>
        <w:t>符合企业会计准则要求的财务报表需要使用估计和假设，这些估计和假设会影响到财务报告日的资 产、负债和或有负债的披露，以及报告期间的收入和费用。</w:t>
      </w:r>
    </w:p>
    <w:p>
      <w:pPr>
        <w:spacing w:line="357" w:lineRule="auto" w:before="31"/>
        <w:ind w:left="558" w:right="347" w:firstLine="0"/>
        <w:jc w:val="left"/>
        <w:rPr>
          <w:rFonts w:ascii="Century Gothic" w:hAnsi="Century Gothic" w:cs="Century Gothic" w:eastAsia="Century Gothic" w:hint="default"/>
          <w:sz w:val="21"/>
          <w:szCs w:val="21"/>
        </w:rPr>
      </w:pPr>
      <w:r>
        <w:rPr>
          <w:rFonts w:ascii="宋体" w:hAnsi="宋体" w:cs="宋体" w:eastAsia="宋体" w:hint="default"/>
          <w:b/>
          <w:bCs/>
          <w:sz w:val="21"/>
          <w:szCs w:val="21"/>
        </w:rPr>
        <w:t>（二）</w:t>
      </w:r>
      <w:r>
        <w:rPr>
          <w:rFonts w:ascii="宋体" w:hAnsi="宋体" w:cs="宋体" w:eastAsia="宋体" w:hint="default"/>
          <w:b/>
          <w:bCs/>
          <w:spacing w:val="-78"/>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本公司编制的财务报表符合《企业会计准则》的要求，真实、完整地反映了本公司</w:t>
      </w:r>
      <w:r>
        <w:rPr>
          <w:rFonts w:ascii="宋体" w:hAnsi="宋体" w:cs="宋体" w:eastAsia="宋体" w:hint="default"/>
          <w:spacing w:val="-55"/>
          <w:sz w:val="21"/>
          <w:szCs w:val="21"/>
        </w:rPr>
        <w:t> </w:t>
      </w:r>
      <w:r>
        <w:rPr>
          <w:rFonts w:ascii="Century Gothic" w:hAnsi="Century Gothic" w:cs="Century Gothic" w:eastAsia="Century Gothic" w:hint="default"/>
          <w:sz w:val="21"/>
          <w:szCs w:val="21"/>
        </w:rPr>
        <w:t>2009</w:t>
      </w:r>
      <w:r>
        <w:rPr>
          <w:rFonts w:ascii="Century Gothic" w:hAnsi="Century Gothic" w:cs="Century Gothic" w:eastAsia="Century Gothic"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entury Gothic" w:hAnsi="Century Gothic" w:cs="Century Gothic" w:eastAsia="Century Gothic" w:hint="default"/>
          <w:sz w:val="21"/>
          <w:szCs w:val="21"/>
        </w:rPr>
        <w:t>12</w:t>
      </w:r>
    </w:p>
    <w:p>
      <w:pPr>
        <w:pStyle w:val="BodyText"/>
        <w:spacing w:line="287" w:lineRule="exact" w:before="0"/>
        <w:ind w:right="152"/>
        <w:jc w:val="left"/>
      </w:pPr>
      <w:r>
        <w:rPr/>
        <w:t>月</w:t>
      </w:r>
      <w:r>
        <w:rPr>
          <w:spacing w:val="-54"/>
        </w:rPr>
        <w:t> </w:t>
      </w: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t>日的财务状况、</w:t>
      </w:r>
      <w:r>
        <w:rPr>
          <w:rFonts w:ascii="Century Gothic" w:hAnsi="Century Gothic" w:cs="Century Gothic" w:eastAsia="Century Gothic" w:hint="default"/>
        </w:rPr>
        <w:t>2009</w:t>
      </w:r>
      <w:r>
        <w:rPr>
          <w:rFonts w:ascii="Century Gothic" w:hAnsi="Century Gothic" w:cs="Century Gothic" w:eastAsia="Century Gothic" w:hint="default"/>
          <w:spacing w:val="-7"/>
        </w:rPr>
        <w:t> </w:t>
      </w:r>
      <w:r>
        <w:rPr/>
        <w:t>年度的经营成果和现金流量等有关信息。</w:t>
      </w:r>
    </w:p>
    <w:p>
      <w:pPr>
        <w:pStyle w:val="Heading4"/>
        <w:spacing w:line="240" w:lineRule="auto" w:before="117"/>
        <w:ind w:right="152"/>
        <w:jc w:val="left"/>
        <w:rPr>
          <w:rFonts w:ascii="宋体" w:hAnsi="宋体" w:cs="宋体" w:eastAsia="宋体" w:hint="default"/>
          <w:b w:val="0"/>
          <w:bCs w:val="0"/>
        </w:rPr>
      </w:pPr>
      <w:r>
        <w:rPr>
          <w:rFonts w:ascii="宋体" w:hAnsi="宋体" w:cs="宋体" w:eastAsia="宋体" w:hint="default"/>
        </w:rPr>
        <w:t>（三）</w:t>
      </w:r>
      <w:r>
        <w:rPr>
          <w:rFonts w:ascii="宋体" w:hAnsi="宋体" w:cs="宋体" w:eastAsia="宋体" w:hint="default"/>
          <w:spacing w:val="-81"/>
        </w:rPr>
        <w:t> </w:t>
      </w:r>
      <w:r>
        <w:rPr>
          <w:rFonts w:ascii="宋体" w:hAnsi="宋体" w:cs="宋体" w:eastAsia="宋体" w:hint="default"/>
        </w:rPr>
        <w:t>会计期间</w:t>
      </w:r>
      <w:r>
        <w:rPr>
          <w:rFonts w:ascii="宋体" w:hAnsi="宋体" w:cs="宋体" w:eastAsia="宋体" w:hint="default"/>
          <w:b w:val="0"/>
          <w:bCs w:val="0"/>
        </w:rPr>
      </w:r>
    </w:p>
    <w:p>
      <w:pPr>
        <w:pStyle w:val="BodyText"/>
        <w:spacing w:line="240" w:lineRule="auto" w:before="134"/>
        <w:ind w:left="558" w:right="152"/>
        <w:jc w:val="left"/>
      </w:pPr>
      <w:r>
        <w:rPr/>
        <w:t>本公司会计期间为公历年度，即每年</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日起至</w:t>
      </w:r>
      <w:r>
        <w:rPr>
          <w:spacing w:val="-54"/>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t>日止。</w:t>
      </w:r>
    </w:p>
    <w:p>
      <w:pPr>
        <w:spacing w:line="357" w:lineRule="auto" w:before="119"/>
        <w:ind w:left="558" w:right="602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78"/>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本公司以人民币为记账本位币。</w:t>
      </w:r>
    </w:p>
    <w:p>
      <w:pPr>
        <w:pStyle w:val="Heading4"/>
        <w:spacing w:line="240" w:lineRule="auto" w:before="31"/>
        <w:ind w:right="152"/>
        <w:jc w:val="left"/>
        <w:rPr>
          <w:rFonts w:ascii="宋体" w:hAnsi="宋体" w:cs="宋体" w:eastAsia="宋体" w:hint="default"/>
          <w:b w:val="0"/>
          <w:bCs w:val="0"/>
        </w:rPr>
      </w:pPr>
      <w:r>
        <w:rPr>
          <w:rFonts w:ascii="宋体" w:hAnsi="宋体" w:cs="宋体" w:eastAsia="宋体" w:hint="default"/>
        </w:rPr>
        <w:t>（五）</w:t>
      </w:r>
      <w:r>
        <w:rPr>
          <w:rFonts w:ascii="宋体" w:hAnsi="宋体" w:cs="宋体" w:eastAsia="宋体" w:hint="default"/>
          <w:spacing w:val="-93"/>
        </w:rPr>
        <w:t> </w:t>
      </w:r>
      <w:r>
        <w:rPr>
          <w:rFonts w:ascii="宋体" w:hAnsi="宋体" w:cs="宋体" w:eastAsia="宋体" w:hint="default"/>
        </w:rPr>
        <w:t>同一控制下和非同一控制下企业合并的会计处理方法</w:t>
      </w:r>
      <w:r>
        <w:rPr>
          <w:rFonts w:ascii="宋体" w:hAnsi="宋体" w:cs="宋体" w:eastAsia="宋体" w:hint="default"/>
          <w:b w:val="0"/>
          <w:bCs w:val="0"/>
        </w:rPr>
      </w:r>
    </w:p>
    <w:p>
      <w:pPr>
        <w:spacing w:line="338" w:lineRule="auto" w:before="134"/>
        <w:ind w:left="558" w:right="152" w:firstLine="0"/>
        <w:jc w:val="left"/>
        <w:rPr>
          <w:rFonts w:ascii="宋体" w:hAnsi="宋体" w:cs="宋体" w:eastAsia="宋体" w:hint="default"/>
          <w:sz w:val="21"/>
          <w:szCs w:val="21"/>
        </w:rPr>
      </w:pPr>
      <w:r>
        <w:rPr>
          <w:rFonts w:ascii="Century Gothic" w:hAnsi="Century Gothic" w:cs="Century Gothic" w:eastAsia="Century Gothic" w:hint="default"/>
          <w:b/>
          <w:bCs/>
          <w:sz w:val="21"/>
          <w:szCs w:val="21"/>
        </w:rPr>
        <w:t>1.</w:t>
      </w:r>
      <w:r>
        <w:rPr>
          <w:rFonts w:ascii="Century Gothic" w:hAnsi="Century Gothic" w:cs="Century Gothic" w:eastAsia="Century Gothic" w:hint="default"/>
          <w:b/>
          <w:bCs/>
          <w:spacing w:val="15"/>
          <w:sz w:val="21"/>
          <w:szCs w:val="21"/>
        </w:rPr>
        <w:t> </w:t>
      </w:r>
      <w:r>
        <w:rPr>
          <w:rFonts w:ascii="宋体" w:hAnsi="宋体" w:cs="宋体" w:eastAsia="宋体" w:hint="default"/>
          <w:b/>
          <w:bCs/>
          <w:sz w:val="21"/>
          <w:szCs w:val="21"/>
        </w:rPr>
        <w:t>同一控制下的企业合并</w:t>
      </w:r>
      <w:r>
        <w:rPr>
          <w:rFonts w:ascii="宋体" w:hAnsi="宋体" w:cs="宋体" w:eastAsia="宋体" w:hint="default"/>
          <w:b/>
          <w:bCs/>
          <w:w w:val="99"/>
          <w:sz w:val="21"/>
          <w:szCs w:val="21"/>
        </w:rPr>
        <w:t> </w:t>
      </w:r>
      <w:r>
        <w:rPr>
          <w:rFonts w:ascii="宋体" w:hAnsi="宋体" w:cs="宋体" w:eastAsia="宋体" w:hint="default"/>
          <w:spacing w:val="-2"/>
          <w:sz w:val="21"/>
          <w:szCs w:val="21"/>
        </w:rPr>
        <w:t>对于同一控制下的企业合并，合并方在企业合并中取得的资产和负债，按照合并日在被合并方的</w:t>
      </w:r>
    </w:p>
    <w:p>
      <w:pPr>
        <w:pStyle w:val="BodyText"/>
        <w:spacing w:line="357" w:lineRule="auto" w:before="48"/>
        <w:ind w:right="152"/>
        <w:jc w:val="left"/>
      </w:pPr>
      <w:r>
        <w:rPr>
          <w:spacing w:val="-2"/>
        </w:rPr>
        <w:t>账面价值计量。合并方取得的净资产账面价值与支付的合并对价账面价值（或发行股份面值总额）的</w:t>
      </w:r>
      <w:r>
        <w:rPr>
          <w:spacing w:val="-68"/>
        </w:rPr>
        <w:t> </w:t>
      </w:r>
      <w:r>
        <w:rPr>
          <w:spacing w:val="-68"/>
        </w:rPr>
      </w:r>
      <w:r>
        <w:rPr/>
        <w:t>差额，调整资本公积；资本公积不足冲减的，调整留存收益。</w:t>
      </w:r>
    </w:p>
    <w:p>
      <w:pPr>
        <w:spacing w:line="338" w:lineRule="auto" w:before="31"/>
        <w:ind w:left="558" w:right="152" w:firstLine="0"/>
        <w:jc w:val="left"/>
        <w:rPr>
          <w:rFonts w:ascii="宋体" w:hAnsi="宋体" w:cs="宋体" w:eastAsia="宋体" w:hint="default"/>
          <w:sz w:val="21"/>
          <w:szCs w:val="21"/>
        </w:rPr>
      </w:pPr>
      <w:r>
        <w:rPr>
          <w:rFonts w:ascii="Century Gothic" w:hAnsi="Century Gothic" w:cs="Century Gothic" w:eastAsia="Century Gothic" w:hint="default"/>
          <w:b/>
          <w:bCs/>
          <w:sz w:val="21"/>
          <w:szCs w:val="21"/>
        </w:rPr>
        <w:t>2.</w:t>
      </w:r>
      <w:r>
        <w:rPr>
          <w:rFonts w:ascii="Century Gothic" w:hAnsi="Century Gothic" w:cs="Century Gothic" w:eastAsia="Century Gothic" w:hint="default"/>
          <w:b/>
          <w:bCs/>
          <w:spacing w:val="15"/>
          <w:sz w:val="21"/>
          <w:szCs w:val="21"/>
        </w:rPr>
        <w:t> </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pacing w:val="-2"/>
          <w:sz w:val="21"/>
          <w:szCs w:val="21"/>
        </w:rPr>
        <w:t>对于非同一控制下的企业合并，合并成本为购买方在购买日为取得对被购买方的控制权而付出的</w:t>
      </w:r>
    </w:p>
    <w:p>
      <w:pPr>
        <w:pStyle w:val="BodyText"/>
        <w:spacing w:line="357" w:lineRule="auto" w:before="48"/>
        <w:ind w:right="80" w:hanging="1"/>
        <w:jc w:val="left"/>
      </w:pPr>
      <w:r>
        <w:rPr>
          <w:spacing w:val="-4"/>
        </w:rPr>
        <w:t>资产、发生或承担的负债以及发行的权益性证券的公允价值。通过多次交换交易分步实现的企业合并，</w:t>
      </w:r>
      <w:r>
        <w:rPr>
          <w:spacing w:val="-81"/>
        </w:rPr>
        <w:t> </w:t>
      </w:r>
      <w:r>
        <w:rPr>
          <w:spacing w:val="-81"/>
        </w:rPr>
      </w:r>
      <w:r>
        <w:rPr/>
        <w:t>合并成本为每一单项交易成本之和。购买方为进行企业合并发生的各项直接相关费用计入企业合并成</w:t>
      </w:r>
      <w:r>
        <w:rPr/>
        <w:t> 本。</w:t>
      </w:r>
    </w:p>
    <w:p>
      <w:pPr>
        <w:pStyle w:val="BodyText"/>
        <w:spacing w:line="357" w:lineRule="auto" w:before="32"/>
        <w:ind w:right="163" w:firstLine="420"/>
        <w:jc w:val="both"/>
      </w:pPr>
      <w:r>
        <w:rPr/>
        <w:t>购买方对合并成本大于合并中取得的被购买方可辨认净资产公允价值份额的差额，确认为商誉。 </w:t>
      </w:r>
      <w:r>
        <w:rPr>
          <w:spacing w:val="-2"/>
        </w:rPr>
        <w:t>购买方对合并成本小于合并中取得的被购买方可辨认净资产公允价值份额的，经复核后合并成本仍小</w:t>
      </w:r>
      <w:r>
        <w:rPr>
          <w:spacing w:val="-68"/>
        </w:rPr>
        <w:t> </w:t>
      </w:r>
      <w:r>
        <w:rPr>
          <w:spacing w:val="-68"/>
        </w:rPr>
      </w:r>
      <w:r>
        <w:rPr/>
        <w:t>于合并中取得的被购买方可辨认净资产公允价值份额的差额，计入当期损益。</w:t>
      </w:r>
    </w:p>
    <w:p>
      <w:pPr>
        <w:pStyle w:val="BodyText"/>
        <w:spacing w:line="357" w:lineRule="auto" w:before="31"/>
        <w:ind w:left="558" w:right="232"/>
        <w:jc w:val="left"/>
      </w:pPr>
      <w:r>
        <w:rPr>
          <w:rFonts w:ascii="宋体" w:hAnsi="宋体" w:cs="宋体" w:eastAsia="宋体" w:hint="default"/>
          <w:b/>
          <w:bCs/>
        </w:rPr>
        <w:t>（六）</w:t>
      </w:r>
      <w:r>
        <w:rPr>
          <w:rFonts w:ascii="宋体" w:hAnsi="宋体" w:cs="宋体" w:eastAsia="宋体" w:hint="default"/>
          <w:b/>
          <w:bCs/>
          <w:spacing w:val="-78"/>
        </w:rPr>
        <w:t> </w:t>
      </w:r>
      <w:r>
        <w:rPr>
          <w:rFonts w:ascii="宋体" w:hAnsi="宋体" w:cs="宋体" w:eastAsia="宋体" w:hint="default"/>
          <w:b/>
          <w:bCs/>
        </w:rPr>
        <w:t>合并财务报表的编制方法</w:t>
      </w:r>
      <w:r>
        <w:rPr>
          <w:rFonts w:ascii="宋体" w:hAnsi="宋体" w:cs="宋体" w:eastAsia="宋体" w:hint="default"/>
          <w:b/>
          <w:bCs/>
          <w:w w:val="99"/>
        </w:rPr>
        <w:t> </w:t>
      </w:r>
      <w:r>
        <w:rPr/>
        <w:t>本公司将拥有实际控制权的子公司和特殊目的主体纳入合并财务报表范围。 本公司合并财务报表按照《企业会计准则第</w:t>
      </w:r>
      <w:r>
        <w:rPr>
          <w:spacing w:val="-54"/>
        </w:rPr>
        <w:t> </w:t>
      </w:r>
      <w:r>
        <w:rPr>
          <w:rFonts w:ascii="Century Gothic" w:hAnsi="Century Gothic" w:cs="Century Gothic" w:eastAsia="Century Gothic" w:hint="default"/>
        </w:rPr>
        <w:t>33</w:t>
      </w:r>
      <w:r>
        <w:rPr>
          <w:rFonts w:ascii="Century Gothic" w:hAnsi="Century Gothic" w:cs="Century Gothic" w:eastAsia="Century Gothic" w:hint="default"/>
          <w:spacing w:val="-8"/>
        </w:rPr>
        <w:t> </w:t>
      </w:r>
      <w:r>
        <w:rPr/>
        <w:t>号－合并财务报表》及相关规定的要求编制，合</w:t>
      </w:r>
    </w:p>
    <w:p>
      <w:pPr>
        <w:pStyle w:val="BodyText"/>
        <w:spacing w:line="357" w:lineRule="auto" w:before="0"/>
        <w:ind w:right="152"/>
        <w:jc w:val="left"/>
      </w:pPr>
      <w:r>
        <w:rPr>
          <w:spacing w:val="-2"/>
        </w:rPr>
        <w:t>并时合并范围内的所有重大内部交易和往来业已抵销。子公司的股东权益中不属于母公司所拥有的部</w:t>
      </w:r>
      <w:r>
        <w:rPr>
          <w:spacing w:val="-68"/>
        </w:rPr>
        <w:t> </w:t>
      </w:r>
      <w:r>
        <w:rPr>
          <w:spacing w:val="-68"/>
        </w:rPr>
      </w:r>
      <w:r>
        <w:rPr/>
        <w:t>分作为少数股东权益在合并财务报表中股东权益项下单独列示。</w:t>
      </w:r>
    </w:p>
    <w:p>
      <w:pPr>
        <w:pStyle w:val="BodyText"/>
        <w:spacing w:line="357" w:lineRule="auto" w:before="32"/>
        <w:ind w:right="152" w:firstLine="420"/>
        <w:jc w:val="left"/>
      </w:pPr>
      <w:r>
        <w:rPr>
          <w:spacing w:val="-2"/>
        </w:rPr>
        <w:t>子公司与本公司采用的会计政策或会计期间不一致的，在编制合并财务报表时，按照本公司的会</w:t>
      </w:r>
      <w:r>
        <w:rPr/>
        <w:t> 计政策或会计期间对子公司财务报表进行必要的调整。</w:t>
      </w:r>
    </w:p>
    <w:p>
      <w:pPr>
        <w:pStyle w:val="BodyText"/>
        <w:spacing w:line="240" w:lineRule="auto" w:before="31"/>
        <w:ind w:left="558" w:right="80"/>
        <w:jc w:val="left"/>
      </w:pPr>
      <w:r>
        <w:rPr/>
        <w:t>对于非同一控制下企业合并取得的子公司，在编制合并财务报表时，以购买日可辨认净资产公允</w:t>
      </w:r>
    </w:p>
    <w:p>
      <w:pPr>
        <w:spacing w:line="240" w:lineRule="auto" w:before="3"/>
        <w:rPr>
          <w:rFonts w:ascii="宋体" w:hAnsi="宋体" w:cs="宋体" w:eastAsia="宋体" w:hint="default"/>
          <w:sz w:val="25"/>
          <w:szCs w:val="25"/>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48</w:t>
      </w:r>
    </w:p>
    <w:p>
      <w:pPr>
        <w:spacing w:after="0"/>
        <w:jc w:val="center"/>
        <w:rPr>
          <w:rFonts w:ascii="Times New Roman" w:hAnsi="Times New Roman" w:cs="Times New Roman" w:eastAsia="Times New Roman" w:hint="default"/>
          <w:sz w:val="18"/>
          <w:szCs w:val="18"/>
        </w:rPr>
        <w:sectPr>
          <w:pgSz w:w="11910" w:h="16840"/>
          <w:pgMar w:top="780" w:bottom="280" w:left="1160" w:right="120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296"/>
        <w:jc w:val="left"/>
        <w:rPr>
          <w:b w:val="0"/>
          <w:bCs w:val="0"/>
        </w:rPr>
      </w:pPr>
      <w:r>
        <w:rPr/>
        <w:pict>
          <v:shape style="position:absolute;margin-left:70.860001pt;margin-top:-9.926001pt;width:84.0pt;height:23.94pt;mso-position-horizontal-relative:page;mso-position-vertical-relative:paragraph;z-index:4000"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57" w:lineRule="auto" w:before="0"/>
        <w:ind w:right="154"/>
        <w:jc w:val="both"/>
      </w:pPr>
      <w:r>
        <w:rPr>
          <w:spacing w:val="-2"/>
        </w:rPr>
        <w:t>价值为基础对其个别财务报表进行调整；对于同一控制下企业合并取得的子公司，在编制合并财务报</w:t>
      </w:r>
      <w:r>
        <w:rPr>
          <w:spacing w:val="-69"/>
        </w:rPr>
        <w:t> </w:t>
      </w:r>
      <w:r>
        <w:rPr>
          <w:spacing w:val="-69"/>
        </w:rPr>
      </w:r>
      <w:r>
        <w:rPr>
          <w:spacing w:val="-2"/>
        </w:rPr>
        <w:t>表时，视同合并后形成的报告主体自最终控制方开始实施控制时一直是一体化存续下来的，对合并资</w:t>
      </w:r>
      <w:r>
        <w:rPr>
          <w:spacing w:val="-69"/>
        </w:rPr>
        <w:t> </w:t>
      </w:r>
      <w:r>
        <w:rPr>
          <w:spacing w:val="-69"/>
        </w:rPr>
      </w:r>
      <w:r>
        <w:rPr/>
        <w:t>产负债表的期初数进行调整，同时对比较报表的相关项目进行调整。</w:t>
      </w:r>
    </w:p>
    <w:p>
      <w:pPr>
        <w:spacing w:line="357" w:lineRule="auto" w:before="32"/>
        <w:ind w:left="558" w:right="296"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78"/>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本公司在编制现金流量表时所确定的现金，是指本公司的库存现金以及可以随时用于支付的存</w:t>
      </w:r>
    </w:p>
    <w:p>
      <w:pPr>
        <w:pStyle w:val="BodyText"/>
        <w:spacing w:line="357" w:lineRule="auto" w:before="31"/>
        <w:ind w:right="153"/>
        <w:jc w:val="both"/>
      </w:pPr>
      <w:r>
        <w:rPr>
          <w:spacing w:val="-2"/>
        </w:rPr>
        <w:t>款；现金等价物，是指本公司持有的期限短、流动性强、易于转换为已知金额现金、价值变动风险很</w:t>
      </w:r>
      <w:r>
        <w:rPr>
          <w:spacing w:val="-69"/>
        </w:rPr>
        <w:t> </w:t>
      </w:r>
      <w:r>
        <w:rPr>
          <w:spacing w:val="-69"/>
        </w:rPr>
      </w:r>
      <w:r>
        <w:rPr/>
        <w:t>小的投资。</w:t>
      </w:r>
    </w:p>
    <w:p>
      <w:pPr>
        <w:pStyle w:val="Heading4"/>
        <w:spacing w:line="240" w:lineRule="auto" w:before="32"/>
        <w:ind w:right="296"/>
        <w:jc w:val="left"/>
        <w:rPr>
          <w:rFonts w:ascii="宋体" w:hAnsi="宋体" w:cs="宋体" w:eastAsia="宋体" w:hint="default"/>
          <w:b w:val="0"/>
          <w:bCs w:val="0"/>
        </w:rPr>
      </w:pPr>
      <w:r>
        <w:rPr>
          <w:rFonts w:ascii="宋体" w:hAnsi="宋体" w:cs="宋体" w:eastAsia="宋体" w:hint="default"/>
        </w:rPr>
        <w:t>（八）</w:t>
      </w:r>
      <w:r>
        <w:rPr>
          <w:rFonts w:ascii="宋体" w:hAnsi="宋体" w:cs="宋体" w:eastAsia="宋体" w:hint="default"/>
          <w:spacing w:val="-86"/>
        </w:rPr>
        <w:t> </w:t>
      </w:r>
      <w:r>
        <w:rPr>
          <w:rFonts w:ascii="宋体" w:hAnsi="宋体" w:cs="宋体" w:eastAsia="宋体" w:hint="default"/>
        </w:rPr>
        <w:t>外币业务和外币报表折算</w:t>
      </w:r>
      <w:r>
        <w:rPr>
          <w:rFonts w:ascii="宋体" w:hAnsi="宋体" w:cs="宋体" w:eastAsia="宋体" w:hint="default"/>
          <w:b w:val="0"/>
          <w:bCs w:val="0"/>
        </w:rPr>
      </w:r>
    </w:p>
    <w:p>
      <w:pPr>
        <w:pStyle w:val="BodyText"/>
        <w:spacing w:line="336" w:lineRule="auto" w:before="134"/>
        <w:ind w:left="558" w:right="86" w:firstLine="120"/>
        <w:jc w:val="left"/>
      </w:pPr>
      <w:r>
        <w:rPr>
          <w:rFonts w:ascii="Century Gothic" w:hAnsi="Century Gothic" w:cs="Century Gothic" w:eastAsia="Century Gothic" w:hint="default"/>
          <w:b/>
          <w:bCs/>
        </w:rPr>
        <w:t>1.</w:t>
      </w:r>
      <w:r>
        <w:rPr>
          <w:rFonts w:ascii="Century Gothic" w:hAnsi="Century Gothic" w:cs="Century Gothic" w:eastAsia="Century Gothic" w:hint="default"/>
          <w:b/>
          <w:bCs/>
          <w:spacing w:val="3"/>
        </w:rPr>
        <w:t> </w:t>
      </w:r>
      <w:r>
        <w:rPr>
          <w:rFonts w:ascii="宋体" w:hAnsi="宋体" w:cs="宋体" w:eastAsia="宋体" w:hint="default"/>
          <w:b/>
          <w:bCs/>
        </w:rPr>
        <w:t>外币业务</w:t>
      </w:r>
      <w:r>
        <w:rPr>
          <w:rFonts w:ascii="宋体" w:hAnsi="宋体" w:cs="宋体" w:eastAsia="宋体" w:hint="default"/>
          <w:b/>
          <w:bCs/>
          <w:w w:val="99"/>
        </w:rPr>
        <w:t> </w:t>
      </w:r>
      <w:r>
        <w:rPr>
          <w:spacing w:val="-2"/>
        </w:rPr>
        <w:t>本公司对发生的外币业务，采用业务发生日中国人民银行授权中国外汇交易中心公布的中间价折</w:t>
      </w:r>
    </w:p>
    <w:p>
      <w:pPr>
        <w:pStyle w:val="BodyText"/>
        <w:spacing w:line="357" w:lineRule="auto" w:before="50"/>
        <w:ind w:right="154"/>
        <w:jc w:val="both"/>
      </w:pPr>
      <w:r>
        <w:rPr>
          <w:spacing w:val="-2"/>
        </w:rPr>
        <w:t>合为人民币记账。资产负债表日，外币货币性项目按中国人民银行授权中国外汇交易中心公布的中间</w:t>
      </w:r>
      <w:r>
        <w:rPr>
          <w:spacing w:val="-69"/>
        </w:rPr>
        <w:t> </w:t>
      </w:r>
      <w:r>
        <w:rPr>
          <w:spacing w:val="-69"/>
        </w:rPr>
      </w:r>
      <w:r>
        <w:rPr>
          <w:spacing w:val="-2"/>
        </w:rPr>
        <w:t>价折算，由此产生的汇兑损益，除属于与符合资本化条件资产有关的借款产生的汇兑损益，予以资本</w:t>
      </w:r>
      <w:r>
        <w:rPr>
          <w:spacing w:val="-68"/>
        </w:rPr>
        <w:t> </w:t>
      </w:r>
      <w:r>
        <w:rPr>
          <w:spacing w:val="-68"/>
        </w:rPr>
      </w:r>
      <w:r>
        <w:rPr>
          <w:spacing w:val="-2"/>
        </w:rPr>
        <w:t>化计入相关资产成本外，其余计入当期损益。以历史成本计量的外币非货币性项目，仍采用业务发生</w:t>
      </w:r>
      <w:r>
        <w:rPr>
          <w:spacing w:val="-68"/>
        </w:rPr>
        <w:t> </w:t>
      </w:r>
      <w:r>
        <w:rPr>
          <w:spacing w:val="-68"/>
        </w:rPr>
      </w:r>
      <w:r>
        <w:rPr/>
        <w:t>日中国人民银行授权中国外汇交易中心公布的中间价折算，不改变其记账本位币金额。</w:t>
      </w:r>
    </w:p>
    <w:p>
      <w:pPr>
        <w:spacing w:line="338" w:lineRule="auto" w:before="31"/>
        <w:ind w:left="558" w:right="86" w:firstLine="120"/>
        <w:jc w:val="left"/>
        <w:rPr>
          <w:rFonts w:ascii="宋体" w:hAnsi="宋体" w:cs="宋体" w:eastAsia="宋体" w:hint="default"/>
          <w:sz w:val="21"/>
          <w:szCs w:val="21"/>
        </w:rPr>
      </w:pPr>
      <w:r>
        <w:rPr>
          <w:rFonts w:ascii="Century Gothic" w:hAnsi="Century Gothic" w:cs="Century Gothic" w:eastAsia="Century Gothic" w:hint="default"/>
          <w:b/>
          <w:bCs/>
          <w:sz w:val="21"/>
          <w:szCs w:val="21"/>
        </w:rPr>
        <w:t>2.</w:t>
      </w:r>
      <w:r>
        <w:rPr>
          <w:rFonts w:ascii="Century Gothic" w:hAnsi="Century Gothic" w:cs="Century Gothic" w:eastAsia="Century Gothic" w:hint="default"/>
          <w:b/>
          <w:bCs/>
          <w:spacing w:val="3"/>
          <w:sz w:val="21"/>
          <w:szCs w:val="21"/>
        </w:rPr>
        <w:t> </w:t>
      </w:r>
      <w:r>
        <w:rPr>
          <w:rFonts w:ascii="宋体" w:hAnsi="宋体" w:cs="宋体" w:eastAsia="宋体" w:hint="default"/>
          <w:b/>
          <w:bCs/>
          <w:sz w:val="21"/>
          <w:szCs w:val="21"/>
        </w:rPr>
        <w:t>外币财务报表折算</w:t>
      </w:r>
      <w:r>
        <w:rPr>
          <w:rFonts w:ascii="宋体" w:hAnsi="宋体" w:cs="宋体" w:eastAsia="宋体" w:hint="default"/>
          <w:b/>
          <w:bCs/>
          <w:w w:val="99"/>
          <w:sz w:val="21"/>
          <w:szCs w:val="21"/>
        </w:rPr>
        <w:t> </w:t>
      </w:r>
      <w:r>
        <w:rPr>
          <w:rFonts w:ascii="宋体" w:hAnsi="宋体" w:cs="宋体" w:eastAsia="宋体" w:hint="default"/>
          <w:sz w:val="21"/>
          <w:szCs w:val="21"/>
        </w:rPr>
        <w:t>本公司对合并范围内境外经营实体的财务报表（含采用不同于本公司记账本位币的境内子公司、</w:t>
      </w:r>
    </w:p>
    <w:p>
      <w:pPr>
        <w:pStyle w:val="BodyText"/>
        <w:spacing w:line="357" w:lineRule="auto" w:before="48"/>
        <w:ind w:left="558" w:right="86" w:hanging="420"/>
        <w:jc w:val="left"/>
      </w:pPr>
      <w:r>
        <w:rPr/>
        <w:t>合营企业、联营企业、分支机构等），折算为人民币财务报表进行编报。 </w:t>
      </w:r>
      <w:r>
        <w:rPr>
          <w:spacing w:val="-2"/>
        </w:rPr>
        <w:t>资产负债表中的资产和负债项目，采用资产负债表日中国人民银行授权中国外汇交易中心公布的</w:t>
      </w:r>
    </w:p>
    <w:p>
      <w:pPr>
        <w:pStyle w:val="BodyText"/>
        <w:spacing w:line="352" w:lineRule="auto" w:before="31"/>
        <w:ind w:right="154"/>
        <w:jc w:val="both"/>
      </w:pPr>
      <w:r>
        <w:rPr>
          <w:spacing w:val="-2"/>
        </w:rPr>
        <w:t>中间价折算，所有者权益项目除</w:t>
      </w:r>
      <w:r>
        <w:rPr>
          <w:rFonts w:ascii="Century Gothic" w:hAnsi="Century Gothic" w:cs="Century Gothic" w:eastAsia="Century Gothic" w:hint="default"/>
          <w:spacing w:val="-2"/>
        </w:rPr>
        <w:t>“</w:t>
      </w:r>
      <w:r>
        <w:rPr>
          <w:spacing w:val="-2"/>
        </w:rPr>
        <w:t>未分配利润</w:t>
      </w:r>
      <w:r>
        <w:rPr>
          <w:rFonts w:ascii="Century Gothic" w:hAnsi="Century Gothic" w:cs="Century Gothic" w:eastAsia="Century Gothic" w:hint="default"/>
          <w:spacing w:val="-2"/>
        </w:rPr>
        <w:t>”</w:t>
      </w:r>
      <w:r>
        <w:rPr>
          <w:spacing w:val="-2"/>
        </w:rPr>
        <w:t>项目外，其他项目采用发生时中国人民银行授权中国外</w:t>
      </w:r>
      <w:r>
        <w:rPr>
          <w:spacing w:val="-63"/>
        </w:rPr>
        <w:t> </w:t>
      </w:r>
      <w:r>
        <w:rPr>
          <w:spacing w:val="-63"/>
        </w:rPr>
      </w:r>
      <w:r>
        <w:rPr>
          <w:spacing w:val="-2"/>
        </w:rPr>
        <w:t>汇交易中心公布的中间价折算。利润表中的收入和费用项目，采用与交易发生日即期汇率近似的汇率</w:t>
      </w:r>
      <w:r>
        <w:rPr>
          <w:spacing w:val="-69"/>
        </w:rPr>
        <w:t> </w:t>
      </w:r>
      <w:r>
        <w:rPr>
          <w:spacing w:val="-69"/>
        </w:rPr>
      </w:r>
      <w:r>
        <w:rPr>
          <w:spacing w:val="-2"/>
        </w:rPr>
        <w:t>折算。折算产生的外币财务报表折算差额，在资产负债表中所有者权益项目下单独列示。外币现金流</w:t>
      </w:r>
      <w:r>
        <w:rPr>
          <w:spacing w:val="-68"/>
        </w:rPr>
        <w:t> </w:t>
      </w:r>
      <w:r>
        <w:rPr>
          <w:spacing w:val="-68"/>
        </w:rPr>
      </w:r>
      <w:r>
        <w:rPr>
          <w:spacing w:val="-2"/>
        </w:rPr>
        <w:t>量采用现金流量发生日中国人民银行授权中国外汇交易中心公布的中间价折算。汇率变动对现金的影</w:t>
      </w:r>
      <w:r>
        <w:rPr>
          <w:spacing w:val="-68"/>
        </w:rPr>
        <w:t> </w:t>
      </w:r>
      <w:r>
        <w:rPr>
          <w:spacing w:val="-68"/>
        </w:rPr>
      </w:r>
      <w:r>
        <w:rPr/>
        <w:t>响额，在现金流量表中单独列示。</w:t>
      </w:r>
    </w:p>
    <w:p>
      <w:pPr>
        <w:pStyle w:val="BodyText"/>
        <w:spacing w:line="240" w:lineRule="auto" w:before="37"/>
        <w:ind w:left="558" w:right="296"/>
        <w:jc w:val="left"/>
      </w:pPr>
      <w:r>
        <w:rPr/>
        <w:t>处置境外经营时，与该境外经营有关的外币报表折算差额，按比例转入处置当期损益。</w:t>
      </w:r>
    </w:p>
    <w:p>
      <w:pPr>
        <w:pStyle w:val="Heading4"/>
        <w:spacing w:line="240" w:lineRule="auto" w:before="134"/>
        <w:ind w:right="296"/>
        <w:jc w:val="left"/>
        <w:rPr>
          <w:rFonts w:ascii="宋体" w:hAnsi="宋体" w:cs="宋体" w:eastAsia="宋体" w:hint="default"/>
          <w:b w:val="0"/>
          <w:bCs w:val="0"/>
        </w:rPr>
      </w:pPr>
      <w:r>
        <w:rPr>
          <w:rFonts w:ascii="宋体" w:hAnsi="宋体" w:cs="宋体" w:eastAsia="宋体" w:hint="default"/>
        </w:rPr>
        <w:t>（九）</w:t>
      </w:r>
      <w:r>
        <w:rPr>
          <w:rFonts w:ascii="宋体" w:hAnsi="宋体" w:cs="宋体" w:eastAsia="宋体" w:hint="default"/>
          <w:spacing w:val="-81"/>
        </w:rPr>
        <w:t> </w:t>
      </w:r>
      <w:r>
        <w:rPr>
          <w:rFonts w:ascii="宋体" w:hAnsi="宋体" w:cs="宋体" w:eastAsia="宋体" w:hint="default"/>
        </w:rPr>
        <w:t>金融工具</w:t>
      </w:r>
      <w:r>
        <w:rPr>
          <w:rFonts w:ascii="宋体" w:hAnsi="宋体" w:cs="宋体" w:eastAsia="宋体" w:hint="default"/>
          <w:b w:val="0"/>
          <w:bCs w:val="0"/>
        </w:rPr>
      </w:r>
    </w:p>
    <w:p>
      <w:pPr>
        <w:spacing w:line="336" w:lineRule="auto" w:before="134"/>
        <w:ind w:left="558" w:right="86" w:firstLine="2"/>
        <w:jc w:val="left"/>
        <w:rPr>
          <w:rFonts w:ascii="宋体" w:hAnsi="宋体" w:cs="宋体" w:eastAsia="宋体" w:hint="default"/>
          <w:sz w:val="21"/>
          <w:szCs w:val="21"/>
        </w:rPr>
      </w:pPr>
      <w:r>
        <w:rPr>
          <w:rFonts w:ascii="Century Gothic" w:hAnsi="Century Gothic" w:cs="Century Gothic" w:eastAsia="Century Gothic" w:hint="default"/>
          <w:b/>
          <w:bCs/>
          <w:sz w:val="21"/>
          <w:szCs w:val="21"/>
        </w:rPr>
        <w:t>1.</w:t>
      </w:r>
      <w:r>
        <w:rPr>
          <w:rFonts w:ascii="Century Gothic" w:hAnsi="Century Gothic" w:cs="Century Gothic" w:eastAsia="Century Gothic" w:hint="default"/>
          <w:b/>
          <w:bCs/>
          <w:spacing w:val="41"/>
          <w:sz w:val="21"/>
          <w:szCs w:val="21"/>
        </w:rPr>
        <w:t> </w:t>
      </w:r>
      <w:r>
        <w:rPr>
          <w:rFonts w:ascii="宋体" w:hAnsi="宋体" w:cs="宋体" w:eastAsia="宋体" w:hint="default"/>
          <w:b/>
          <w:bCs/>
          <w:sz w:val="21"/>
          <w:szCs w:val="21"/>
        </w:rPr>
        <w:t>金融工具的分类、确认依据和计量方法</w:t>
      </w:r>
      <w:r>
        <w:rPr>
          <w:rFonts w:ascii="宋体" w:hAnsi="宋体" w:cs="宋体" w:eastAsia="宋体" w:hint="default"/>
          <w:b/>
          <w:bCs/>
          <w:w w:val="99"/>
          <w:sz w:val="21"/>
          <w:szCs w:val="21"/>
        </w:rPr>
        <w:t> </w:t>
      </w:r>
      <w:r>
        <w:rPr>
          <w:rFonts w:ascii="宋体" w:hAnsi="宋体" w:cs="宋体" w:eastAsia="宋体" w:hint="default"/>
          <w:spacing w:val="-2"/>
          <w:sz w:val="21"/>
          <w:szCs w:val="21"/>
        </w:rPr>
        <w:t>本公司的金融资产包括：应收款项（相关说明见附注二之（十））。金融资产的分类取决于本公</w:t>
      </w:r>
    </w:p>
    <w:p>
      <w:pPr>
        <w:pStyle w:val="BodyText"/>
        <w:spacing w:line="357" w:lineRule="auto" w:before="51"/>
        <w:ind w:left="558" w:right="4706" w:hanging="420"/>
        <w:jc w:val="left"/>
      </w:pPr>
      <w:r>
        <w:rPr/>
        <w:t>司及其子公司对金融资产的持有意图和持有能力。 本公司的金融负债包括：其他金融负债。</w:t>
      </w:r>
    </w:p>
    <w:p>
      <w:pPr>
        <w:pStyle w:val="BodyText"/>
        <w:spacing w:line="336" w:lineRule="auto" w:before="31"/>
        <w:ind w:left="558" w:right="296"/>
        <w:jc w:val="left"/>
      </w:pPr>
      <w:r>
        <w:rPr/>
        <w:t>（</w:t>
      </w:r>
      <w:r>
        <w:rPr>
          <w:rFonts w:ascii="Century Gothic" w:hAnsi="Century Gothic" w:cs="Century Gothic" w:eastAsia="Century Gothic" w:hint="default"/>
        </w:rPr>
        <w:t>1</w:t>
      </w:r>
      <w:r>
        <w:rPr/>
        <w:t>）其他金融负债 本公司的其他金融负债是指除以公允价值计量且其变动计入当期损益的金融负债以外的金融负</w:t>
      </w:r>
    </w:p>
    <w:p>
      <w:pPr>
        <w:pStyle w:val="BodyText"/>
        <w:spacing w:line="357" w:lineRule="auto" w:before="51"/>
        <w:ind w:right="153"/>
        <w:jc w:val="both"/>
      </w:pPr>
      <w:r>
        <w:rPr>
          <w:spacing w:val="-2"/>
        </w:rPr>
        <w:t>债。主要包括企业发行的债券、因购买商品产生的应付账款、长期应付款等。其他金融负债按其公允</w:t>
      </w:r>
      <w:r>
        <w:rPr>
          <w:spacing w:val="-67"/>
        </w:rPr>
        <w:t> </w:t>
      </w:r>
      <w:r>
        <w:rPr>
          <w:spacing w:val="-67"/>
        </w:rPr>
      </w:r>
      <w:r>
        <w:rPr/>
        <w:t>价值和相关交易费用之和作为初始确认金额。采用摊余成本进行后续计量。</w:t>
      </w:r>
    </w:p>
    <w:p>
      <w:pPr>
        <w:pStyle w:val="BodyText"/>
        <w:spacing w:line="240" w:lineRule="auto" w:before="31"/>
        <w:ind w:left="558" w:right="0"/>
        <w:jc w:val="left"/>
      </w:pPr>
      <w:r>
        <w:rPr/>
        <w:t>本公司拥有的其他不属于以公允价值计量且其变动计入当期损益的金融负债的财务担保合同等，</w:t>
      </w:r>
    </w:p>
    <w:p>
      <w:pPr>
        <w:spacing w:line="240" w:lineRule="auto" w:before="3"/>
        <w:rPr>
          <w:rFonts w:ascii="宋体" w:hAnsi="宋体" w:cs="宋体" w:eastAsia="宋体" w:hint="default"/>
          <w:sz w:val="25"/>
          <w:szCs w:val="25"/>
        </w:rPr>
      </w:pPr>
    </w:p>
    <w:p>
      <w:pPr>
        <w:spacing w:before="76"/>
        <w:ind w:left="4623" w:right="4640" w:firstLine="0"/>
        <w:jc w:val="center"/>
        <w:rPr>
          <w:rFonts w:ascii="Times New Roman" w:hAnsi="Times New Roman" w:cs="Times New Roman" w:eastAsia="Times New Roman" w:hint="default"/>
          <w:sz w:val="18"/>
          <w:szCs w:val="18"/>
        </w:rPr>
      </w:pPr>
      <w:r>
        <w:rPr>
          <w:rFonts w:ascii="Times New Roman"/>
          <w:sz w:val="18"/>
        </w:rPr>
        <w:t>49</w:t>
      </w:r>
    </w:p>
    <w:p>
      <w:pPr>
        <w:spacing w:after="0"/>
        <w:jc w:val="center"/>
        <w:rPr>
          <w:rFonts w:ascii="Times New Roman" w:hAnsi="Times New Roman" w:cs="Times New Roman" w:eastAsia="Times New Roman" w:hint="default"/>
          <w:sz w:val="18"/>
          <w:szCs w:val="18"/>
        </w:rPr>
        <w:sectPr>
          <w:pgSz w:w="11910" w:h="16840"/>
          <w:pgMar w:top="780" w:bottom="280" w:left="1280" w:right="114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296"/>
        <w:jc w:val="left"/>
        <w:rPr>
          <w:b w:val="0"/>
          <w:bCs w:val="0"/>
        </w:rPr>
      </w:pPr>
      <w:r>
        <w:rPr/>
        <w:pict>
          <v:shape style="position:absolute;margin-left:64.860001pt;margin-top:-9.926001pt;width:84.0pt;height:23.94pt;mso-position-horizontal-relative:page;mso-position-vertical-relative:paragraph;z-index:4048"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0"/>
        <w:ind w:right="0"/>
        <w:jc w:val="both"/>
      </w:pPr>
      <w:r>
        <w:rPr/>
        <w:t>按其公允价值和相关交易费用之和作为初始确认金额。在初始计量后按《企业会计准则第</w:t>
      </w:r>
      <w:r>
        <w:rPr>
          <w:spacing w:val="-54"/>
        </w:rPr>
        <w:t> </w:t>
      </w:r>
      <w:r>
        <w:rPr>
          <w:rFonts w:ascii="Century Gothic" w:hAnsi="Century Gothic" w:cs="Century Gothic" w:eastAsia="Century Gothic" w:hint="default"/>
        </w:rPr>
        <w:t>13</w:t>
      </w:r>
      <w:r>
        <w:rPr>
          <w:rFonts w:ascii="Century Gothic" w:hAnsi="Century Gothic" w:cs="Century Gothic" w:eastAsia="Century Gothic" w:hint="default"/>
          <w:spacing w:val="-8"/>
        </w:rPr>
        <w:t> </w:t>
      </w:r>
      <w:r>
        <w:rPr/>
        <w:t>号－或</w:t>
      </w:r>
    </w:p>
    <w:p>
      <w:pPr>
        <w:pStyle w:val="BodyText"/>
        <w:spacing w:line="336" w:lineRule="auto"/>
        <w:ind w:right="185"/>
        <w:jc w:val="both"/>
      </w:pPr>
      <w:r>
        <w:rPr/>
        <w:t>有事项》确定的金额，和按《企业会计准则第</w:t>
      </w:r>
      <w:r>
        <w:rPr>
          <w:spacing w:val="-54"/>
        </w:rPr>
        <w:t> </w:t>
      </w:r>
      <w:r>
        <w:rPr>
          <w:rFonts w:ascii="Century Gothic" w:hAnsi="Century Gothic" w:cs="Century Gothic" w:eastAsia="Century Gothic" w:hint="default"/>
        </w:rPr>
        <w:t>14</w:t>
      </w:r>
      <w:r>
        <w:rPr>
          <w:rFonts w:ascii="Century Gothic" w:hAnsi="Century Gothic" w:cs="Century Gothic" w:eastAsia="Century Gothic" w:hint="default"/>
          <w:spacing w:val="-7"/>
        </w:rPr>
        <w:t> </w:t>
      </w:r>
      <w:r>
        <w:rPr/>
        <w:t>号</w:t>
      </w:r>
      <w:r>
        <w:rPr>
          <w:rFonts w:ascii="Century Gothic" w:hAnsi="Century Gothic" w:cs="Century Gothic" w:eastAsia="Century Gothic" w:hint="default"/>
        </w:rPr>
        <w:t>—</w:t>
      </w:r>
      <w:r>
        <w:rPr/>
        <w:t>收入》的原则确定的累计摊销额后的余额两者 中的较高者进行后续计量。</w:t>
      </w:r>
    </w:p>
    <w:p>
      <w:pPr>
        <w:spacing w:line="336" w:lineRule="auto" w:before="51"/>
        <w:ind w:left="558" w:right="4706" w:firstLine="2"/>
        <w:jc w:val="left"/>
        <w:rPr>
          <w:rFonts w:ascii="宋体" w:hAnsi="宋体" w:cs="宋体" w:eastAsia="宋体" w:hint="default"/>
          <w:sz w:val="21"/>
          <w:szCs w:val="21"/>
        </w:rPr>
      </w:pPr>
      <w:r>
        <w:rPr>
          <w:rFonts w:ascii="Century Gothic" w:hAnsi="Century Gothic" w:cs="Century Gothic" w:eastAsia="Century Gothic" w:hint="default"/>
          <w:b/>
          <w:bCs/>
          <w:sz w:val="21"/>
          <w:szCs w:val="21"/>
        </w:rPr>
        <w:t>2.</w:t>
      </w:r>
      <w:r>
        <w:rPr>
          <w:rFonts w:ascii="Century Gothic" w:hAnsi="Century Gothic" w:cs="Century Gothic" w:eastAsia="Century Gothic" w:hint="default"/>
          <w:b/>
          <w:bCs/>
          <w:spacing w:val="40"/>
          <w:sz w:val="21"/>
          <w:szCs w:val="21"/>
        </w:rPr>
        <w:t> </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z w:val="21"/>
          <w:szCs w:val="21"/>
        </w:rPr>
        <w:t>本公司的金融资产转移，包括下列两种情形：</w:t>
      </w:r>
    </w:p>
    <w:p>
      <w:pPr>
        <w:pStyle w:val="BodyText"/>
        <w:spacing w:line="240" w:lineRule="auto" w:before="50"/>
        <w:ind w:left="558" w:right="296"/>
        <w:jc w:val="left"/>
      </w:pPr>
      <w:r>
        <w:rPr/>
        <w:t>（</w:t>
      </w:r>
      <w:r>
        <w:rPr>
          <w:rFonts w:ascii="Century Gothic" w:hAnsi="Century Gothic" w:cs="Century Gothic" w:eastAsia="Century Gothic" w:hint="default"/>
        </w:rPr>
        <w:t>1</w:t>
      </w:r>
      <w:r>
        <w:rPr/>
        <w:t>）将收取金融资产现金流量的权利转移给另一方；</w:t>
      </w:r>
    </w:p>
    <w:p>
      <w:pPr>
        <w:pStyle w:val="BodyText"/>
        <w:spacing w:line="338" w:lineRule="auto"/>
        <w:ind w:right="180" w:firstLine="420"/>
        <w:jc w:val="left"/>
      </w:pPr>
      <w:r>
        <w:rPr/>
        <w:t>（</w:t>
      </w:r>
      <w:r>
        <w:rPr>
          <w:rFonts w:ascii="Century Gothic" w:hAnsi="Century Gothic" w:cs="Century Gothic" w:eastAsia="Century Gothic" w:hint="default"/>
        </w:rPr>
        <w:t>2</w:t>
      </w:r>
      <w:r>
        <w:rPr/>
        <w:t>）将金融资产转移给另一方，但保留收取金融资产现金流量的权利，并承担将收取的现金流 量支付给最终收款方的义务，同时满足下列条件：</w:t>
      </w:r>
    </w:p>
    <w:p>
      <w:pPr>
        <w:pStyle w:val="BodyText"/>
        <w:spacing w:line="336" w:lineRule="auto" w:before="48"/>
        <w:ind w:right="141" w:firstLine="420"/>
        <w:jc w:val="left"/>
      </w:pPr>
      <w:r>
        <w:rPr>
          <w:rFonts w:ascii="Century Gothic" w:hAnsi="Century Gothic" w:cs="Century Gothic" w:eastAsia="Century Gothic" w:hint="default"/>
        </w:rPr>
        <w:t>A</w:t>
      </w:r>
      <w:r>
        <w:rPr/>
        <w:t>．从该金融资产收到对等的现金流量时，才有义务将其支付给最终收款方。企业发生短期垫付 款，但有权全额收回该垫付款并按照市场上同期银行贷款利率计收利息的，视同满足本条件。</w:t>
      </w:r>
    </w:p>
    <w:p>
      <w:pPr>
        <w:pStyle w:val="BodyText"/>
        <w:spacing w:line="338" w:lineRule="auto" w:before="50"/>
        <w:ind w:right="175" w:firstLine="420"/>
        <w:jc w:val="left"/>
      </w:pPr>
      <w:r>
        <w:rPr>
          <w:rFonts w:ascii="Century Gothic" w:hAnsi="Century Gothic" w:cs="Century Gothic" w:eastAsia="Century Gothic" w:hint="default"/>
        </w:rPr>
        <w:t>B</w:t>
      </w:r>
      <w:r>
        <w:rPr/>
        <w:t>．根据合同约定，不能出售该金融资产或作为担保物，但可以将其作为对最终收款方支付现金 流量的保证。</w:t>
      </w:r>
    </w:p>
    <w:p>
      <w:pPr>
        <w:pStyle w:val="BodyText"/>
        <w:spacing w:line="348" w:lineRule="auto" w:before="48"/>
        <w:ind w:right="154" w:firstLine="420"/>
        <w:jc w:val="both"/>
      </w:pPr>
      <w:r>
        <w:rPr>
          <w:rFonts w:ascii="Century Gothic" w:hAnsi="Century Gothic" w:cs="Century Gothic" w:eastAsia="Century Gothic" w:hint="default"/>
          <w:spacing w:val="-1"/>
        </w:rPr>
        <w:t>C</w:t>
      </w:r>
      <w:r>
        <w:rPr>
          <w:spacing w:val="-1"/>
        </w:rPr>
        <w:t>．有义务将收取的现金流量及时支付给最终收款方。公司无权将该现金流量进行再投资，但按</w:t>
      </w:r>
      <w:r>
        <w:rPr/>
        <w:t> </w:t>
      </w:r>
      <w:r>
        <w:rPr>
          <w:spacing w:val="-2"/>
        </w:rPr>
        <w:t>照合同约定在相邻两次支付间隔期内将所收到的现金流量进行现金或现金等价物投资的除外。公司按</w:t>
      </w:r>
      <w:r>
        <w:rPr>
          <w:spacing w:val="-68"/>
        </w:rPr>
        <w:t> </w:t>
      </w:r>
      <w:r>
        <w:rPr>
          <w:spacing w:val="-68"/>
        </w:rPr>
      </w:r>
      <w:r>
        <w:rPr/>
        <w:t>照合同约定进行再投资的，应当将投资收益按照合同约定支付给最终收款方。</w:t>
      </w:r>
    </w:p>
    <w:p>
      <w:pPr>
        <w:pStyle w:val="BodyText"/>
        <w:spacing w:line="357" w:lineRule="auto" w:before="41"/>
        <w:ind w:right="86" w:firstLine="420"/>
        <w:jc w:val="left"/>
      </w:pPr>
      <w:r>
        <w:rPr>
          <w:spacing w:val="-2"/>
        </w:rPr>
        <w:t>已将金融资产所有权上几乎所有的风险和报酬转移给转入方的，终止确认该金融资产；保留了金</w:t>
      </w:r>
      <w:r>
        <w:rPr/>
        <w:t> 融资产所有权上几乎所有的风险和报酬的，不终止确认该金融资产。</w:t>
      </w:r>
    </w:p>
    <w:p>
      <w:pPr>
        <w:pStyle w:val="BodyText"/>
        <w:spacing w:line="240" w:lineRule="auto" w:before="31"/>
        <w:ind w:left="558" w:right="296"/>
        <w:jc w:val="left"/>
      </w:pPr>
      <w:r>
        <w:rPr/>
        <w:t>既没有转移也没有保留金融资产所有权上几乎所有的风险和报酬的，分别下列情况处理：</w:t>
      </w:r>
    </w:p>
    <w:p>
      <w:pPr>
        <w:pStyle w:val="BodyText"/>
        <w:spacing w:line="240" w:lineRule="auto" w:before="134"/>
        <w:ind w:left="558" w:right="296"/>
        <w:jc w:val="left"/>
      </w:pPr>
      <w:r>
        <w:rPr/>
        <w:t>（</w:t>
      </w:r>
      <w:r>
        <w:rPr>
          <w:rFonts w:ascii="Century Gothic" w:hAnsi="Century Gothic" w:cs="Century Gothic" w:eastAsia="Century Gothic" w:hint="default"/>
        </w:rPr>
        <w:t>1</w:t>
      </w:r>
      <w:r>
        <w:rPr/>
        <w:t>）放弃了对该金融资产控制的，终止确认该金融资产。</w:t>
      </w:r>
    </w:p>
    <w:p>
      <w:pPr>
        <w:pStyle w:val="BodyText"/>
        <w:spacing w:line="336" w:lineRule="auto" w:before="119"/>
        <w:ind w:right="180" w:firstLine="420"/>
        <w:jc w:val="left"/>
      </w:pPr>
      <w:r>
        <w:rPr/>
        <w:t>（</w:t>
      </w:r>
      <w:r>
        <w:rPr>
          <w:rFonts w:ascii="Century Gothic" w:hAnsi="Century Gothic" w:cs="Century Gothic" w:eastAsia="Century Gothic" w:hint="default"/>
        </w:rPr>
        <w:t>2</w:t>
      </w:r>
      <w:r>
        <w:rPr/>
        <w:t>）未放弃对该金融资产控制的，按照其继续涉入所转移金融资产的程度确认有关金融资产， 并相应确认有关负债。</w:t>
      </w:r>
    </w:p>
    <w:p>
      <w:pPr>
        <w:spacing w:line="336" w:lineRule="auto" w:before="50"/>
        <w:ind w:left="558" w:right="86" w:firstLine="0"/>
        <w:jc w:val="left"/>
        <w:rPr>
          <w:rFonts w:ascii="宋体" w:hAnsi="宋体" w:cs="宋体" w:eastAsia="宋体" w:hint="default"/>
          <w:sz w:val="21"/>
          <w:szCs w:val="21"/>
        </w:rPr>
      </w:pPr>
      <w:r>
        <w:rPr>
          <w:rFonts w:ascii="Century Gothic" w:hAnsi="Century Gothic" w:cs="Century Gothic" w:eastAsia="Century Gothic" w:hint="default"/>
          <w:b/>
          <w:bCs/>
          <w:sz w:val="21"/>
          <w:szCs w:val="21"/>
        </w:rPr>
        <w:t>3.</w:t>
      </w:r>
      <w:r>
        <w:rPr>
          <w:rFonts w:ascii="Century Gothic" w:hAnsi="Century Gothic" w:cs="Century Gothic" w:eastAsia="Century Gothic" w:hint="default"/>
          <w:b/>
          <w:bCs/>
          <w:spacing w:val="43"/>
          <w:sz w:val="21"/>
          <w:szCs w:val="21"/>
        </w:rPr>
        <w:t> </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2"/>
          <w:sz w:val="21"/>
          <w:szCs w:val="21"/>
        </w:rPr>
        <w:t>金融负债的现时义务全部或部分已经解除的，终止确认该金融负债或其一部分。金融负债全部或</w:t>
      </w:r>
    </w:p>
    <w:p>
      <w:pPr>
        <w:pStyle w:val="BodyText"/>
        <w:spacing w:line="357" w:lineRule="auto" w:before="51"/>
        <w:ind w:right="154"/>
        <w:jc w:val="both"/>
      </w:pPr>
      <w:r>
        <w:rPr>
          <w:spacing w:val="-2"/>
        </w:rPr>
        <w:t>部分终止确认的，将终止确认部分的账面价值与支付的对价（包括转出的非现金资产或承担的新金融</w:t>
      </w:r>
      <w:r>
        <w:rPr>
          <w:spacing w:val="-69"/>
        </w:rPr>
        <w:t> </w:t>
      </w:r>
      <w:r>
        <w:rPr>
          <w:spacing w:val="-69"/>
        </w:rPr>
      </w:r>
      <w:r>
        <w:rPr/>
        <w:t>负债）之间的差额，计入当期损益。</w:t>
      </w:r>
    </w:p>
    <w:p>
      <w:pPr>
        <w:pStyle w:val="BodyText"/>
        <w:spacing w:line="357" w:lineRule="auto" w:before="31"/>
        <w:ind w:left="558" w:right="86"/>
        <w:jc w:val="left"/>
      </w:pPr>
      <w:r>
        <w:rPr>
          <w:rFonts w:ascii="宋体" w:hAnsi="宋体" w:cs="宋体" w:eastAsia="宋体" w:hint="default"/>
          <w:b/>
          <w:bCs/>
        </w:rPr>
        <w:t>（十）</w:t>
      </w:r>
      <w:r>
        <w:rPr>
          <w:rFonts w:ascii="宋体" w:hAnsi="宋体" w:cs="宋体" w:eastAsia="宋体" w:hint="default"/>
          <w:b/>
          <w:bCs/>
          <w:spacing w:val="-77"/>
        </w:rPr>
        <w:t> </w:t>
      </w:r>
      <w:r>
        <w:rPr>
          <w:rFonts w:ascii="宋体" w:hAnsi="宋体" w:cs="宋体" w:eastAsia="宋体" w:hint="default"/>
          <w:b/>
          <w:bCs/>
        </w:rPr>
        <w:t>应收款项</w:t>
      </w:r>
      <w:r>
        <w:rPr>
          <w:rFonts w:ascii="宋体" w:hAnsi="宋体" w:cs="宋体" w:eastAsia="宋体" w:hint="default"/>
          <w:b/>
          <w:bCs/>
          <w:w w:val="99"/>
        </w:rPr>
        <w:t> </w:t>
      </w:r>
      <w:r>
        <w:rPr>
          <w:spacing w:val="-2"/>
        </w:rPr>
        <w:t>本公司应收款项（包括应收账款和其他应收款等）按合同或协议价款作为初始入账金额。凡因债</w:t>
      </w:r>
    </w:p>
    <w:p>
      <w:pPr>
        <w:pStyle w:val="BodyText"/>
        <w:spacing w:line="357" w:lineRule="auto" w:before="32"/>
        <w:ind w:right="153"/>
        <w:jc w:val="both"/>
      </w:pPr>
      <w:r>
        <w:rPr>
          <w:spacing w:val="-2"/>
        </w:rPr>
        <w:t>务人破产，依照法律清偿程序清偿后仍无法收回；或因债务人死亡，既无遗产可供清偿，又无义务承</w:t>
      </w:r>
      <w:r>
        <w:rPr>
          <w:spacing w:val="-67"/>
        </w:rPr>
        <w:t> </w:t>
      </w:r>
      <w:r>
        <w:rPr>
          <w:spacing w:val="-67"/>
        </w:rPr>
      </w:r>
      <w:r>
        <w:rPr>
          <w:spacing w:val="-2"/>
        </w:rPr>
        <w:t>担人，确实无法收回；或因债务人逾期未能履行偿债义务，经法定程序审核批准，该等应收账款列为</w:t>
      </w:r>
      <w:r>
        <w:rPr>
          <w:spacing w:val="-67"/>
        </w:rPr>
        <w:t> </w:t>
      </w:r>
      <w:r>
        <w:rPr>
          <w:spacing w:val="-67"/>
        </w:rPr>
      </w:r>
      <w:r>
        <w:rPr/>
        <w:t>坏账损失。</w:t>
      </w:r>
    </w:p>
    <w:p>
      <w:pPr>
        <w:pStyle w:val="Heading4"/>
        <w:spacing w:line="240" w:lineRule="auto" w:before="31"/>
        <w:ind w:right="296"/>
        <w:jc w:val="left"/>
        <w:rPr>
          <w:rFonts w:ascii="宋体" w:hAnsi="宋体" w:cs="宋体" w:eastAsia="宋体" w:hint="default"/>
          <w:b w:val="0"/>
          <w:bCs w:val="0"/>
        </w:rPr>
      </w:pPr>
      <w:r>
        <w:rPr>
          <w:rFonts w:ascii="Century Gothic" w:hAnsi="Century Gothic" w:cs="Century Gothic" w:eastAsia="Century Gothic" w:hint="default"/>
        </w:rPr>
        <w:t>1.</w:t>
      </w:r>
      <w:r>
        <w:rPr>
          <w:rFonts w:ascii="Century Gothic" w:hAnsi="Century Gothic" w:cs="Century Gothic" w:eastAsia="Century Gothic" w:hint="default"/>
          <w:spacing w:val="27"/>
        </w:rPr>
        <w:t> </w:t>
      </w:r>
      <w:r>
        <w:rPr>
          <w:rFonts w:ascii="宋体" w:hAnsi="宋体" w:cs="宋体" w:eastAsia="宋体" w:hint="default"/>
        </w:rPr>
        <w:t>单项金额重大的应收款项坏账准备的确认标准和计提方法</w:t>
      </w:r>
      <w:r>
        <w:rPr>
          <w:rFonts w:ascii="宋体" w:hAnsi="宋体" w:cs="宋体" w:eastAsia="宋体" w:hint="default"/>
          <w:b w:val="0"/>
          <w:bCs w:val="0"/>
        </w:rPr>
      </w:r>
    </w:p>
    <w:p>
      <w:pPr>
        <w:pStyle w:val="BodyText"/>
        <w:spacing w:line="336" w:lineRule="auto" w:before="119"/>
        <w:ind w:left="558" w:right="86"/>
        <w:jc w:val="left"/>
      </w:pPr>
      <w:r>
        <w:rPr/>
        <w:t>本公司将</w:t>
      </w:r>
      <w:r>
        <w:rPr>
          <w:spacing w:val="-53"/>
        </w:rPr>
        <w:t> </w:t>
      </w:r>
      <w:r>
        <w:rPr>
          <w:rFonts w:ascii="Century Gothic" w:hAnsi="Century Gothic" w:cs="Century Gothic" w:eastAsia="Century Gothic" w:hint="default"/>
        </w:rPr>
        <w:t>200</w:t>
      </w:r>
      <w:r>
        <w:rPr>
          <w:rFonts w:ascii="Century Gothic" w:hAnsi="Century Gothic" w:cs="Century Gothic" w:eastAsia="Century Gothic" w:hint="default"/>
          <w:spacing w:val="-6"/>
        </w:rPr>
        <w:t> </w:t>
      </w:r>
      <w:r>
        <w:rPr/>
        <w:t>万元以上的应收款项，确定为单项金额重大的应收款项。 在资产负债表日，本公司对单项金额重大的应收款项单独进行减值测试，经测试发生了减值的，</w:t>
      </w:r>
    </w:p>
    <w:p>
      <w:pPr>
        <w:pStyle w:val="BodyText"/>
        <w:spacing w:line="240" w:lineRule="auto" w:before="50"/>
        <w:ind w:right="0"/>
        <w:jc w:val="both"/>
      </w:pPr>
      <w:r>
        <w:rPr/>
        <w:t>按其未来现金流量现值低于其账面价值的差额，确定减值损失，计提坏账准备；对单项测试未减值的</w:t>
      </w:r>
    </w:p>
    <w:p>
      <w:pPr>
        <w:spacing w:line="240" w:lineRule="auto" w:before="3"/>
        <w:rPr>
          <w:rFonts w:ascii="宋体" w:hAnsi="宋体" w:cs="宋体" w:eastAsia="宋体" w:hint="default"/>
          <w:sz w:val="25"/>
          <w:szCs w:val="25"/>
        </w:rPr>
      </w:pPr>
    </w:p>
    <w:p>
      <w:pPr>
        <w:spacing w:before="76"/>
        <w:ind w:left="4623" w:right="4640" w:firstLine="0"/>
        <w:jc w:val="center"/>
        <w:rPr>
          <w:rFonts w:ascii="Times New Roman" w:hAnsi="Times New Roman" w:cs="Times New Roman" w:eastAsia="Times New Roman" w:hint="default"/>
          <w:sz w:val="18"/>
          <w:szCs w:val="18"/>
        </w:rPr>
      </w:pPr>
      <w:r>
        <w:rPr>
          <w:rFonts w:ascii="Times New Roman"/>
          <w:sz w:val="18"/>
        </w:rPr>
        <w:t>50</w:t>
      </w:r>
    </w:p>
    <w:p>
      <w:pPr>
        <w:spacing w:after="0"/>
        <w:jc w:val="center"/>
        <w:rPr>
          <w:rFonts w:ascii="Times New Roman" w:hAnsi="Times New Roman" w:cs="Times New Roman" w:eastAsia="Times New Roman" w:hint="default"/>
          <w:sz w:val="18"/>
          <w:szCs w:val="18"/>
        </w:rPr>
        <w:sectPr>
          <w:pgSz w:w="11910" w:h="16840"/>
          <w:pgMar w:top="780" w:bottom="280" w:left="1160" w:right="126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70.860001pt;margin-top:-9.926001pt;width:84.0pt;height:23.94pt;mso-position-horizontal-relative:page;mso-position-vertical-relative:paragraph;z-index:4096"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57" w:lineRule="auto" w:before="0"/>
        <w:ind w:right="152"/>
        <w:jc w:val="left"/>
      </w:pPr>
      <w:r>
        <w:rPr>
          <w:spacing w:val="-2"/>
        </w:rPr>
        <w:t>应收款项，汇同对单项金额非重大的应收款项，按类似的信用风险特征划分为若干组合，再按这些应</w:t>
      </w:r>
      <w:r>
        <w:rPr>
          <w:spacing w:val="-68"/>
        </w:rPr>
        <w:t> </w:t>
      </w:r>
      <w:r>
        <w:rPr>
          <w:spacing w:val="-68"/>
        </w:rPr>
      </w:r>
      <w:r>
        <w:rPr/>
        <w:t>收款项组合在资产负债表日余额的一定比例计算确定减值损失，计提坏账准备。</w:t>
      </w:r>
    </w:p>
    <w:p>
      <w:pPr>
        <w:pStyle w:val="Heading4"/>
        <w:spacing w:line="338" w:lineRule="auto" w:before="31"/>
        <w:ind w:left="138" w:right="213" w:firstLine="422"/>
        <w:jc w:val="both"/>
        <w:rPr>
          <w:rFonts w:ascii="宋体" w:hAnsi="宋体" w:cs="宋体" w:eastAsia="宋体" w:hint="default"/>
          <w:b w:val="0"/>
          <w:bCs w:val="0"/>
        </w:rPr>
      </w:pPr>
      <w:r>
        <w:rPr>
          <w:rFonts w:ascii="Century Gothic" w:hAnsi="Century Gothic" w:cs="Century Gothic" w:eastAsia="Century Gothic" w:hint="default"/>
        </w:rPr>
        <w:t>2.</w:t>
      </w:r>
      <w:r>
        <w:rPr>
          <w:rFonts w:ascii="Century Gothic" w:hAnsi="Century Gothic" w:cs="Century Gothic" w:eastAsia="Century Gothic" w:hint="default"/>
          <w:spacing w:val="16"/>
        </w:rPr>
        <w:t> </w:t>
      </w:r>
      <w:r>
        <w:rPr>
          <w:rFonts w:ascii="宋体" w:hAnsi="宋体" w:cs="宋体" w:eastAsia="宋体" w:hint="default"/>
        </w:rPr>
        <w:t>对于单项金额不重大但按信用风险特征组合后该组合的风险较大的应收款项坏账准备的确认</w:t>
      </w:r>
      <w:r>
        <w:rPr>
          <w:rFonts w:ascii="宋体" w:hAnsi="宋体" w:cs="宋体" w:eastAsia="宋体" w:hint="default"/>
          <w:w w:val="99"/>
        </w:rPr>
        <w:t> </w:t>
      </w:r>
      <w:r>
        <w:rPr>
          <w:rFonts w:ascii="宋体" w:hAnsi="宋体" w:cs="宋体" w:eastAsia="宋体" w:hint="default"/>
        </w:rPr>
        <w:t>标准和计提方法。</w:t>
      </w:r>
      <w:r>
        <w:rPr>
          <w:rFonts w:ascii="宋体" w:hAnsi="宋体" w:cs="宋体" w:eastAsia="宋体" w:hint="default"/>
          <w:b w:val="0"/>
          <w:bCs w:val="0"/>
        </w:rPr>
      </w:r>
    </w:p>
    <w:p>
      <w:pPr>
        <w:pStyle w:val="BodyText"/>
        <w:spacing w:line="350" w:lineRule="auto" w:before="48"/>
        <w:ind w:right="213" w:firstLine="420"/>
        <w:jc w:val="both"/>
      </w:pPr>
      <w:r>
        <w:rPr>
          <w:spacing w:val="-2"/>
        </w:rPr>
        <w:t>单项金额不重大但按信用风险特征组合后该组合风险较大的应收款项：指期末单项金额未达到上</w:t>
      </w:r>
      <w:r>
        <w:rPr/>
        <w:t> </w:t>
      </w:r>
      <w:r>
        <w:rPr>
          <w:spacing w:val="-2"/>
        </w:rPr>
        <w:t>述</w:t>
      </w:r>
      <w:r>
        <w:rPr>
          <w:rFonts w:ascii="Century Gothic" w:hAnsi="Century Gothic" w:cs="Century Gothic" w:eastAsia="Century Gothic" w:hint="default"/>
          <w:spacing w:val="-2"/>
        </w:rPr>
        <w:t>“</w:t>
      </w:r>
      <w:r>
        <w:rPr>
          <w:spacing w:val="-2"/>
        </w:rPr>
        <w:t>单项金额重大的应收款项外</w:t>
      </w:r>
      <w:r>
        <w:rPr>
          <w:rFonts w:ascii="Century Gothic" w:hAnsi="Century Gothic" w:cs="Century Gothic" w:eastAsia="Century Gothic" w:hint="default"/>
          <w:spacing w:val="-2"/>
        </w:rPr>
        <w:t>”</w:t>
      </w:r>
      <w:r>
        <w:rPr>
          <w:spacing w:val="-2"/>
        </w:rPr>
        <w:t>标准的，且该应收款项依据公司收集的信息证明该债务人已经出现资</w:t>
      </w:r>
      <w:r>
        <w:rPr>
          <w:spacing w:val="-62"/>
        </w:rPr>
        <w:t> </w:t>
      </w:r>
      <w:r>
        <w:rPr>
          <w:spacing w:val="-62"/>
        </w:rPr>
      </w:r>
      <w:r>
        <w:rPr>
          <w:spacing w:val="-2"/>
        </w:rPr>
        <w:t>不抵债、濒临破产、债务重组、兼并收购等情形的，影响该债务人正常履行信用义务的非纳入合并财</w:t>
      </w:r>
      <w:r>
        <w:rPr>
          <w:spacing w:val="-67"/>
        </w:rPr>
        <w:t> </w:t>
      </w:r>
      <w:r>
        <w:rPr>
          <w:spacing w:val="-67"/>
        </w:rPr>
      </w:r>
      <w:r>
        <w:rPr/>
        <w:t>务报表范围关联方的客户应收款项确认为组合风险较大的应收款项。</w:t>
      </w:r>
    </w:p>
    <w:p>
      <w:pPr>
        <w:pStyle w:val="BodyText"/>
        <w:spacing w:line="357" w:lineRule="auto" w:before="38"/>
        <w:ind w:right="214" w:firstLine="420"/>
        <w:jc w:val="both"/>
      </w:pPr>
      <w:r>
        <w:rPr>
          <w:spacing w:val="-2"/>
        </w:rPr>
        <w:t>在资产负债表日，本公司对该类应收款项整体进行减值测试，经测试发生了减值的，按其未来现</w:t>
      </w:r>
      <w:r>
        <w:rPr/>
        <w:t> 金流量现值低于其账面价值的差额，确定减值损失，计提坏账准备。</w:t>
      </w:r>
    </w:p>
    <w:p>
      <w:pPr>
        <w:spacing w:line="338" w:lineRule="auto" w:before="31"/>
        <w:ind w:left="558" w:right="152" w:firstLine="2"/>
        <w:jc w:val="left"/>
        <w:rPr>
          <w:rFonts w:ascii="宋体" w:hAnsi="宋体" w:cs="宋体" w:eastAsia="宋体" w:hint="default"/>
          <w:sz w:val="21"/>
          <w:szCs w:val="21"/>
        </w:rPr>
      </w:pPr>
      <w:r>
        <w:rPr>
          <w:rFonts w:ascii="Century Gothic" w:hAnsi="Century Gothic" w:cs="Century Gothic" w:eastAsia="Century Gothic" w:hint="default"/>
          <w:b/>
          <w:bCs/>
          <w:sz w:val="21"/>
          <w:szCs w:val="21"/>
        </w:rPr>
        <w:t>3.</w:t>
      </w:r>
      <w:r>
        <w:rPr>
          <w:rFonts w:ascii="Century Gothic" w:hAnsi="Century Gothic" w:cs="Century Gothic" w:eastAsia="Century Gothic" w:hint="default"/>
          <w:b/>
          <w:bCs/>
          <w:spacing w:val="41"/>
          <w:sz w:val="21"/>
          <w:szCs w:val="21"/>
        </w:rPr>
        <w:t> </w:t>
      </w:r>
      <w:r>
        <w:rPr>
          <w:rFonts w:ascii="宋体" w:hAnsi="宋体" w:cs="宋体" w:eastAsia="宋体" w:hint="default"/>
          <w:b/>
          <w:bCs/>
          <w:sz w:val="21"/>
          <w:szCs w:val="21"/>
        </w:rPr>
        <w:t>各类信用风险组合的划分及坏账准备的确认标准和计提方法</w:t>
      </w:r>
      <w:r>
        <w:rPr>
          <w:rFonts w:ascii="宋体" w:hAnsi="宋体" w:cs="宋体" w:eastAsia="宋体" w:hint="default"/>
          <w:b/>
          <w:bCs/>
          <w:w w:val="99"/>
          <w:sz w:val="21"/>
          <w:szCs w:val="21"/>
        </w:rPr>
        <w:t> </w:t>
      </w:r>
      <w:r>
        <w:rPr>
          <w:rFonts w:ascii="宋体" w:hAnsi="宋体" w:cs="宋体" w:eastAsia="宋体" w:hint="default"/>
          <w:spacing w:val="-2"/>
          <w:sz w:val="21"/>
          <w:szCs w:val="21"/>
        </w:rPr>
        <w:t>应收款项按款项性质分类后，以账龄为风险特征划分信用风险组合，确定计提比例如下（公司对</w:t>
      </w:r>
    </w:p>
    <w:p>
      <w:pPr>
        <w:pStyle w:val="BodyText"/>
        <w:spacing w:line="240" w:lineRule="auto" w:before="48"/>
        <w:ind w:right="152"/>
        <w:jc w:val="left"/>
      </w:pPr>
      <w:r>
        <w:rPr/>
        <w:t>所属医药流通子公司执行不同的坏账准备计提比例）：</w:t>
      </w:r>
    </w:p>
    <w:p>
      <w:pPr>
        <w:spacing w:line="240" w:lineRule="auto" w:before="11"/>
        <w:rPr>
          <w:rFonts w:ascii="宋体" w:hAnsi="宋体" w:cs="宋体" w:eastAsia="宋体" w:hint="default"/>
          <w:sz w:val="12"/>
          <w:szCs w:val="12"/>
        </w:rPr>
      </w:pPr>
    </w:p>
    <w:tbl>
      <w:tblPr>
        <w:tblW w:w="0" w:type="auto"/>
        <w:jc w:val="left"/>
        <w:tblInd w:w="281" w:type="dxa"/>
        <w:tblLayout w:type="fixed"/>
        <w:tblCellMar>
          <w:top w:w="0" w:type="dxa"/>
          <w:left w:w="0" w:type="dxa"/>
          <w:bottom w:w="0" w:type="dxa"/>
          <w:right w:w="0" w:type="dxa"/>
        </w:tblCellMar>
        <w:tblLook w:val="01E0"/>
      </w:tblPr>
      <w:tblGrid>
        <w:gridCol w:w="2742"/>
        <w:gridCol w:w="1465"/>
        <w:gridCol w:w="1378"/>
        <w:gridCol w:w="1378"/>
        <w:gridCol w:w="1896"/>
      </w:tblGrid>
      <w:tr>
        <w:trPr>
          <w:trHeight w:val="363" w:hRule="exact"/>
        </w:trPr>
        <w:tc>
          <w:tcPr>
            <w:tcW w:w="2742" w:type="dxa"/>
            <w:vMerge w:val="restart"/>
            <w:tcBorders>
              <w:top w:val="single" w:sz="12" w:space="0" w:color="000000"/>
              <w:left w:val="nil" w:sz="6" w:space="0" w:color="auto"/>
              <w:right w:val="single" w:sz="6" w:space="0" w:color="000000"/>
            </w:tcBorders>
          </w:tcPr>
          <w:p>
            <w:pPr>
              <w:pStyle w:val="TableParagraph"/>
              <w:spacing w:line="240" w:lineRule="auto" w:before="161"/>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16" w:type="dxa"/>
            <w:gridSpan w:val="4"/>
            <w:tcBorders>
              <w:top w:val="single" w:sz="12" w:space="0" w:color="000000"/>
              <w:left w:val="single" w:sz="6"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风险特征</w:t>
            </w:r>
          </w:p>
        </w:tc>
      </w:tr>
      <w:tr>
        <w:trPr>
          <w:trHeight w:val="354" w:hRule="exact"/>
        </w:trPr>
        <w:tc>
          <w:tcPr>
            <w:tcW w:w="2742" w:type="dxa"/>
            <w:vMerge/>
            <w:tcBorders>
              <w:left w:val="nil" w:sz="6" w:space="0" w:color="auto"/>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1-2</w:t>
            </w:r>
            <w:r>
              <w:rPr>
                <w:rFonts w:ascii="Century Gothic" w:hAnsi="Century Gothic" w:cs="Century Gothic" w:eastAsia="Century Gothic" w:hint="default"/>
                <w:spacing w:val="-9"/>
                <w:sz w:val="21"/>
                <w:szCs w:val="21"/>
              </w:rPr>
              <w:t> </w:t>
            </w:r>
            <w:r>
              <w:rPr>
                <w:rFonts w:ascii="宋体" w:hAnsi="宋体" w:cs="宋体" w:eastAsia="宋体" w:hint="default"/>
                <w:sz w:val="21"/>
                <w:szCs w:val="21"/>
              </w:rPr>
              <w:t>年</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2-3</w:t>
            </w:r>
            <w:r>
              <w:rPr>
                <w:rFonts w:ascii="Century Gothic" w:hAnsi="Century Gothic" w:cs="Century Gothic" w:eastAsia="Century Gothic" w:hint="default"/>
                <w:spacing w:val="-9"/>
                <w:sz w:val="21"/>
                <w:szCs w:val="21"/>
              </w:rPr>
              <w:t> </w:t>
            </w:r>
            <w:r>
              <w:rPr>
                <w:rFonts w:ascii="宋体" w:hAnsi="宋体" w:cs="宋体" w:eastAsia="宋体" w:hint="default"/>
                <w:sz w:val="21"/>
                <w:szCs w:val="21"/>
              </w:rPr>
              <w:t>年</w:t>
            </w:r>
          </w:p>
        </w:tc>
        <w:tc>
          <w:tcPr>
            <w:tcW w:w="189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5"/>
              <w:jc w:val="center"/>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年以上</w:t>
            </w:r>
          </w:p>
        </w:tc>
      </w:tr>
      <w:tr>
        <w:trPr>
          <w:trHeight w:val="355" w:hRule="exact"/>
        </w:trPr>
        <w:tc>
          <w:tcPr>
            <w:tcW w:w="2742"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销售货款</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5%</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10%</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15%</w:t>
            </w:r>
          </w:p>
        </w:tc>
        <w:tc>
          <w:tcPr>
            <w:tcW w:w="18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5"/>
              <w:jc w:val="center"/>
              <w:rPr>
                <w:rFonts w:ascii="Century Gothic" w:hAnsi="Century Gothic" w:cs="Century Gothic" w:eastAsia="Century Gothic" w:hint="default"/>
                <w:sz w:val="21"/>
                <w:szCs w:val="21"/>
              </w:rPr>
            </w:pPr>
            <w:r>
              <w:rPr>
                <w:rFonts w:ascii="Century Gothic"/>
                <w:sz w:val="21"/>
              </w:rPr>
              <w:t>30%</w:t>
            </w:r>
          </w:p>
        </w:tc>
      </w:tr>
      <w:tr>
        <w:trPr>
          <w:trHeight w:val="363" w:hRule="exact"/>
        </w:trPr>
        <w:tc>
          <w:tcPr>
            <w:tcW w:w="2742"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5%</w:t>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10%</w:t>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15%</w:t>
            </w:r>
          </w:p>
        </w:tc>
        <w:tc>
          <w:tcPr>
            <w:tcW w:w="18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5"/>
              <w:jc w:val="center"/>
              <w:rPr>
                <w:rFonts w:ascii="Century Gothic" w:hAnsi="Century Gothic" w:cs="Century Gothic" w:eastAsia="Century Gothic" w:hint="default"/>
                <w:sz w:val="21"/>
                <w:szCs w:val="21"/>
              </w:rPr>
            </w:pPr>
            <w:r>
              <w:rPr>
                <w:rFonts w:ascii="Century Gothic"/>
                <w:sz w:val="21"/>
              </w:rPr>
              <w:t>30%</w:t>
            </w:r>
          </w:p>
        </w:tc>
      </w:tr>
    </w:tbl>
    <w:p>
      <w:pPr>
        <w:pStyle w:val="BodyText"/>
        <w:spacing w:line="240" w:lineRule="auto" w:before="86"/>
        <w:ind w:left="558" w:right="152"/>
        <w:jc w:val="left"/>
      </w:pPr>
      <w:r>
        <w:rPr/>
        <w:t>公司所属医药流通子公司执行的坏账准备计提比例列示如下：</w:t>
      </w:r>
    </w:p>
    <w:p>
      <w:pPr>
        <w:spacing w:line="240" w:lineRule="auto" w:before="1"/>
        <w:rPr>
          <w:rFonts w:ascii="宋体" w:hAnsi="宋体" w:cs="宋体" w:eastAsia="宋体" w:hint="default"/>
          <w:sz w:val="22"/>
          <w:szCs w:val="22"/>
        </w:rPr>
      </w:pPr>
    </w:p>
    <w:tbl>
      <w:tblPr>
        <w:tblW w:w="0" w:type="auto"/>
        <w:jc w:val="left"/>
        <w:tblInd w:w="281" w:type="dxa"/>
        <w:tblLayout w:type="fixed"/>
        <w:tblCellMar>
          <w:top w:w="0" w:type="dxa"/>
          <w:left w:w="0" w:type="dxa"/>
          <w:bottom w:w="0" w:type="dxa"/>
          <w:right w:w="0" w:type="dxa"/>
        </w:tblCellMar>
        <w:tblLook w:val="01E0"/>
      </w:tblPr>
      <w:tblGrid>
        <w:gridCol w:w="2742"/>
        <w:gridCol w:w="1465"/>
        <w:gridCol w:w="1378"/>
        <w:gridCol w:w="1378"/>
        <w:gridCol w:w="1896"/>
      </w:tblGrid>
      <w:tr>
        <w:trPr>
          <w:trHeight w:val="363" w:hRule="exact"/>
        </w:trPr>
        <w:tc>
          <w:tcPr>
            <w:tcW w:w="2742" w:type="dxa"/>
            <w:vMerge w:val="restart"/>
            <w:tcBorders>
              <w:top w:val="single" w:sz="12" w:space="0" w:color="000000"/>
              <w:left w:val="nil" w:sz="6" w:space="0" w:color="auto"/>
              <w:right w:val="single" w:sz="6" w:space="0" w:color="000000"/>
            </w:tcBorders>
          </w:tcPr>
          <w:p>
            <w:pPr>
              <w:pStyle w:val="TableParagraph"/>
              <w:spacing w:line="240" w:lineRule="auto" w:before="161"/>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116" w:type="dxa"/>
            <w:gridSpan w:val="4"/>
            <w:tcBorders>
              <w:top w:val="single" w:sz="12" w:space="0" w:color="000000"/>
              <w:left w:val="single" w:sz="6" w:space="0" w:color="000000"/>
              <w:bottom w:val="single" w:sz="6" w:space="0" w:color="000000"/>
              <w:right w:val="nil" w:sz="6" w:space="0" w:color="auto"/>
            </w:tcBorders>
          </w:tcPr>
          <w:p>
            <w:pPr>
              <w:pStyle w:val="TableParagraph"/>
              <w:spacing w:line="274" w:lineRule="exact"/>
              <w:ind w:right="4"/>
              <w:jc w:val="center"/>
              <w:rPr>
                <w:rFonts w:ascii="宋体" w:hAnsi="宋体" w:cs="宋体" w:eastAsia="宋体" w:hint="default"/>
                <w:sz w:val="21"/>
                <w:szCs w:val="21"/>
              </w:rPr>
            </w:pPr>
            <w:r>
              <w:rPr>
                <w:rFonts w:ascii="宋体" w:hAnsi="宋体" w:cs="宋体" w:eastAsia="宋体" w:hint="default"/>
                <w:sz w:val="21"/>
                <w:szCs w:val="21"/>
              </w:rPr>
              <w:t>风险特征</w:t>
            </w:r>
          </w:p>
        </w:tc>
      </w:tr>
      <w:tr>
        <w:trPr>
          <w:trHeight w:val="354" w:hRule="exact"/>
        </w:trPr>
        <w:tc>
          <w:tcPr>
            <w:tcW w:w="2742" w:type="dxa"/>
            <w:vMerge/>
            <w:tcBorders>
              <w:left w:val="nil" w:sz="6" w:space="0" w:color="auto"/>
              <w:bottom w:val="single" w:sz="6" w:space="0" w:color="000000"/>
              <w:right w:val="single" w:sz="6" w:space="0" w:color="000000"/>
            </w:tcBorders>
          </w:tcPr>
          <w:p>
            <w:pP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1-2</w:t>
            </w:r>
            <w:r>
              <w:rPr>
                <w:rFonts w:ascii="Century Gothic" w:hAnsi="Century Gothic" w:cs="Century Gothic" w:eastAsia="Century Gothic" w:hint="default"/>
                <w:spacing w:val="-9"/>
                <w:sz w:val="21"/>
                <w:szCs w:val="21"/>
              </w:rPr>
              <w:t> </w:t>
            </w:r>
            <w:r>
              <w:rPr>
                <w:rFonts w:ascii="宋体" w:hAnsi="宋体" w:cs="宋体" w:eastAsia="宋体" w:hint="default"/>
                <w:sz w:val="21"/>
                <w:szCs w:val="21"/>
              </w:rPr>
              <w:t>年</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2-3</w:t>
            </w:r>
            <w:r>
              <w:rPr>
                <w:rFonts w:ascii="Century Gothic" w:hAnsi="Century Gothic" w:cs="Century Gothic" w:eastAsia="Century Gothic" w:hint="default"/>
                <w:spacing w:val="-9"/>
                <w:sz w:val="21"/>
                <w:szCs w:val="21"/>
              </w:rPr>
              <w:t> </w:t>
            </w:r>
            <w:r>
              <w:rPr>
                <w:rFonts w:ascii="宋体" w:hAnsi="宋体" w:cs="宋体" w:eastAsia="宋体" w:hint="default"/>
                <w:sz w:val="21"/>
                <w:szCs w:val="21"/>
              </w:rPr>
              <w:t>年</w:t>
            </w:r>
          </w:p>
        </w:tc>
        <w:tc>
          <w:tcPr>
            <w:tcW w:w="189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5"/>
              <w:jc w:val="center"/>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年以上</w:t>
            </w:r>
          </w:p>
        </w:tc>
      </w:tr>
      <w:tr>
        <w:trPr>
          <w:trHeight w:val="355" w:hRule="exact"/>
        </w:trPr>
        <w:tc>
          <w:tcPr>
            <w:tcW w:w="2742"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销售货款</w:t>
            </w:r>
          </w:p>
        </w:tc>
        <w:tc>
          <w:tcPr>
            <w:tcW w:w="1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0.5%</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25%</w:t>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50%</w:t>
            </w:r>
          </w:p>
        </w:tc>
        <w:tc>
          <w:tcPr>
            <w:tcW w:w="189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7"/>
              <w:jc w:val="center"/>
              <w:rPr>
                <w:rFonts w:ascii="Century Gothic" w:hAnsi="Century Gothic" w:cs="Century Gothic" w:eastAsia="Century Gothic" w:hint="default"/>
                <w:sz w:val="21"/>
                <w:szCs w:val="21"/>
              </w:rPr>
            </w:pPr>
            <w:r>
              <w:rPr>
                <w:rFonts w:ascii="Century Gothic"/>
                <w:sz w:val="21"/>
              </w:rPr>
              <w:t>100%</w:t>
            </w:r>
          </w:p>
        </w:tc>
      </w:tr>
      <w:tr>
        <w:trPr>
          <w:trHeight w:val="363" w:hRule="exact"/>
        </w:trPr>
        <w:tc>
          <w:tcPr>
            <w:tcW w:w="2742"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0.5%</w:t>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25%</w:t>
            </w:r>
          </w:p>
        </w:tc>
        <w:tc>
          <w:tcPr>
            <w:tcW w:w="13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50%</w:t>
            </w:r>
          </w:p>
        </w:tc>
        <w:tc>
          <w:tcPr>
            <w:tcW w:w="189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7"/>
              <w:jc w:val="center"/>
              <w:rPr>
                <w:rFonts w:ascii="Century Gothic" w:hAnsi="Century Gothic" w:cs="Century Gothic" w:eastAsia="Century Gothic" w:hint="default"/>
                <w:sz w:val="21"/>
                <w:szCs w:val="21"/>
              </w:rPr>
            </w:pPr>
            <w:r>
              <w:rPr>
                <w:rFonts w:ascii="Century Gothic"/>
                <w:sz w:val="21"/>
              </w:rPr>
              <w:t>100%</w:t>
            </w:r>
          </w:p>
        </w:tc>
      </w:tr>
    </w:tbl>
    <w:p>
      <w:pPr>
        <w:pStyle w:val="BodyText"/>
        <w:spacing w:line="357" w:lineRule="auto" w:before="86"/>
        <w:ind w:right="214" w:firstLine="420"/>
        <w:jc w:val="both"/>
      </w:pPr>
      <w:r>
        <w:rPr>
          <w:spacing w:val="-2"/>
        </w:rPr>
        <w:t>本公司以应收债权向银行等金融机构转让、质押或贴现等方式融资时，根据相关合同的约定，当</w:t>
      </w:r>
      <w:r>
        <w:rPr/>
        <w:t> </w:t>
      </w:r>
      <w:r>
        <w:rPr>
          <w:spacing w:val="-2"/>
        </w:rPr>
        <w:t>债务人到期未偿还该项债务时，若本公司负有向金融机构还款的责任，则该应收债权作为质押贷款处</w:t>
      </w:r>
      <w:r>
        <w:rPr>
          <w:spacing w:val="-69"/>
        </w:rPr>
        <w:t> </w:t>
      </w:r>
      <w:r>
        <w:rPr>
          <w:spacing w:val="-69"/>
        </w:rPr>
      </w:r>
      <w:r>
        <w:rPr/>
        <w:t>理；若本公司没有向金融机构还款的责任，则该应收债权作为转让处理，并确认债权的转让损益。</w:t>
      </w:r>
    </w:p>
    <w:p>
      <w:pPr>
        <w:pStyle w:val="BodyText"/>
        <w:spacing w:line="240" w:lineRule="auto" w:before="31"/>
        <w:ind w:left="558" w:right="152"/>
        <w:jc w:val="left"/>
      </w:pPr>
      <w:r>
        <w:rPr/>
        <w:t>本公司收回应收款项时，将取得的价款和应收款项账面价值之间的差额计入当期损益。</w:t>
      </w:r>
    </w:p>
    <w:p>
      <w:pPr>
        <w:pStyle w:val="Heading4"/>
        <w:spacing w:line="240" w:lineRule="auto" w:before="134"/>
        <w:ind w:right="152"/>
        <w:jc w:val="left"/>
        <w:rPr>
          <w:rFonts w:ascii="宋体" w:hAnsi="宋体" w:cs="宋体" w:eastAsia="宋体" w:hint="default"/>
          <w:b w:val="0"/>
          <w:bCs w:val="0"/>
        </w:rPr>
      </w:pPr>
      <w:r>
        <w:rPr>
          <w:rFonts w:ascii="宋体" w:hAnsi="宋体" w:cs="宋体" w:eastAsia="宋体" w:hint="default"/>
        </w:rPr>
        <w:t>（十一）</w:t>
      </w:r>
      <w:r>
        <w:rPr>
          <w:rFonts w:ascii="宋体" w:hAnsi="宋体" w:cs="宋体" w:eastAsia="宋体" w:hint="default"/>
          <w:spacing w:val="-27"/>
        </w:rPr>
        <w:t> </w:t>
      </w:r>
      <w:r>
        <w:rPr>
          <w:rFonts w:ascii="宋体" w:hAnsi="宋体" w:cs="宋体" w:eastAsia="宋体" w:hint="default"/>
        </w:rPr>
        <w:t>存货</w:t>
      </w:r>
      <w:r>
        <w:rPr>
          <w:rFonts w:ascii="宋体" w:hAnsi="宋体" w:cs="宋体" w:eastAsia="宋体" w:hint="default"/>
          <w:b w:val="0"/>
          <w:bCs w:val="0"/>
        </w:rPr>
      </w:r>
    </w:p>
    <w:p>
      <w:pPr>
        <w:pStyle w:val="BodyText"/>
        <w:spacing w:line="338" w:lineRule="auto" w:before="134"/>
        <w:ind w:left="558" w:right="152" w:firstLine="2"/>
        <w:jc w:val="left"/>
      </w:pPr>
      <w:r>
        <w:rPr>
          <w:rFonts w:ascii="Century Gothic" w:hAnsi="Century Gothic" w:cs="Century Gothic" w:eastAsia="Century Gothic" w:hint="default"/>
          <w:b/>
          <w:bCs/>
        </w:rPr>
        <w:t>1.</w:t>
      </w:r>
      <w:r>
        <w:rPr>
          <w:rFonts w:ascii="Century Gothic" w:hAnsi="Century Gothic" w:cs="Century Gothic" w:eastAsia="Century Gothic" w:hint="default"/>
          <w:b/>
          <w:bCs/>
          <w:spacing w:val="41"/>
        </w:rPr>
        <w:t> </w:t>
      </w:r>
      <w:r>
        <w:rPr>
          <w:rFonts w:ascii="宋体" w:hAnsi="宋体" w:cs="宋体" w:eastAsia="宋体" w:hint="default"/>
          <w:b/>
          <w:bCs/>
        </w:rPr>
        <w:t>存货的分类</w:t>
      </w:r>
      <w:r>
        <w:rPr>
          <w:rFonts w:ascii="宋体" w:hAnsi="宋体" w:cs="宋体" w:eastAsia="宋体" w:hint="default"/>
          <w:b/>
          <w:bCs/>
          <w:w w:val="99"/>
        </w:rPr>
        <w:t> </w:t>
      </w:r>
      <w:r>
        <w:rPr>
          <w:spacing w:val="-2"/>
        </w:rPr>
        <w:t>存货是指本公司在日常活动中持有以备出售的产成品或商品、处在生产过程中的在产品、在生产</w:t>
      </w:r>
    </w:p>
    <w:p>
      <w:pPr>
        <w:pStyle w:val="BodyText"/>
        <w:spacing w:line="357" w:lineRule="auto" w:before="48"/>
        <w:ind w:right="80"/>
        <w:jc w:val="left"/>
      </w:pPr>
      <w:r>
        <w:rPr>
          <w:spacing w:val="-4"/>
        </w:rPr>
        <w:t>过程或提供劳务过程中耗用的材料和物料等。主要包括原材料、包装物、低值易耗品、委托加工物资、</w:t>
      </w:r>
      <w:r>
        <w:rPr>
          <w:spacing w:val="-82"/>
        </w:rPr>
        <w:t> </w:t>
      </w:r>
      <w:r>
        <w:rPr>
          <w:spacing w:val="-82"/>
        </w:rPr>
      </w:r>
      <w:r>
        <w:rPr/>
        <w:t>在产品、自制半成品、发出商品、库存商品等。</w:t>
      </w:r>
    </w:p>
    <w:p>
      <w:pPr>
        <w:spacing w:line="338" w:lineRule="auto" w:before="31"/>
        <w:ind w:left="558" w:right="152" w:firstLine="2"/>
        <w:jc w:val="left"/>
        <w:rPr>
          <w:rFonts w:ascii="宋体" w:hAnsi="宋体" w:cs="宋体" w:eastAsia="宋体" w:hint="default"/>
          <w:sz w:val="21"/>
          <w:szCs w:val="21"/>
        </w:rPr>
      </w:pPr>
      <w:r>
        <w:rPr>
          <w:rFonts w:ascii="Century Gothic" w:hAnsi="Century Gothic" w:cs="Century Gothic" w:eastAsia="Century Gothic" w:hint="default"/>
          <w:b/>
          <w:bCs/>
          <w:sz w:val="21"/>
          <w:szCs w:val="21"/>
        </w:rPr>
        <w:t>2.</w:t>
      </w:r>
      <w:r>
        <w:rPr>
          <w:rFonts w:ascii="Century Gothic" w:hAnsi="Century Gothic" w:cs="Century Gothic" w:eastAsia="Century Gothic" w:hint="default"/>
          <w:b/>
          <w:bCs/>
          <w:spacing w:val="41"/>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pacing w:val="-2"/>
          <w:sz w:val="21"/>
          <w:szCs w:val="21"/>
        </w:rPr>
        <w:t>存货在取得时，按成本进行初始计量，包括采购成本、加工成本和其他成本。存货发出时，采用</w:t>
      </w:r>
    </w:p>
    <w:p>
      <w:pPr>
        <w:pStyle w:val="BodyText"/>
        <w:spacing w:line="240" w:lineRule="auto" w:before="48"/>
        <w:ind w:right="152"/>
        <w:jc w:val="left"/>
      </w:pPr>
      <w:r>
        <w:rPr/>
        <w:t>加权平均法确定发出存货的实际成本。</w:t>
      </w:r>
    </w:p>
    <w:p>
      <w:pPr>
        <w:spacing w:line="240" w:lineRule="auto" w:before="2"/>
        <w:rPr>
          <w:rFonts w:ascii="宋体" w:hAnsi="宋体" w:cs="宋体" w:eastAsia="宋体" w:hint="default"/>
          <w:sz w:val="24"/>
          <w:szCs w:val="24"/>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51</w:t>
      </w:r>
    </w:p>
    <w:p>
      <w:pPr>
        <w:spacing w:after="0"/>
        <w:jc w:val="center"/>
        <w:rPr>
          <w:rFonts w:ascii="Times New Roman" w:hAnsi="Times New Roman" w:cs="Times New Roman" w:eastAsia="Times New Roman" w:hint="default"/>
          <w:sz w:val="18"/>
          <w:szCs w:val="18"/>
        </w:rPr>
        <w:sectPr>
          <w:pgSz w:w="11910" w:h="16840"/>
          <w:pgMar w:top="780" w:bottom="280" w:left="1280" w:right="10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64.860001pt;margin-top:-9.926001pt;width:84.0pt;height:23.94pt;mso-position-horizontal-relative:page;mso-position-vertical-relative:paragraph;z-index:4144"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spacing w:line="336" w:lineRule="auto" w:before="0"/>
        <w:ind w:left="558" w:right="146" w:firstLine="2"/>
        <w:jc w:val="left"/>
        <w:rPr>
          <w:rFonts w:ascii="宋体" w:hAnsi="宋体" w:cs="宋体" w:eastAsia="宋体" w:hint="default"/>
          <w:sz w:val="21"/>
          <w:szCs w:val="21"/>
        </w:rPr>
      </w:pPr>
      <w:r>
        <w:rPr>
          <w:rFonts w:ascii="Century Gothic" w:hAnsi="Century Gothic" w:cs="Century Gothic" w:eastAsia="Century Gothic" w:hint="default"/>
          <w:b/>
          <w:bCs/>
          <w:sz w:val="21"/>
          <w:szCs w:val="21"/>
        </w:rPr>
        <w:t>3.</w:t>
      </w:r>
      <w:r>
        <w:rPr>
          <w:rFonts w:ascii="Century Gothic" w:hAnsi="Century Gothic" w:cs="Century Gothic" w:eastAsia="Century Gothic" w:hint="default"/>
          <w:b/>
          <w:bCs/>
          <w:spacing w:val="41"/>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资产负债表日，存货按照成本与可变现净值孰低计量。年末，在对存货进行全面盘点的基础上，</w:t>
      </w:r>
    </w:p>
    <w:p>
      <w:pPr>
        <w:pStyle w:val="BodyText"/>
        <w:spacing w:line="357" w:lineRule="auto" w:before="50"/>
        <w:ind w:right="165"/>
        <w:jc w:val="both"/>
      </w:pPr>
      <w:r>
        <w:rPr>
          <w:spacing w:val="3"/>
        </w:rPr>
        <w:t>对于存货因被淘汰、全部或部分陈旧过时或销售价格低于成本等原因导致成本高于可变现净值的部</w:t>
      </w:r>
      <w:r>
        <w:rPr>
          <w:spacing w:val="-98"/>
        </w:rPr>
        <w:t> </w:t>
      </w:r>
      <w:r>
        <w:rPr>
          <w:spacing w:val="-98"/>
        </w:rPr>
      </w:r>
      <w:r>
        <w:rPr/>
        <w:t>分，提取存货跌价准备。存货跌价准备按单个存货项目的成本高于其可变现净值的差额提取。其中：</w:t>
      </w:r>
      <w:r>
        <w:rPr/>
        <w:t> </w:t>
      </w:r>
      <w:r>
        <w:rPr>
          <w:spacing w:val="-2"/>
        </w:rPr>
        <w:t>对于产成品、商品和用于出售的材料等直接用于出售的商品存货，在正常生产经营过程中，以该存货</w:t>
      </w:r>
      <w:r>
        <w:rPr>
          <w:spacing w:val="-68"/>
        </w:rPr>
        <w:t> </w:t>
      </w:r>
      <w:r>
        <w:rPr>
          <w:spacing w:val="-68"/>
        </w:rPr>
      </w:r>
      <w:r>
        <w:rPr>
          <w:spacing w:val="-2"/>
        </w:rPr>
        <w:t>的估计售价减去估计的销售费用和相关税费后的金额，确定其可变现净值；对于需要经过加工的材料</w:t>
      </w:r>
      <w:r>
        <w:rPr>
          <w:spacing w:val="-69"/>
        </w:rPr>
        <w:t> </w:t>
      </w:r>
      <w:r>
        <w:rPr>
          <w:spacing w:val="-69"/>
        </w:rPr>
      </w:r>
      <w:r>
        <w:rPr>
          <w:spacing w:val="-2"/>
        </w:rPr>
        <w:t>存货，在正常生产经营过程中，以所生产的产成品的估计售价减去至完工时估计将要发生的成本、估</w:t>
      </w:r>
      <w:r>
        <w:rPr>
          <w:spacing w:val="-68"/>
        </w:rPr>
        <w:t> </w:t>
      </w:r>
      <w:r>
        <w:rPr>
          <w:spacing w:val="-68"/>
        </w:rPr>
      </w:r>
      <w:r>
        <w:rPr>
          <w:spacing w:val="-2"/>
        </w:rPr>
        <w:t>计销售费用和相关税费后的金额，确定其可变现净值；对于资产负债表日，同一项存货中一部分有合</w:t>
      </w:r>
      <w:r>
        <w:rPr>
          <w:spacing w:val="-68"/>
        </w:rPr>
        <w:t> </w:t>
      </w:r>
      <w:r>
        <w:rPr>
          <w:spacing w:val="-68"/>
        </w:rPr>
      </w:r>
      <w:r>
        <w:rPr>
          <w:spacing w:val="-2"/>
        </w:rPr>
        <w:t>同价格约定、其他部分不存在合同价格的，分别确定其可变现净值。与具有类似目的或最终用途并在</w:t>
      </w:r>
      <w:r>
        <w:rPr>
          <w:spacing w:val="-68"/>
        </w:rPr>
        <w:t> </w:t>
      </w:r>
      <w:r>
        <w:rPr>
          <w:spacing w:val="-68"/>
        </w:rPr>
      </w:r>
      <w:r>
        <w:rPr>
          <w:spacing w:val="3"/>
        </w:rPr>
        <w:t>同一地区生产和销售的产品系列相关，且难以将其与该产品系列的其他项目区别开来进行估价的存</w:t>
      </w:r>
      <w:r>
        <w:rPr>
          <w:spacing w:val="-98"/>
        </w:rPr>
        <w:t> </w:t>
      </w:r>
      <w:r>
        <w:rPr>
          <w:spacing w:val="-98"/>
        </w:rPr>
      </w:r>
      <w:r>
        <w:rPr/>
        <w:t>货，合并计提；对于数量繁多、单价较低的存货，按存货类别计提。</w:t>
      </w:r>
    </w:p>
    <w:p>
      <w:pPr>
        <w:spacing w:line="336" w:lineRule="auto" w:before="32"/>
        <w:ind w:left="558" w:right="152" w:firstLine="2"/>
        <w:jc w:val="left"/>
        <w:rPr>
          <w:rFonts w:ascii="宋体" w:hAnsi="宋体" w:cs="宋体" w:eastAsia="宋体" w:hint="default"/>
          <w:sz w:val="21"/>
          <w:szCs w:val="21"/>
        </w:rPr>
      </w:pPr>
      <w:r>
        <w:rPr>
          <w:rFonts w:ascii="Century Gothic" w:hAnsi="Century Gothic" w:cs="Century Gothic" w:eastAsia="Century Gothic" w:hint="default"/>
          <w:b/>
          <w:bCs/>
          <w:sz w:val="21"/>
          <w:szCs w:val="21"/>
        </w:rPr>
        <w:t>4.</w:t>
      </w:r>
      <w:r>
        <w:rPr>
          <w:rFonts w:ascii="Century Gothic" w:hAnsi="Century Gothic" w:cs="Century Gothic" w:eastAsia="Century Gothic" w:hint="default"/>
          <w:b/>
          <w:bCs/>
          <w:spacing w:val="41"/>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pacing w:val="-2"/>
          <w:sz w:val="21"/>
          <w:szCs w:val="21"/>
        </w:rPr>
        <w:t>本公司的存货盘存制度为永续盘存制。本公司定期对存货进行清查，盘盈利得和盘亏损失计入当</w:t>
      </w:r>
    </w:p>
    <w:p>
      <w:pPr>
        <w:pStyle w:val="BodyText"/>
        <w:spacing w:line="240" w:lineRule="auto" w:before="50"/>
        <w:ind w:right="0"/>
        <w:jc w:val="both"/>
      </w:pPr>
      <w:r>
        <w:rPr/>
        <w:t>期损益。</w:t>
      </w:r>
    </w:p>
    <w:p>
      <w:pPr>
        <w:spacing w:line="338" w:lineRule="auto" w:before="134"/>
        <w:ind w:left="558" w:right="4976" w:firstLine="2"/>
        <w:jc w:val="left"/>
        <w:rPr>
          <w:rFonts w:ascii="宋体" w:hAnsi="宋体" w:cs="宋体" w:eastAsia="宋体" w:hint="default"/>
          <w:sz w:val="21"/>
          <w:szCs w:val="21"/>
        </w:rPr>
      </w:pPr>
      <w:r>
        <w:rPr>
          <w:rFonts w:ascii="Century Gothic" w:hAnsi="Century Gothic" w:cs="Century Gothic" w:eastAsia="Century Gothic" w:hint="default"/>
          <w:b/>
          <w:bCs/>
          <w:sz w:val="21"/>
          <w:szCs w:val="21"/>
        </w:rPr>
        <w:t>5.</w:t>
      </w:r>
      <w:r>
        <w:rPr>
          <w:rFonts w:ascii="Century Gothic" w:hAnsi="Century Gothic" w:cs="Century Gothic" w:eastAsia="Century Gothic" w:hint="default"/>
          <w:b/>
          <w:bCs/>
          <w:spacing w:val="40"/>
          <w:sz w:val="21"/>
          <w:szCs w:val="21"/>
        </w:rPr>
        <w:t> </w:t>
      </w:r>
      <w:r>
        <w:rPr>
          <w:rFonts w:ascii="宋体" w:hAnsi="宋体" w:cs="宋体" w:eastAsia="宋体" w:hint="default"/>
          <w:b/>
          <w:bCs/>
          <w:sz w:val="21"/>
          <w:szCs w:val="21"/>
        </w:rPr>
        <w:t>低值易耗品和包装物的摊销方法</w:t>
      </w:r>
      <w:r>
        <w:rPr>
          <w:rFonts w:ascii="宋体" w:hAnsi="宋体" w:cs="宋体" w:eastAsia="宋体" w:hint="default"/>
          <w:b/>
          <w:bCs/>
          <w:w w:val="99"/>
          <w:sz w:val="21"/>
          <w:szCs w:val="21"/>
        </w:rPr>
        <w:t> </w:t>
      </w:r>
      <w:r>
        <w:rPr>
          <w:rFonts w:ascii="宋体" w:hAnsi="宋体" w:cs="宋体" w:eastAsia="宋体" w:hint="default"/>
          <w:sz w:val="21"/>
          <w:szCs w:val="21"/>
        </w:rPr>
        <w:t>低值易耗品和包装物采用一次转销法摊销。</w:t>
      </w:r>
    </w:p>
    <w:p>
      <w:pPr>
        <w:spacing w:line="350" w:lineRule="auto" w:before="48"/>
        <w:ind w:left="558" w:right="108"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24"/>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pacing w:val="-4"/>
          <w:sz w:val="21"/>
          <w:szCs w:val="21"/>
        </w:rPr>
        <w:t>本公司的长期股权投资包括对子公司的投资、对合营企业、联营企业的投资和其他长期股权投资。</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Century Gothic" w:hAnsi="Century Gothic" w:cs="Century Gothic" w:eastAsia="Century Gothic" w:hint="default"/>
          <w:b/>
          <w:bCs/>
          <w:sz w:val="21"/>
          <w:szCs w:val="21"/>
        </w:rPr>
        <w:t>1.</w:t>
      </w:r>
      <w:r>
        <w:rPr>
          <w:rFonts w:ascii="Century Gothic" w:hAnsi="Century Gothic" w:cs="Century Gothic" w:eastAsia="Century Gothic" w:hint="default"/>
          <w:b/>
          <w:bCs/>
          <w:spacing w:val="41"/>
          <w:sz w:val="21"/>
          <w:szCs w:val="21"/>
        </w:rPr>
        <w:t> </w:t>
      </w:r>
      <w:r>
        <w:rPr>
          <w:rFonts w:ascii="宋体" w:hAnsi="宋体" w:cs="宋体" w:eastAsia="宋体" w:hint="default"/>
          <w:b/>
          <w:bCs/>
          <w:sz w:val="21"/>
          <w:szCs w:val="21"/>
        </w:rPr>
        <w:t>初始投资成本的确定</w:t>
      </w:r>
      <w:r>
        <w:rPr>
          <w:rFonts w:ascii="宋体" w:hAnsi="宋体" w:cs="宋体" w:eastAsia="宋体" w:hint="default"/>
          <w:b/>
          <w:bCs/>
          <w:w w:val="99"/>
          <w:sz w:val="21"/>
          <w:szCs w:val="21"/>
        </w:rPr>
        <w:t> </w:t>
      </w:r>
      <w:r>
        <w:rPr>
          <w:rFonts w:ascii="宋体" w:hAnsi="宋体" w:cs="宋体" w:eastAsia="宋体" w:hint="default"/>
          <w:sz w:val="21"/>
          <w:szCs w:val="21"/>
        </w:rPr>
        <w:t>本公司对子公司的投资按照初始投资成本计价，控股合并形成的长期股权投资的初始计量参见本</w:t>
      </w:r>
    </w:p>
    <w:p>
      <w:pPr>
        <w:pStyle w:val="BodyText"/>
        <w:spacing w:line="357" w:lineRule="auto" w:before="38"/>
        <w:ind w:right="214"/>
        <w:jc w:val="both"/>
      </w:pPr>
      <w:r>
        <w:rPr>
          <w:spacing w:val="-2"/>
        </w:rPr>
        <w:t>附注二之（五）同一控制下和非同一控制下企业合并的会计处理方法。追加或收回投资调整长期股权</w:t>
      </w:r>
      <w:r>
        <w:rPr>
          <w:spacing w:val="-68"/>
        </w:rPr>
        <w:t> </w:t>
      </w:r>
      <w:r>
        <w:rPr>
          <w:spacing w:val="-68"/>
        </w:rPr>
      </w:r>
      <w:r>
        <w:rPr/>
        <w:t>投资的成本。</w:t>
      </w:r>
    </w:p>
    <w:p>
      <w:pPr>
        <w:pStyle w:val="BodyText"/>
        <w:spacing w:line="357" w:lineRule="auto" w:before="31"/>
        <w:ind w:right="214" w:firstLine="420"/>
        <w:jc w:val="both"/>
      </w:pPr>
      <w:r>
        <w:rPr>
          <w:spacing w:val="-2"/>
        </w:rPr>
        <w:t>本公司对被投资单位具有共同控制或重大影响的长期股权投资，以及对被投资单位不具有共同控</w:t>
      </w:r>
      <w:r>
        <w:rPr/>
        <w:t> </w:t>
      </w:r>
      <w:r>
        <w:rPr>
          <w:spacing w:val="-2"/>
        </w:rPr>
        <w:t>制或重大影响，并且在活跃市场中没有报价、公允价值不能可靠计量的长期股权投资，均按照初始投</w:t>
      </w:r>
      <w:r>
        <w:rPr>
          <w:spacing w:val="-68"/>
        </w:rPr>
        <w:t> </w:t>
      </w:r>
      <w:r>
        <w:rPr>
          <w:spacing w:val="-68"/>
        </w:rPr>
      </w:r>
      <w:r>
        <w:rPr/>
        <w:t>资成本计价。</w:t>
      </w:r>
    </w:p>
    <w:p>
      <w:pPr>
        <w:spacing w:line="336" w:lineRule="auto" w:before="31"/>
        <w:ind w:left="558" w:right="146" w:firstLine="2"/>
        <w:jc w:val="left"/>
        <w:rPr>
          <w:rFonts w:ascii="宋体" w:hAnsi="宋体" w:cs="宋体" w:eastAsia="宋体" w:hint="default"/>
          <w:sz w:val="21"/>
          <w:szCs w:val="21"/>
        </w:rPr>
      </w:pPr>
      <w:r>
        <w:rPr>
          <w:rFonts w:ascii="Century Gothic" w:hAnsi="Century Gothic" w:cs="Century Gothic" w:eastAsia="Century Gothic" w:hint="default"/>
          <w:b/>
          <w:bCs/>
          <w:sz w:val="21"/>
          <w:szCs w:val="21"/>
        </w:rPr>
        <w:t>2.</w:t>
      </w:r>
      <w:r>
        <w:rPr>
          <w:rFonts w:ascii="Century Gothic" w:hAnsi="Century Gothic" w:cs="Century Gothic" w:eastAsia="Century Gothic" w:hint="default"/>
          <w:b/>
          <w:bCs/>
          <w:spacing w:val="41"/>
          <w:sz w:val="21"/>
          <w:szCs w:val="21"/>
        </w:rPr>
        <w:t> </w:t>
      </w:r>
      <w:r>
        <w:rPr>
          <w:rFonts w:ascii="宋体" w:hAnsi="宋体" w:cs="宋体" w:eastAsia="宋体" w:hint="default"/>
          <w:b/>
          <w:bCs/>
          <w:sz w:val="21"/>
          <w:szCs w:val="21"/>
        </w:rPr>
        <w:t>后续计量及损益确认方法</w:t>
      </w:r>
      <w:r>
        <w:rPr>
          <w:rFonts w:ascii="宋体" w:hAnsi="宋体" w:cs="宋体" w:eastAsia="宋体" w:hint="default"/>
          <w:b/>
          <w:bCs/>
          <w:w w:val="99"/>
          <w:sz w:val="21"/>
          <w:szCs w:val="21"/>
        </w:rPr>
        <w:t> </w:t>
      </w:r>
      <w:r>
        <w:rPr>
          <w:rFonts w:ascii="宋体" w:hAnsi="宋体" w:cs="宋体" w:eastAsia="宋体" w:hint="default"/>
          <w:sz w:val="21"/>
          <w:szCs w:val="21"/>
        </w:rPr>
        <w:t>本公司对子公司的投资的后续计量采用成本法核算，编制合并财务报表时按照权益法进行调整。</w:t>
      </w:r>
    </w:p>
    <w:p>
      <w:pPr>
        <w:pStyle w:val="BodyText"/>
        <w:spacing w:line="357" w:lineRule="auto" w:before="51"/>
        <w:ind w:right="214"/>
        <w:jc w:val="both"/>
      </w:pPr>
      <w:r>
        <w:rPr>
          <w:spacing w:val="-2"/>
        </w:rPr>
        <w:t>除取得投资时实际支付的价款或对价中包含的已宣告但尚未发放的现金股利或利润外，按照享有被投</w:t>
      </w:r>
      <w:r>
        <w:rPr>
          <w:spacing w:val="-68"/>
        </w:rPr>
        <w:t> </w:t>
      </w:r>
      <w:r>
        <w:rPr>
          <w:spacing w:val="-68"/>
        </w:rPr>
      </w:r>
      <w:r>
        <w:rPr/>
        <w:t>资单位宣告发放的现金股利或利润确认投资收益。</w:t>
      </w:r>
    </w:p>
    <w:p>
      <w:pPr>
        <w:pStyle w:val="BodyText"/>
        <w:spacing w:line="357" w:lineRule="auto" w:before="31"/>
        <w:ind w:right="213" w:firstLine="420"/>
        <w:jc w:val="both"/>
      </w:pPr>
      <w:r>
        <w:rPr>
          <w:spacing w:val="-2"/>
        </w:rPr>
        <w:t>本公司对被投资单位具有共同控制或重大影响的长期股权投资，后续计量采用权益法核算。长期</w:t>
      </w:r>
      <w:r>
        <w:rPr/>
        <w:t> </w:t>
      </w:r>
      <w:r>
        <w:rPr>
          <w:spacing w:val="-2"/>
        </w:rPr>
        <w:t>股权投资的初始投资成本大于投资时应享有被投资单位可辨认净资产公允价值份额的，不调整长期股</w:t>
      </w:r>
      <w:r>
        <w:rPr>
          <w:spacing w:val="-68"/>
        </w:rPr>
        <w:t> </w:t>
      </w:r>
      <w:r>
        <w:rPr>
          <w:spacing w:val="-68"/>
        </w:rPr>
      </w:r>
      <w:r>
        <w:rPr>
          <w:spacing w:val="-2"/>
        </w:rPr>
        <w:t>权投资的初始投资成本；长期股权投资的初始投资成本小于投资时应享有被投资单位可辨认净资产公</w:t>
      </w:r>
      <w:r>
        <w:rPr>
          <w:spacing w:val="-68"/>
        </w:rPr>
        <w:t> </w:t>
      </w:r>
      <w:r>
        <w:rPr>
          <w:spacing w:val="-68"/>
        </w:rPr>
      </w:r>
      <w:r>
        <w:rPr>
          <w:spacing w:val="-2"/>
        </w:rPr>
        <w:t>允价值份额的，其差额应当计入当期损益，同时调整长期股权投资的成本。取得长期股权投资后，按</w:t>
      </w:r>
      <w:r>
        <w:rPr>
          <w:spacing w:val="-67"/>
        </w:rPr>
        <w:t> </w:t>
      </w:r>
      <w:r>
        <w:rPr>
          <w:spacing w:val="-67"/>
        </w:rPr>
      </w:r>
      <w:r>
        <w:rPr/>
        <w:t>照应享有或应分担的被投资单位实现的净损益的份额，确认投资损益并调整长期股权投资的账面价</w:t>
      </w:r>
    </w:p>
    <w:p>
      <w:pPr>
        <w:spacing w:line="240" w:lineRule="auto" w:before="5"/>
        <w:rPr>
          <w:rFonts w:ascii="宋体" w:hAnsi="宋体" w:cs="宋体" w:eastAsia="宋体" w:hint="default"/>
          <w:sz w:val="17"/>
          <w:szCs w:val="17"/>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52</w:t>
      </w:r>
    </w:p>
    <w:p>
      <w:pPr>
        <w:spacing w:after="0"/>
        <w:jc w:val="center"/>
        <w:rPr>
          <w:rFonts w:ascii="Times New Roman" w:hAnsi="Times New Roman" w:cs="Times New Roman" w:eastAsia="Times New Roman" w:hint="default"/>
          <w:sz w:val="18"/>
          <w:szCs w:val="18"/>
        </w:rPr>
        <w:sectPr>
          <w:pgSz w:w="11910" w:h="16840"/>
          <w:pgMar w:top="780" w:bottom="280" w:left="1160" w:right="120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70.860001pt;margin-top:-9.926001pt;width:84.0pt;height:23.94pt;mso-position-horizontal-relative:page;mso-position-vertical-relative:paragraph;z-index:4192"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57" w:lineRule="auto" w:before="0"/>
        <w:ind w:right="214"/>
        <w:jc w:val="both"/>
      </w:pPr>
      <w:r>
        <w:rPr>
          <w:spacing w:val="-2"/>
        </w:rPr>
        <w:t>值。本公司按照被投资单位宣告分派的利润或现金股利计算应分得的部分，相应减少长期股权投资的</w:t>
      </w:r>
      <w:r>
        <w:rPr>
          <w:spacing w:val="-69"/>
        </w:rPr>
        <w:t> </w:t>
      </w:r>
      <w:r>
        <w:rPr>
          <w:spacing w:val="-69"/>
        </w:rPr>
      </w:r>
      <w:r>
        <w:rPr/>
        <w:t>账面价值。</w:t>
      </w:r>
    </w:p>
    <w:p>
      <w:pPr>
        <w:pStyle w:val="BodyText"/>
        <w:spacing w:line="357" w:lineRule="auto" w:before="31"/>
        <w:ind w:right="152" w:firstLine="420"/>
        <w:jc w:val="left"/>
      </w:pPr>
      <w:r>
        <w:rPr>
          <w:spacing w:val="-2"/>
        </w:rPr>
        <w:t>本公司对被投资单位不具有共同控制或重大影响，并且在活跃市场中没有报价、公允价值不能可</w:t>
      </w:r>
      <w:r>
        <w:rPr/>
        <w:t> 靠计量的长期股权投资，后续计量采用成本法核算。</w:t>
      </w:r>
    </w:p>
    <w:p>
      <w:pPr>
        <w:spacing w:line="336" w:lineRule="auto" w:before="31"/>
        <w:ind w:left="558" w:right="152" w:firstLine="2"/>
        <w:jc w:val="left"/>
        <w:rPr>
          <w:rFonts w:ascii="宋体" w:hAnsi="宋体" w:cs="宋体" w:eastAsia="宋体" w:hint="default"/>
          <w:sz w:val="21"/>
          <w:szCs w:val="21"/>
        </w:rPr>
      </w:pPr>
      <w:r>
        <w:rPr>
          <w:rFonts w:ascii="Century Gothic" w:hAnsi="Century Gothic" w:cs="Century Gothic" w:eastAsia="Century Gothic" w:hint="default"/>
          <w:b/>
          <w:bCs/>
          <w:sz w:val="21"/>
          <w:szCs w:val="21"/>
        </w:rPr>
        <w:t>3.</w:t>
      </w:r>
      <w:r>
        <w:rPr>
          <w:rFonts w:ascii="Century Gothic" w:hAnsi="Century Gothic" w:cs="Century Gothic" w:eastAsia="Century Gothic" w:hint="default"/>
          <w:b/>
          <w:bCs/>
          <w:spacing w:val="41"/>
          <w:sz w:val="21"/>
          <w:szCs w:val="21"/>
        </w:rPr>
        <w:t> </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pacing w:val="-2"/>
          <w:sz w:val="21"/>
          <w:szCs w:val="21"/>
        </w:rPr>
        <w:t>共同控制，是指按照合同约定对某项经济活动所共有的控制，仅在与该项经济活动相关的重要财</w:t>
      </w:r>
    </w:p>
    <w:p>
      <w:pPr>
        <w:pStyle w:val="BodyText"/>
        <w:spacing w:line="357" w:lineRule="auto" w:before="50"/>
        <w:ind w:right="165"/>
        <w:jc w:val="both"/>
      </w:pPr>
      <w:r>
        <w:rPr>
          <w:spacing w:val="-2"/>
        </w:rPr>
        <w:t>务和经营决策需要分享控制权的投资方一致同意时存在。投资企业与其他方对被投资单位实施共同控</w:t>
      </w:r>
      <w:r>
        <w:rPr>
          <w:spacing w:val="-68"/>
        </w:rPr>
        <w:t> </w:t>
      </w:r>
      <w:r>
        <w:rPr>
          <w:spacing w:val="-68"/>
        </w:rPr>
      </w:r>
      <w:r>
        <w:rPr/>
        <w:t>制的，被投资单位为其合营企业；重大影响，是指对一个企业的财务和经营政策有参与决策的权力， </w:t>
      </w:r>
      <w:r>
        <w:rPr>
          <w:spacing w:val="-2"/>
        </w:rPr>
        <w:t>但并不能够控制或者与其他方一起共同控制这些政策的制定。投资企业能够对被投资单位施加重大影</w:t>
      </w:r>
      <w:r>
        <w:rPr>
          <w:spacing w:val="-68"/>
        </w:rPr>
        <w:t> </w:t>
      </w:r>
      <w:r>
        <w:rPr>
          <w:spacing w:val="-68"/>
        </w:rPr>
      </w:r>
      <w:r>
        <w:rPr/>
        <w:t>响的，被投资单位为其联营企业。</w:t>
      </w:r>
    </w:p>
    <w:p>
      <w:pPr>
        <w:spacing w:line="338" w:lineRule="auto" w:before="31"/>
        <w:ind w:left="558" w:right="152" w:firstLine="2"/>
        <w:jc w:val="left"/>
        <w:rPr>
          <w:rFonts w:ascii="宋体" w:hAnsi="宋体" w:cs="宋体" w:eastAsia="宋体" w:hint="default"/>
          <w:sz w:val="21"/>
          <w:szCs w:val="21"/>
        </w:rPr>
      </w:pPr>
      <w:r>
        <w:rPr>
          <w:rFonts w:ascii="Century Gothic" w:hAnsi="Century Gothic" w:cs="Century Gothic" w:eastAsia="Century Gothic" w:hint="default"/>
          <w:b/>
          <w:bCs/>
          <w:sz w:val="21"/>
          <w:szCs w:val="21"/>
        </w:rPr>
        <w:t>4.</w:t>
      </w:r>
      <w:r>
        <w:rPr>
          <w:rFonts w:ascii="Century Gothic" w:hAnsi="Century Gothic" w:cs="Century Gothic" w:eastAsia="Century Gothic" w:hint="default"/>
          <w:b/>
          <w:bCs/>
          <w:spacing w:val="41"/>
          <w:sz w:val="21"/>
          <w:szCs w:val="21"/>
        </w:rPr>
        <w:t> </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pacing w:val="-2"/>
          <w:sz w:val="21"/>
          <w:szCs w:val="21"/>
        </w:rPr>
        <w:t>资产负债表日，若因市价持续下跌或被投资单位经营状况恶化等原因使长期股权投资存在减值迹</w:t>
      </w:r>
    </w:p>
    <w:p>
      <w:pPr>
        <w:pStyle w:val="BodyText"/>
        <w:spacing w:line="357" w:lineRule="auto" w:before="48"/>
        <w:ind w:right="164"/>
        <w:jc w:val="both"/>
      </w:pPr>
      <w:r>
        <w:rPr>
          <w:spacing w:val="-2"/>
        </w:rPr>
        <w:t>象时，根据单项长期股权投资的公允价值减去处置费用后的净额与长期股权投资预计未来现金流量的</w:t>
      </w:r>
      <w:r>
        <w:rPr>
          <w:spacing w:val="-68"/>
        </w:rPr>
        <w:t> </w:t>
      </w:r>
      <w:r>
        <w:rPr>
          <w:spacing w:val="-68"/>
        </w:rPr>
      </w:r>
      <w:r>
        <w:rPr/>
        <w:t>现值两者之间较高者确定长期股权投资的可收回金额。长期股权投资的可收回金额低于账面价值时， </w:t>
      </w:r>
      <w:r>
        <w:rPr>
          <w:spacing w:val="-2"/>
        </w:rPr>
        <w:t>将资产的账面价值减记至可收回金额，减记的金额确认为资产减值损失，计入当期损益，同时计提相</w:t>
      </w:r>
      <w:r>
        <w:rPr>
          <w:spacing w:val="-68"/>
        </w:rPr>
        <w:t> </w:t>
      </w:r>
      <w:r>
        <w:rPr>
          <w:spacing w:val="-68"/>
        </w:rPr>
      </w:r>
      <w:r>
        <w:rPr/>
        <w:t>应的资产减值准备。长期股权投资减值损失一经确认，在以后会计期间不再转回。</w:t>
      </w:r>
    </w:p>
    <w:p>
      <w:pPr>
        <w:pStyle w:val="Heading4"/>
        <w:spacing w:line="240" w:lineRule="auto" w:before="31"/>
        <w:ind w:right="152"/>
        <w:jc w:val="left"/>
        <w:rPr>
          <w:rFonts w:ascii="宋体" w:hAnsi="宋体" w:cs="宋体" w:eastAsia="宋体" w:hint="default"/>
          <w:b w:val="0"/>
          <w:bCs w:val="0"/>
        </w:rPr>
      </w:pPr>
      <w:r>
        <w:rPr>
          <w:rFonts w:ascii="宋体" w:hAnsi="宋体" w:cs="宋体" w:eastAsia="宋体" w:hint="default"/>
        </w:rPr>
        <w:t>（十三）</w:t>
      </w:r>
      <w:r>
        <w:rPr>
          <w:rFonts w:ascii="宋体" w:hAnsi="宋体" w:cs="宋体" w:eastAsia="宋体" w:hint="default"/>
          <w:spacing w:val="-28"/>
        </w:rPr>
        <w:t> </w:t>
      </w:r>
      <w:r>
        <w:rPr>
          <w:rFonts w:ascii="宋体" w:hAnsi="宋体" w:cs="宋体" w:eastAsia="宋体" w:hint="default"/>
        </w:rPr>
        <w:t>固定资产</w:t>
      </w:r>
      <w:r>
        <w:rPr>
          <w:rFonts w:ascii="宋体" w:hAnsi="宋体" w:cs="宋体" w:eastAsia="宋体" w:hint="default"/>
          <w:b w:val="0"/>
          <w:bCs w:val="0"/>
        </w:rPr>
      </w:r>
    </w:p>
    <w:p>
      <w:pPr>
        <w:spacing w:line="336" w:lineRule="auto" w:before="134"/>
        <w:ind w:left="558" w:right="356" w:firstLine="2"/>
        <w:jc w:val="left"/>
        <w:rPr>
          <w:rFonts w:ascii="宋体" w:hAnsi="宋体" w:cs="宋体" w:eastAsia="宋体" w:hint="default"/>
          <w:sz w:val="21"/>
          <w:szCs w:val="21"/>
        </w:rPr>
      </w:pPr>
      <w:r>
        <w:rPr>
          <w:rFonts w:ascii="Century Gothic" w:hAnsi="Century Gothic" w:cs="Century Gothic" w:eastAsia="Century Gothic" w:hint="default"/>
          <w:b/>
          <w:bCs/>
          <w:sz w:val="21"/>
          <w:szCs w:val="21"/>
        </w:rPr>
        <w:t>1.</w:t>
      </w:r>
      <w:r>
        <w:rPr>
          <w:rFonts w:ascii="Century Gothic" w:hAnsi="Century Gothic" w:cs="Century Gothic" w:eastAsia="Century Gothic" w:hint="default"/>
          <w:b/>
          <w:bCs/>
          <w:spacing w:val="41"/>
          <w:sz w:val="21"/>
          <w:szCs w:val="21"/>
        </w:rPr>
        <w:t> </w:t>
      </w:r>
      <w:r>
        <w:rPr>
          <w:rFonts w:ascii="宋体" w:hAnsi="宋体" w:cs="宋体" w:eastAsia="宋体" w:hint="default"/>
          <w:b/>
          <w:bCs/>
          <w:sz w:val="21"/>
          <w:szCs w:val="21"/>
        </w:rPr>
        <w:t>固定资产确认条件</w:t>
      </w:r>
      <w:r>
        <w:rPr>
          <w:rFonts w:ascii="宋体" w:hAnsi="宋体" w:cs="宋体" w:eastAsia="宋体" w:hint="default"/>
          <w:b/>
          <w:bCs/>
          <w:w w:val="99"/>
          <w:sz w:val="21"/>
          <w:szCs w:val="21"/>
        </w:rPr>
        <w:t> </w:t>
      </w:r>
      <w:r>
        <w:rPr>
          <w:rFonts w:ascii="宋体" w:hAnsi="宋体" w:cs="宋体" w:eastAsia="宋体" w:hint="default"/>
          <w:sz w:val="21"/>
          <w:szCs w:val="21"/>
        </w:rPr>
        <w:t>固定资产指同时满足与该固定资产有关的经济利益很可能流入公司和该固定资产的成本能够可</w:t>
      </w:r>
    </w:p>
    <w:p>
      <w:pPr>
        <w:pStyle w:val="BodyText"/>
        <w:spacing w:line="357" w:lineRule="auto" w:before="51"/>
        <w:ind w:right="214"/>
        <w:jc w:val="both"/>
      </w:pPr>
      <w:r>
        <w:rPr>
          <w:spacing w:val="-2"/>
        </w:rPr>
        <w:t>靠地计量条件的，为生产商品、提供劳务、出租或经营管理而持有的使用寿命超过一个会计年度的有</w:t>
      </w:r>
      <w:r>
        <w:rPr>
          <w:spacing w:val="-68"/>
        </w:rPr>
        <w:t> </w:t>
      </w:r>
      <w:r>
        <w:rPr>
          <w:spacing w:val="-68"/>
        </w:rPr>
      </w:r>
      <w:r>
        <w:rPr/>
        <w:t>形资产。</w:t>
      </w:r>
    </w:p>
    <w:p>
      <w:pPr>
        <w:spacing w:line="336" w:lineRule="auto" w:before="31"/>
        <w:ind w:left="558" w:right="152" w:firstLine="2"/>
        <w:jc w:val="left"/>
        <w:rPr>
          <w:rFonts w:ascii="宋体" w:hAnsi="宋体" w:cs="宋体" w:eastAsia="宋体" w:hint="default"/>
          <w:sz w:val="21"/>
          <w:szCs w:val="21"/>
        </w:rPr>
      </w:pPr>
      <w:r>
        <w:rPr>
          <w:rFonts w:ascii="Century Gothic" w:hAnsi="Century Gothic" w:cs="Century Gothic" w:eastAsia="Century Gothic" w:hint="default"/>
          <w:b/>
          <w:bCs/>
          <w:sz w:val="21"/>
          <w:szCs w:val="21"/>
        </w:rPr>
        <w:t>2.</w:t>
      </w:r>
      <w:r>
        <w:rPr>
          <w:rFonts w:ascii="Century Gothic" w:hAnsi="Century Gothic" w:cs="Century Gothic" w:eastAsia="Century Gothic" w:hint="default"/>
          <w:b/>
          <w:bCs/>
          <w:spacing w:val="41"/>
          <w:sz w:val="21"/>
          <w:szCs w:val="21"/>
        </w:rPr>
        <w:t> </w:t>
      </w:r>
      <w:r>
        <w:rPr>
          <w:rFonts w:ascii="宋体" w:hAnsi="宋体" w:cs="宋体" w:eastAsia="宋体" w:hint="default"/>
          <w:b/>
          <w:bCs/>
          <w:sz w:val="21"/>
          <w:szCs w:val="21"/>
        </w:rPr>
        <w:t>各类固定资产的折旧方法</w:t>
      </w:r>
      <w:r>
        <w:rPr>
          <w:rFonts w:ascii="宋体" w:hAnsi="宋体" w:cs="宋体" w:eastAsia="宋体" w:hint="default"/>
          <w:b/>
          <w:bCs/>
          <w:w w:val="99"/>
          <w:sz w:val="21"/>
          <w:szCs w:val="21"/>
        </w:rPr>
        <w:t> </w:t>
      </w:r>
      <w:r>
        <w:rPr>
          <w:rFonts w:ascii="宋体" w:hAnsi="宋体" w:cs="宋体" w:eastAsia="宋体" w:hint="default"/>
          <w:spacing w:val="-2"/>
          <w:sz w:val="21"/>
          <w:szCs w:val="21"/>
        </w:rPr>
        <w:t>除已提足折旧仍继续使用的固定资产之外，本公司对所有固定资产计提折旧。折旧方法采用年限</w:t>
      </w:r>
    </w:p>
    <w:p>
      <w:pPr>
        <w:pStyle w:val="BodyText"/>
        <w:spacing w:line="240" w:lineRule="auto" w:before="51"/>
        <w:ind w:right="0"/>
        <w:jc w:val="both"/>
      </w:pPr>
      <w:r>
        <w:rPr/>
        <w:t>平均法。</w:t>
      </w:r>
    </w:p>
    <w:p>
      <w:pPr>
        <w:pStyle w:val="BodyText"/>
        <w:spacing w:line="357" w:lineRule="auto" w:before="134"/>
        <w:ind w:right="109" w:firstLine="419"/>
        <w:jc w:val="left"/>
      </w:pPr>
      <w:r>
        <w:rPr>
          <w:spacing w:val="-4"/>
        </w:rPr>
        <w:t>本公司根据固定资产的性质和使用情况，确定固定资产的使用寿命和预计净残值。并在年度终了，</w:t>
      </w:r>
      <w:r>
        <w:rPr/>
        <w:t> 对固定资产的使用寿命、预计净残值和折旧方法进行复核，如与原先估计数存在差异的，进行相应的 调整。</w:t>
      </w:r>
    </w:p>
    <w:p>
      <w:pPr>
        <w:pStyle w:val="BodyText"/>
        <w:spacing w:line="240" w:lineRule="auto" w:before="32"/>
        <w:ind w:left="558" w:right="152"/>
        <w:jc w:val="left"/>
      </w:pPr>
      <w:r>
        <w:rPr/>
        <w:t>本公司的固定资产类别、折旧年限、残值率和年折旧率如下：</w:t>
      </w:r>
    </w:p>
    <w:p>
      <w:pPr>
        <w:spacing w:line="240" w:lineRule="auto" w:before="11"/>
        <w:rPr>
          <w:rFonts w:ascii="宋体" w:hAnsi="宋体" w:cs="宋体" w:eastAsia="宋体" w:hint="default"/>
          <w:sz w:val="12"/>
          <w:szCs w:val="12"/>
        </w:rPr>
      </w:pPr>
    </w:p>
    <w:tbl>
      <w:tblPr>
        <w:tblW w:w="0" w:type="auto"/>
        <w:jc w:val="left"/>
        <w:tblInd w:w="281" w:type="dxa"/>
        <w:tblLayout w:type="fixed"/>
        <w:tblCellMar>
          <w:top w:w="0" w:type="dxa"/>
          <w:left w:w="0" w:type="dxa"/>
          <w:bottom w:w="0" w:type="dxa"/>
          <w:right w:w="0" w:type="dxa"/>
        </w:tblCellMar>
        <w:tblLook w:val="01E0"/>
      </w:tblPr>
      <w:tblGrid>
        <w:gridCol w:w="2430"/>
        <w:gridCol w:w="2414"/>
        <w:gridCol w:w="1804"/>
        <w:gridCol w:w="2210"/>
      </w:tblGrid>
      <w:tr>
        <w:trPr>
          <w:trHeight w:val="431" w:hRule="exact"/>
        </w:trPr>
        <w:tc>
          <w:tcPr>
            <w:tcW w:w="2430"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1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04" w:type="dxa"/>
            <w:tcBorders>
              <w:top w:val="single" w:sz="12" w:space="0" w:color="000000"/>
              <w:left w:val="single" w:sz="6" w:space="0" w:color="000000"/>
              <w:bottom w:val="single" w:sz="6" w:space="0" w:color="000000"/>
              <w:right w:val="single" w:sz="6" w:space="0" w:color="000000"/>
            </w:tcBorders>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2210" w:type="dxa"/>
            <w:tcBorders>
              <w:top w:val="single" w:sz="12" w:space="0" w:color="000000"/>
              <w:left w:val="single" w:sz="6" w:space="0" w:color="000000"/>
              <w:bottom w:val="single" w:sz="6" w:space="0" w:color="000000"/>
              <w:right w:val="nil" w:sz="6" w:space="0" w:color="auto"/>
            </w:tcBorders>
          </w:tcPr>
          <w:p>
            <w:pPr>
              <w:pStyle w:val="TableParagraph"/>
              <w:spacing w:line="258" w:lineRule="exact"/>
              <w:ind w:right="5"/>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r>
      <w:tr>
        <w:trPr>
          <w:trHeight w:val="425" w:hRule="exact"/>
        </w:trPr>
        <w:tc>
          <w:tcPr>
            <w:tcW w:w="2430"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25-45</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w w:val="99"/>
                <w:sz w:val="21"/>
              </w:rPr>
              <w:t>5</w:t>
            </w:r>
            <w:r>
              <w:rPr>
                <w:rFonts w:ascii="Century Gothic"/>
                <w:sz w:val="21"/>
              </w:rPr>
            </w:r>
          </w:p>
        </w:tc>
        <w:tc>
          <w:tcPr>
            <w:tcW w:w="221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5"/>
              <w:jc w:val="center"/>
              <w:rPr>
                <w:rFonts w:ascii="Century Gothic" w:hAnsi="Century Gothic" w:cs="Century Gothic" w:eastAsia="Century Gothic" w:hint="default"/>
                <w:sz w:val="21"/>
                <w:szCs w:val="21"/>
              </w:rPr>
            </w:pPr>
            <w:r>
              <w:rPr>
                <w:rFonts w:ascii="Century Gothic"/>
                <w:sz w:val="21"/>
              </w:rPr>
              <w:t>3.80-2.11</w:t>
            </w:r>
          </w:p>
        </w:tc>
      </w:tr>
      <w:tr>
        <w:trPr>
          <w:trHeight w:val="425" w:hRule="exact"/>
        </w:trPr>
        <w:tc>
          <w:tcPr>
            <w:tcW w:w="2430"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通用设备</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12-18</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w w:val="99"/>
                <w:sz w:val="21"/>
              </w:rPr>
              <w:t>5</w:t>
            </w:r>
            <w:r>
              <w:rPr>
                <w:rFonts w:ascii="Century Gothic"/>
                <w:sz w:val="21"/>
              </w:rPr>
            </w:r>
          </w:p>
        </w:tc>
        <w:tc>
          <w:tcPr>
            <w:tcW w:w="221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5"/>
              <w:jc w:val="center"/>
              <w:rPr>
                <w:rFonts w:ascii="Century Gothic" w:hAnsi="Century Gothic" w:cs="Century Gothic" w:eastAsia="Century Gothic" w:hint="default"/>
                <w:sz w:val="21"/>
                <w:szCs w:val="21"/>
              </w:rPr>
            </w:pPr>
            <w:r>
              <w:rPr>
                <w:rFonts w:ascii="Century Gothic"/>
                <w:sz w:val="21"/>
              </w:rPr>
              <w:t>7.92-5.27</w:t>
            </w:r>
          </w:p>
        </w:tc>
      </w:tr>
      <w:tr>
        <w:trPr>
          <w:trHeight w:val="424" w:hRule="exact"/>
        </w:trPr>
        <w:tc>
          <w:tcPr>
            <w:tcW w:w="2430"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专用设备</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5-35</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w w:val="99"/>
                <w:sz w:val="21"/>
              </w:rPr>
              <w:t>5</w:t>
            </w:r>
            <w:r>
              <w:rPr>
                <w:rFonts w:ascii="Century Gothic"/>
                <w:sz w:val="21"/>
              </w:rPr>
            </w:r>
          </w:p>
        </w:tc>
        <w:tc>
          <w:tcPr>
            <w:tcW w:w="221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4"/>
              <w:jc w:val="center"/>
              <w:rPr>
                <w:rFonts w:ascii="Century Gothic" w:hAnsi="Century Gothic" w:cs="Century Gothic" w:eastAsia="Century Gothic" w:hint="default"/>
                <w:sz w:val="21"/>
                <w:szCs w:val="21"/>
              </w:rPr>
            </w:pPr>
            <w:r>
              <w:rPr>
                <w:rFonts w:ascii="Century Gothic"/>
                <w:sz w:val="21"/>
              </w:rPr>
              <w:t>19.00-2.71</w:t>
            </w:r>
          </w:p>
        </w:tc>
      </w:tr>
      <w:tr>
        <w:trPr>
          <w:trHeight w:val="433" w:hRule="exact"/>
        </w:trPr>
        <w:tc>
          <w:tcPr>
            <w:tcW w:w="2430"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5-12</w:t>
            </w:r>
          </w:p>
        </w:tc>
        <w:tc>
          <w:tcPr>
            <w:tcW w:w="1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w w:val="99"/>
                <w:sz w:val="21"/>
              </w:rPr>
              <w:t>5</w:t>
            </w:r>
            <w:r>
              <w:rPr>
                <w:rFonts w:ascii="Century Gothic"/>
                <w:sz w:val="21"/>
              </w:rPr>
            </w:r>
          </w:p>
        </w:tc>
        <w:tc>
          <w:tcPr>
            <w:tcW w:w="2210"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4"/>
              <w:jc w:val="center"/>
              <w:rPr>
                <w:rFonts w:ascii="Century Gothic" w:hAnsi="Century Gothic" w:cs="Century Gothic" w:eastAsia="Century Gothic" w:hint="default"/>
                <w:sz w:val="21"/>
                <w:szCs w:val="21"/>
              </w:rPr>
            </w:pPr>
            <w:r>
              <w:rPr>
                <w:rFonts w:ascii="Century Gothic"/>
                <w:sz w:val="21"/>
              </w:rPr>
              <w:t>19.00-7.91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53</w:t>
      </w:r>
    </w:p>
    <w:p>
      <w:pPr>
        <w:spacing w:after="0"/>
        <w:jc w:val="center"/>
        <w:rPr>
          <w:rFonts w:ascii="Times New Roman" w:hAnsi="Times New Roman" w:cs="Times New Roman" w:eastAsia="Times New Roman" w:hint="default"/>
          <w:sz w:val="18"/>
          <w:szCs w:val="18"/>
        </w:rPr>
        <w:sectPr>
          <w:pgSz w:w="11910" w:h="16840"/>
          <w:pgMar w:top="780" w:bottom="280" w:left="1280" w:right="10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64.860001pt;margin-top:-9.926001pt;width:84.0pt;height:23.94pt;mso-position-horizontal-relative:page;mso-position-vertical-relative:paragraph;z-index:4240"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81" w:type="dxa"/>
        <w:tblLayout w:type="fixed"/>
        <w:tblCellMar>
          <w:top w:w="0" w:type="dxa"/>
          <w:left w:w="0" w:type="dxa"/>
          <w:bottom w:w="0" w:type="dxa"/>
          <w:right w:w="0" w:type="dxa"/>
        </w:tblCellMar>
        <w:tblLook w:val="01E0"/>
      </w:tblPr>
      <w:tblGrid>
        <w:gridCol w:w="2430"/>
        <w:gridCol w:w="2414"/>
        <w:gridCol w:w="1804"/>
        <w:gridCol w:w="2210"/>
      </w:tblGrid>
      <w:tr>
        <w:trPr>
          <w:trHeight w:val="431" w:hRule="exact"/>
        </w:trPr>
        <w:tc>
          <w:tcPr>
            <w:tcW w:w="2430"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1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1804"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2210" w:type="dxa"/>
            <w:tcBorders>
              <w:top w:val="single" w:sz="12" w:space="0" w:color="000000"/>
              <w:left w:val="single" w:sz="6" w:space="0" w:color="000000"/>
              <w:bottom w:val="single" w:sz="6" w:space="0" w:color="000000"/>
              <w:right w:val="nil" w:sz="6" w:space="0" w:color="auto"/>
            </w:tcBorders>
          </w:tcPr>
          <w:p>
            <w:pPr>
              <w:pStyle w:val="TableParagraph"/>
              <w:spacing w:line="257" w:lineRule="exact"/>
              <w:ind w:right="5"/>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r>
      <w:tr>
        <w:trPr>
          <w:trHeight w:val="425" w:hRule="exact"/>
        </w:trPr>
        <w:tc>
          <w:tcPr>
            <w:tcW w:w="2430"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5-10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w w:val="99"/>
                <w:sz w:val="21"/>
              </w:rPr>
              <w:t>5</w:t>
            </w:r>
            <w:r>
              <w:rPr>
                <w:rFonts w:ascii="Century Gothic"/>
                <w:sz w:val="21"/>
              </w:rPr>
            </w:r>
          </w:p>
        </w:tc>
        <w:tc>
          <w:tcPr>
            <w:tcW w:w="2210"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4"/>
              <w:jc w:val="center"/>
              <w:rPr>
                <w:rFonts w:ascii="Century Gothic" w:hAnsi="Century Gothic" w:cs="Century Gothic" w:eastAsia="Century Gothic" w:hint="default"/>
                <w:sz w:val="21"/>
                <w:szCs w:val="21"/>
              </w:rPr>
            </w:pPr>
            <w:r>
              <w:rPr>
                <w:rFonts w:ascii="Century Gothic"/>
                <w:sz w:val="21"/>
              </w:rPr>
              <w:t>19.00-9.50</w:t>
            </w:r>
          </w:p>
        </w:tc>
      </w:tr>
      <w:tr>
        <w:trPr>
          <w:trHeight w:val="433" w:hRule="exact"/>
        </w:trPr>
        <w:tc>
          <w:tcPr>
            <w:tcW w:w="2430"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固定资产装修</w:t>
            </w:r>
          </w:p>
        </w:tc>
        <w:tc>
          <w:tcPr>
            <w:tcW w:w="24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1"/>
              <w:jc w:val="center"/>
              <w:rPr>
                <w:rFonts w:ascii="Century Gothic" w:hAnsi="Century Gothic" w:cs="Century Gothic" w:eastAsia="Century Gothic" w:hint="default"/>
                <w:sz w:val="21"/>
                <w:szCs w:val="21"/>
              </w:rPr>
            </w:pPr>
            <w:r>
              <w:rPr>
                <w:rFonts w:ascii="Century Gothic"/>
                <w:w w:val="99"/>
                <w:sz w:val="21"/>
              </w:rPr>
              <w:t>5</w:t>
            </w:r>
            <w:r>
              <w:rPr>
                <w:rFonts w:ascii="Century Gothic"/>
                <w:sz w:val="21"/>
              </w:rPr>
            </w:r>
          </w:p>
        </w:tc>
        <w:tc>
          <w:tcPr>
            <w:tcW w:w="1804" w:type="dxa"/>
            <w:tcBorders>
              <w:top w:val="single" w:sz="6" w:space="0" w:color="000000"/>
              <w:left w:val="single" w:sz="6" w:space="0" w:color="000000"/>
              <w:bottom w:val="single" w:sz="12" w:space="0" w:color="000000"/>
              <w:right w:val="single" w:sz="6" w:space="0" w:color="000000"/>
            </w:tcBorders>
          </w:tcPr>
          <w:p>
            <w:pPr/>
          </w:p>
        </w:tc>
        <w:tc>
          <w:tcPr>
            <w:tcW w:w="2210"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5"/>
              <w:jc w:val="center"/>
              <w:rPr>
                <w:rFonts w:ascii="Century Gothic" w:hAnsi="Century Gothic" w:cs="Century Gothic" w:eastAsia="Century Gothic" w:hint="default"/>
                <w:sz w:val="21"/>
                <w:szCs w:val="21"/>
              </w:rPr>
            </w:pPr>
            <w:r>
              <w:rPr>
                <w:rFonts w:ascii="Century Gothic"/>
                <w:sz w:val="21"/>
              </w:rPr>
              <w:t>20</w:t>
            </w:r>
          </w:p>
        </w:tc>
      </w:tr>
    </w:tbl>
    <w:p>
      <w:pPr>
        <w:spacing w:line="336" w:lineRule="auto" w:before="94"/>
        <w:ind w:left="558" w:right="152" w:firstLine="0"/>
        <w:jc w:val="left"/>
        <w:rPr>
          <w:rFonts w:ascii="宋体" w:hAnsi="宋体" w:cs="宋体" w:eastAsia="宋体" w:hint="default"/>
          <w:sz w:val="21"/>
          <w:szCs w:val="21"/>
        </w:rPr>
      </w:pPr>
      <w:r>
        <w:rPr>
          <w:rFonts w:ascii="Century Gothic" w:hAnsi="Century Gothic" w:cs="Century Gothic" w:eastAsia="Century Gothic" w:hint="default"/>
          <w:b/>
          <w:bCs/>
          <w:sz w:val="21"/>
          <w:szCs w:val="21"/>
        </w:rPr>
        <w:t>3.</w:t>
      </w:r>
      <w:r>
        <w:rPr>
          <w:rFonts w:ascii="Century Gothic" w:hAnsi="Century Gothic" w:cs="Century Gothic" w:eastAsia="Century Gothic" w:hint="default"/>
          <w:b/>
          <w:bCs/>
          <w:spacing w:val="43"/>
          <w:sz w:val="21"/>
          <w:szCs w:val="21"/>
        </w:rPr>
        <w:t> </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99"/>
          <w:sz w:val="21"/>
          <w:szCs w:val="21"/>
        </w:rPr>
        <w:t> </w:t>
      </w:r>
      <w:r>
        <w:rPr>
          <w:rFonts w:ascii="宋体" w:hAnsi="宋体" w:cs="宋体" w:eastAsia="宋体" w:hint="default"/>
          <w:spacing w:val="-2"/>
          <w:sz w:val="21"/>
          <w:szCs w:val="21"/>
        </w:rPr>
        <w:t>资产负债表日，固定资产按照账面价值与可收回金额孰低计价。若单项固定资产的可收回金额低</w:t>
      </w:r>
    </w:p>
    <w:p>
      <w:pPr>
        <w:pStyle w:val="BodyText"/>
        <w:spacing w:line="357" w:lineRule="auto" w:before="50"/>
        <w:ind w:right="80"/>
        <w:jc w:val="left"/>
      </w:pPr>
      <w:r>
        <w:rPr>
          <w:spacing w:val="-4"/>
        </w:rPr>
        <w:t>于账面价值，将资产的账面价值减记至可收回金额，减记的金额确认为资产减值损失，计入当期损益，</w:t>
      </w:r>
      <w:r>
        <w:rPr>
          <w:spacing w:val="-81"/>
        </w:rPr>
        <w:t> </w:t>
      </w:r>
      <w:r>
        <w:rPr>
          <w:spacing w:val="-81"/>
        </w:rPr>
      </w:r>
      <w:r>
        <w:rPr/>
        <w:t>同时计提相应的资产减值准备。固定资产减值损失一经确认，在以后会计期间不再转回。</w:t>
      </w:r>
    </w:p>
    <w:p>
      <w:pPr>
        <w:pStyle w:val="BodyText"/>
        <w:spacing w:line="336" w:lineRule="auto" w:before="32"/>
        <w:ind w:left="558" w:right="152" w:firstLine="2"/>
        <w:jc w:val="left"/>
      </w:pPr>
      <w:r>
        <w:rPr>
          <w:rFonts w:ascii="Century Gothic" w:hAnsi="Century Gothic" w:cs="Century Gothic" w:eastAsia="Century Gothic" w:hint="default"/>
          <w:b/>
          <w:bCs/>
        </w:rPr>
        <w:t>4.</w:t>
      </w:r>
      <w:r>
        <w:rPr>
          <w:rFonts w:ascii="Century Gothic" w:hAnsi="Century Gothic" w:cs="Century Gothic" w:eastAsia="Century Gothic" w:hint="default"/>
          <w:b/>
          <w:bCs/>
          <w:spacing w:val="41"/>
        </w:rPr>
        <w:t> </w:t>
      </w:r>
      <w:r>
        <w:rPr>
          <w:rFonts w:ascii="宋体" w:hAnsi="宋体" w:cs="宋体" w:eastAsia="宋体" w:hint="default"/>
          <w:b/>
          <w:bCs/>
        </w:rPr>
        <w:t>其他说明</w:t>
      </w:r>
      <w:r>
        <w:rPr>
          <w:rFonts w:ascii="宋体" w:hAnsi="宋体" w:cs="宋体" w:eastAsia="宋体" w:hint="default"/>
          <w:b/>
          <w:bCs/>
          <w:w w:val="99"/>
        </w:rPr>
        <w:t> </w:t>
      </w:r>
      <w:r>
        <w:rPr>
          <w:spacing w:val="-2"/>
        </w:rPr>
        <w:t>本公司固定资产按成本进行初始计量。其中，外购的固定资产的成本包括买价、进口关税等相关</w:t>
      </w:r>
    </w:p>
    <w:p>
      <w:pPr>
        <w:pStyle w:val="BodyText"/>
        <w:spacing w:line="357" w:lineRule="auto" w:before="50"/>
        <w:ind w:right="80"/>
        <w:jc w:val="left"/>
      </w:pPr>
      <w:r>
        <w:rPr/>
        <w:t>税费，以及为使固定资产达到预定可使用状态前所发生的可直接归属于该资产的其他支出。自行建造 固定资产的成本，由建造该项资产达到预定可使用状态前所发生的必要支出构成。投资者投入的固定 </w:t>
      </w:r>
      <w:r>
        <w:rPr>
          <w:spacing w:val="-4"/>
        </w:rPr>
        <w:t>资产，按投资合同或协议约定的价值作为入账价值，但合同或协议约定价值不公允的按公允价值入账。</w:t>
      </w:r>
      <w:r>
        <w:rPr>
          <w:spacing w:val="-81"/>
        </w:rPr>
        <w:t> </w:t>
      </w:r>
      <w:r>
        <w:rPr>
          <w:spacing w:val="-81"/>
        </w:rPr>
      </w:r>
      <w:r>
        <w:rPr/>
        <w:t>购买固定资产的价款超过正常信用条件延期支付，实质上具有融资性质的，固定资产的成本以购买价</w:t>
      </w:r>
      <w:r>
        <w:rPr/>
        <w:t> 款的现值为基础确定。实际支付的价款与购买价款的现值之间的差额，除应予资本化的以外，在信用 期间内计入当期损益。</w:t>
      </w:r>
    </w:p>
    <w:p>
      <w:pPr>
        <w:pStyle w:val="BodyText"/>
        <w:spacing w:line="357" w:lineRule="auto" w:before="32"/>
        <w:ind w:right="152" w:firstLine="420"/>
        <w:jc w:val="left"/>
      </w:pPr>
      <w:r>
        <w:rPr>
          <w:spacing w:val="-2"/>
        </w:rPr>
        <w:t>当固定资产被处置、或者预期通过使用或处置不能产生经济利益时，终止确认该固定资产。固定</w:t>
      </w:r>
      <w:r>
        <w:rPr/>
        <w:t> 资产出售、转让、报废或毁损的处置收入扣除其账面价值和相关税费后的金额计入当期损益。</w:t>
      </w:r>
    </w:p>
    <w:p>
      <w:pPr>
        <w:pStyle w:val="BodyText"/>
        <w:spacing w:line="357" w:lineRule="auto" w:before="31"/>
        <w:ind w:left="558" w:right="152"/>
        <w:jc w:val="left"/>
      </w:pPr>
      <w:r>
        <w:rPr>
          <w:rFonts w:ascii="宋体" w:hAnsi="宋体" w:cs="宋体" w:eastAsia="宋体" w:hint="default"/>
          <w:b/>
          <w:bCs/>
        </w:rPr>
        <w:t>（十四）</w:t>
      </w:r>
      <w:r>
        <w:rPr>
          <w:rFonts w:ascii="宋体" w:hAnsi="宋体" w:cs="宋体" w:eastAsia="宋体" w:hint="default"/>
          <w:b/>
          <w:bCs/>
          <w:spacing w:val="-24"/>
        </w:rPr>
        <w:t> </w:t>
      </w:r>
      <w:r>
        <w:rPr>
          <w:rFonts w:ascii="宋体" w:hAnsi="宋体" w:cs="宋体" w:eastAsia="宋体" w:hint="default"/>
          <w:b/>
          <w:bCs/>
        </w:rPr>
        <w:t>在建工程</w:t>
      </w:r>
      <w:r>
        <w:rPr>
          <w:rFonts w:ascii="宋体" w:hAnsi="宋体" w:cs="宋体" w:eastAsia="宋体" w:hint="default"/>
          <w:b/>
          <w:bCs/>
          <w:w w:val="99"/>
        </w:rPr>
        <w:t> </w:t>
      </w:r>
      <w:r>
        <w:rPr>
          <w:spacing w:val="-2"/>
        </w:rPr>
        <w:t>本公司自行建造的在建工程按实际成本计价，实际成本由建造该项资产达到预定可使用状态前所</w:t>
      </w:r>
    </w:p>
    <w:p>
      <w:pPr>
        <w:pStyle w:val="BodyText"/>
        <w:spacing w:line="357" w:lineRule="auto" w:before="32"/>
        <w:ind w:left="558" w:right="108" w:hanging="420"/>
        <w:jc w:val="left"/>
      </w:pPr>
      <w:r>
        <w:rPr/>
        <w:t>发生的必要支出构成。本公司的在在建工程包括房产构建、设备安装等。 </w:t>
      </w:r>
      <w:r>
        <w:rPr>
          <w:spacing w:val="-4"/>
        </w:rPr>
        <w:t>已达到预定可使用状态但尚未办理竣工决算的固定资产，按照估计价值确定其成本，并计提折旧；</w:t>
      </w:r>
    </w:p>
    <w:p>
      <w:pPr>
        <w:pStyle w:val="BodyText"/>
        <w:spacing w:line="357" w:lineRule="auto" w:before="31"/>
        <w:ind w:left="558" w:right="152" w:hanging="420"/>
        <w:jc w:val="left"/>
      </w:pPr>
      <w:r>
        <w:rPr/>
        <w:t>待办理竣工决算后，再按实际成本调整原来的暂估价值，但不调整原已计提的折旧额。 </w:t>
      </w:r>
      <w:r>
        <w:rPr>
          <w:spacing w:val="-2"/>
        </w:rPr>
        <w:t>资产负债表日，本公司对在建工程按照账面价值与可收回金额孰低计量，按单项工程可收回金额</w:t>
      </w:r>
    </w:p>
    <w:p>
      <w:pPr>
        <w:pStyle w:val="BodyText"/>
        <w:spacing w:line="357" w:lineRule="auto" w:before="32"/>
        <w:ind w:right="152"/>
        <w:jc w:val="left"/>
      </w:pPr>
      <w:r>
        <w:rPr>
          <w:spacing w:val="-2"/>
        </w:rPr>
        <w:t>低于账面价值的差额，计提在建工程减值损失，计入当期损益，同时计提相应的资产减值准备。在建</w:t>
      </w:r>
      <w:r>
        <w:rPr>
          <w:spacing w:val="-67"/>
        </w:rPr>
        <w:t> </w:t>
      </w:r>
      <w:r>
        <w:rPr>
          <w:spacing w:val="-67"/>
        </w:rPr>
      </w:r>
      <w:r>
        <w:rPr/>
        <w:t>工程减值损失一经确认，在以后会计期间不再转回。</w:t>
      </w:r>
    </w:p>
    <w:p>
      <w:pPr>
        <w:pStyle w:val="BodyText"/>
        <w:spacing w:line="357" w:lineRule="auto" w:before="31"/>
        <w:ind w:left="558" w:right="146"/>
        <w:jc w:val="left"/>
      </w:pPr>
      <w:r>
        <w:rPr>
          <w:rFonts w:ascii="宋体" w:hAnsi="宋体" w:cs="宋体" w:eastAsia="宋体" w:hint="default"/>
          <w:b/>
          <w:bCs/>
        </w:rPr>
        <w:t>（十五）</w:t>
      </w:r>
      <w:r>
        <w:rPr>
          <w:rFonts w:ascii="宋体" w:hAnsi="宋体" w:cs="宋体" w:eastAsia="宋体" w:hint="default"/>
          <w:b/>
          <w:bCs/>
          <w:spacing w:val="-24"/>
        </w:rPr>
        <w:t> </w:t>
      </w:r>
      <w:r>
        <w:rPr>
          <w:rFonts w:ascii="宋体" w:hAnsi="宋体" w:cs="宋体" w:eastAsia="宋体" w:hint="default"/>
          <w:b/>
          <w:bCs/>
        </w:rPr>
        <w:t>借款费用</w:t>
      </w:r>
      <w:r>
        <w:rPr>
          <w:rFonts w:ascii="宋体" w:hAnsi="宋体" w:cs="宋体" w:eastAsia="宋体" w:hint="default"/>
          <w:b/>
          <w:bCs/>
          <w:w w:val="99"/>
        </w:rPr>
        <w:t> </w:t>
      </w:r>
      <w:r>
        <w:rPr/>
        <w:t>本公司发生的借款费用，可直接归属于符合资本化条件的资产的购建或者生产的，予以资本化，</w:t>
      </w:r>
    </w:p>
    <w:p>
      <w:pPr>
        <w:pStyle w:val="BodyText"/>
        <w:spacing w:line="357" w:lineRule="auto" w:before="32"/>
        <w:ind w:right="213"/>
        <w:jc w:val="both"/>
      </w:pPr>
      <w:r>
        <w:rPr>
          <w:spacing w:val="-2"/>
        </w:rPr>
        <w:t>计入相关资产成本；其他借款费用，在发生时根据其发生额确认为费用，计入当期损益。符合资本化</w:t>
      </w:r>
      <w:r>
        <w:rPr>
          <w:spacing w:val="-67"/>
        </w:rPr>
        <w:t> </w:t>
      </w:r>
      <w:r>
        <w:rPr>
          <w:spacing w:val="-67"/>
        </w:rPr>
      </w:r>
      <w:r>
        <w:rPr>
          <w:spacing w:val="-2"/>
        </w:rPr>
        <w:t>条件的资产，是指需要经过相当长时间的购建或者生产活动才能达到预定可使用或者可销售状态的固</w:t>
      </w:r>
      <w:r>
        <w:rPr>
          <w:spacing w:val="-68"/>
        </w:rPr>
        <w:t> </w:t>
      </w:r>
      <w:r>
        <w:rPr>
          <w:spacing w:val="-68"/>
        </w:rPr>
      </w:r>
      <w:r>
        <w:rPr/>
        <w:t>定资产、投资性房地产和存货等资产。</w:t>
      </w:r>
    </w:p>
    <w:p>
      <w:pPr>
        <w:pStyle w:val="BodyText"/>
        <w:spacing w:line="338" w:lineRule="auto" w:before="31"/>
        <w:ind w:right="240" w:firstLine="420"/>
        <w:jc w:val="left"/>
      </w:pPr>
      <w:r>
        <w:rPr/>
        <w:t>同时满足下列条件时，借款费用开始资本化：（</w:t>
      </w:r>
      <w:r>
        <w:rPr>
          <w:rFonts w:ascii="Century Gothic" w:hAnsi="Century Gothic" w:cs="Century Gothic" w:eastAsia="Century Gothic" w:hint="default"/>
        </w:rPr>
        <w:t>1</w:t>
      </w:r>
      <w:r>
        <w:rPr/>
        <w:t>）资产支出已经发生，资产支出包括为购建或 者生产符合资本化条件的资产而以支付现金、转移非现金资产或者承担带息债务形式发生的支出；</w:t>
      </w:r>
    </w:p>
    <w:p>
      <w:pPr>
        <w:pStyle w:val="BodyText"/>
        <w:spacing w:line="240" w:lineRule="auto" w:before="48"/>
        <w:ind w:right="80"/>
        <w:jc w:val="left"/>
      </w:pPr>
      <w:r>
        <w:rPr/>
        <w:t>（</w:t>
      </w:r>
      <w:r>
        <w:rPr>
          <w:rFonts w:ascii="Century Gothic" w:hAnsi="Century Gothic" w:cs="Century Gothic" w:eastAsia="Century Gothic" w:hint="default"/>
        </w:rPr>
        <w:t>2</w:t>
      </w:r>
      <w:r>
        <w:rPr/>
        <w:t>）借款费用已经发生；（</w:t>
      </w:r>
      <w:r>
        <w:rPr>
          <w:rFonts w:ascii="Century Gothic" w:hAnsi="Century Gothic" w:cs="Century Gothic" w:eastAsia="Century Gothic" w:hint="default"/>
        </w:rPr>
        <w:t>3</w:t>
      </w:r>
      <w:r>
        <w:rPr/>
        <w:t>）为使资产达到预定可使用或者可销售状态所必要的购建或者生产活动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54</w:t>
      </w:r>
    </w:p>
    <w:p>
      <w:pPr>
        <w:spacing w:after="0"/>
        <w:jc w:val="center"/>
        <w:rPr>
          <w:rFonts w:ascii="Times New Roman" w:hAnsi="Times New Roman" w:cs="Times New Roman" w:eastAsia="Times New Roman" w:hint="default"/>
          <w:sz w:val="18"/>
          <w:szCs w:val="18"/>
        </w:rPr>
        <w:sectPr>
          <w:pgSz w:w="11910" w:h="16840"/>
          <w:pgMar w:top="780" w:bottom="280" w:left="1160" w:right="120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70.860001pt;margin-top:-9.926001pt;width:84.0pt;height:23.94pt;mso-position-horizontal-relative:page;mso-position-vertical-relative:paragraph;z-index:4288"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0"/>
        <w:ind w:right="152"/>
        <w:jc w:val="left"/>
      </w:pPr>
      <w:r>
        <w:rPr/>
        <w:t>已经开始。</w:t>
      </w:r>
    </w:p>
    <w:p>
      <w:pPr>
        <w:pStyle w:val="BodyText"/>
        <w:spacing w:line="357" w:lineRule="auto" w:before="134"/>
        <w:ind w:right="214" w:firstLine="420"/>
        <w:jc w:val="both"/>
      </w:pPr>
      <w:r>
        <w:rPr>
          <w:spacing w:val="-2"/>
        </w:rPr>
        <w:t>在资本化期间内，每一会计期间的资本化金额，为购建或者生产符合资本化条件的资产而借入专</w:t>
      </w:r>
      <w:r>
        <w:rPr/>
        <w:t> </w:t>
      </w:r>
      <w:r>
        <w:rPr>
          <w:spacing w:val="-2"/>
        </w:rPr>
        <w:t>门借款的，以专门借款当期实际发生的利息费用，减去将尚未动用的借款资金存入银行取得的利息收</w:t>
      </w:r>
      <w:r>
        <w:rPr>
          <w:spacing w:val="-69"/>
        </w:rPr>
        <w:t> </w:t>
      </w:r>
      <w:r>
        <w:rPr>
          <w:spacing w:val="-69"/>
        </w:rPr>
      </w:r>
      <w:r>
        <w:rPr>
          <w:spacing w:val="-2"/>
        </w:rPr>
        <w:t>入或进行暂时性投资取得的投资收益后的金额确定。为购建或者生产符合资本化条件的资产而占用了</w:t>
      </w:r>
      <w:r>
        <w:rPr>
          <w:spacing w:val="-68"/>
        </w:rPr>
        <w:t> </w:t>
      </w:r>
      <w:r>
        <w:rPr>
          <w:spacing w:val="-68"/>
        </w:rPr>
      </w:r>
      <w:r>
        <w:rPr>
          <w:spacing w:val="-2"/>
        </w:rPr>
        <w:t>一般借款的，根据累计资产支出超过专门借款部分的资产支出加权平均数乘以所占用一般借款的资本</w:t>
      </w:r>
      <w:r>
        <w:rPr>
          <w:spacing w:val="-68"/>
        </w:rPr>
        <w:t> </w:t>
      </w:r>
      <w:r>
        <w:rPr>
          <w:spacing w:val="-68"/>
        </w:rPr>
      </w:r>
      <w:r>
        <w:rPr>
          <w:spacing w:val="-2"/>
        </w:rPr>
        <w:t>化率，计算确定一般借款应予资本化的利息金额。资本化率根据一般借款加权平均利率计算确定。利</w:t>
      </w:r>
      <w:r>
        <w:rPr>
          <w:spacing w:val="-68"/>
        </w:rPr>
        <w:t> </w:t>
      </w:r>
      <w:r>
        <w:rPr>
          <w:spacing w:val="-68"/>
        </w:rPr>
      </w:r>
      <w:r>
        <w:rPr/>
        <w:t>息资本化金额，不超过当期相关借款实际发生的利息金额。</w:t>
      </w:r>
    </w:p>
    <w:p>
      <w:pPr>
        <w:pStyle w:val="BodyText"/>
        <w:spacing w:line="350" w:lineRule="auto" w:before="32"/>
        <w:ind w:right="153" w:firstLine="420"/>
        <w:jc w:val="both"/>
      </w:pPr>
      <w:r>
        <w:rPr/>
        <w:t>符合资本化条件的资产在购建或者生产过程中发生非正常中断、且中断时间连续超过</w:t>
      </w:r>
      <w:r>
        <w:rPr>
          <w:spacing w:val="-54"/>
        </w:rPr>
        <w:t> </w:t>
      </w:r>
      <w:r>
        <w:rPr>
          <w:rFonts w:ascii="Century Gothic" w:hAnsi="Century Gothic" w:cs="Century Gothic" w:eastAsia="Century Gothic" w:hint="default"/>
        </w:rPr>
        <w:t>3</w:t>
      </w:r>
      <w:r>
        <w:rPr>
          <w:rFonts w:ascii="Century Gothic" w:hAnsi="Century Gothic" w:cs="Century Gothic" w:eastAsia="Century Gothic" w:hint="default"/>
          <w:spacing w:val="-7"/>
        </w:rPr>
        <w:t> </w:t>
      </w:r>
      <w:r>
        <w:rPr/>
        <w:t>个月的， </w:t>
      </w:r>
      <w:r>
        <w:rPr>
          <w:spacing w:val="-2"/>
        </w:rPr>
        <w:t>暂停借款费用的资本化。在中断期间发生的借款费用确认为费用，计入当期损益，直至资产的购建或</w:t>
      </w:r>
      <w:r>
        <w:rPr>
          <w:spacing w:val="-68"/>
        </w:rPr>
        <w:t> </w:t>
      </w:r>
      <w:r>
        <w:rPr>
          <w:spacing w:val="-68"/>
        </w:rPr>
      </w:r>
      <w:r>
        <w:rPr>
          <w:spacing w:val="-2"/>
        </w:rPr>
        <w:t>者生产活动重新开始。如果中断是所购建或者生产的符合资本化条件的资产达到预定可使用或者可销</w:t>
      </w:r>
      <w:r>
        <w:rPr>
          <w:spacing w:val="-68"/>
        </w:rPr>
        <w:t> </w:t>
      </w:r>
      <w:r>
        <w:rPr>
          <w:spacing w:val="-68"/>
        </w:rPr>
      </w:r>
      <w:r>
        <w:rPr/>
        <w:t>售状态必要的程序，借款费用继续资本化。</w:t>
      </w:r>
    </w:p>
    <w:p>
      <w:pPr>
        <w:pStyle w:val="BodyText"/>
        <w:spacing w:line="240" w:lineRule="auto" w:before="39"/>
        <w:ind w:left="558" w:right="80"/>
        <w:jc w:val="left"/>
      </w:pPr>
      <w:r>
        <w:rPr/>
        <w:t>购建或者生产符合资本化条件的资产达到预定可使用或者可销售状态时，停止借款费用资本化。</w:t>
      </w:r>
    </w:p>
    <w:p>
      <w:pPr>
        <w:pStyle w:val="BodyText"/>
        <w:spacing w:line="357" w:lineRule="auto" w:before="134"/>
        <w:ind w:left="558" w:right="2036"/>
        <w:jc w:val="left"/>
      </w:pPr>
      <w:r>
        <w:rPr>
          <w:rFonts w:ascii="宋体" w:hAnsi="宋体" w:cs="宋体" w:eastAsia="宋体" w:hint="default"/>
          <w:b/>
          <w:bCs/>
        </w:rPr>
        <w:t>（十六）</w:t>
      </w:r>
      <w:r>
        <w:rPr>
          <w:rFonts w:ascii="宋体" w:hAnsi="宋体" w:cs="宋体" w:eastAsia="宋体" w:hint="default"/>
          <w:b/>
          <w:bCs/>
          <w:spacing w:val="-24"/>
        </w:rPr>
        <w:t> </w:t>
      </w:r>
      <w:r>
        <w:rPr>
          <w:rFonts w:ascii="宋体" w:hAnsi="宋体" w:cs="宋体" w:eastAsia="宋体" w:hint="default"/>
          <w:b/>
          <w:bCs/>
        </w:rPr>
        <w:t>生物资产</w:t>
      </w:r>
      <w:r>
        <w:rPr>
          <w:rFonts w:ascii="宋体" w:hAnsi="宋体" w:cs="宋体" w:eastAsia="宋体" w:hint="default"/>
          <w:b/>
          <w:bCs/>
          <w:w w:val="99"/>
        </w:rPr>
        <w:t> </w:t>
      </w:r>
      <w:r>
        <w:rPr/>
        <w:t>本公司的生物资产包括生产性生物资产。生产性生物资产为曼地亚红豆杉。 生物资产同时满足下列条件的，予以确认：</w:t>
      </w:r>
    </w:p>
    <w:p>
      <w:pPr>
        <w:pStyle w:val="BodyText"/>
        <w:spacing w:line="240" w:lineRule="auto" w:before="32"/>
        <w:ind w:left="558" w:right="152"/>
        <w:jc w:val="left"/>
      </w:pPr>
      <w:r>
        <w:rPr/>
        <w:t>（</w:t>
      </w:r>
      <w:r>
        <w:rPr>
          <w:rFonts w:ascii="Century Gothic" w:hAnsi="Century Gothic" w:cs="Century Gothic" w:eastAsia="Century Gothic" w:hint="default"/>
        </w:rPr>
        <w:t>1</w:t>
      </w:r>
      <w:r>
        <w:rPr/>
        <w:t>）企业因过去的交易或者事项而拥有或者控制该生物资产；</w:t>
      </w:r>
    </w:p>
    <w:p>
      <w:pPr>
        <w:pStyle w:val="BodyText"/>
        <w:spacing w:line="240" w:lineRule="auto"/>
        <w:ind w:left="558" w:right="152"/>
        <w:jc w:val="left"/>
      </w:pPr>
      <w:r>
        <w:rPr/>
        <w:t>（</w:t>
      </w:r>
      <w:r>
        <w:rPr>
          <w:rFonts w:ascii="Century Gothic" w:hAnsi="Century Gothic" w:cs="Century Gothic" w:eastAsia="Century Gothic" w:hint="default"/>
        </w:rPr>
        <w:t>2</w:t>
      </w:r>
      <w:r>
        <w:rPr/>
        <w:t>）与该生物资产有关的经济利益或服务潜能很可能流入公司；</w:t>
      </w:r>
    </w:p>
    <w:p>
      <w:pPr>
        <w:pStyle w:val="BodyText"/>
        <w:spacing w:line="336" w:lineRule="auto"/>
        <w:ind w:left="558" w:right="108"/>
        <w:jc w:val="left"/>
      </w:pPr>
      <w:r>
        <w:rPr/>
        <w:t>（</w:t>
      </w:r>
      <w:r>
        <w:rPr>
          <w:rFonts w:ascii="Century Gothic" w:hAnsi="Century Gothic" w:cs="Century Gothic" w:eastAsia="Century Gothic" w:hint="default"/>
        </w:rPr>
        <w:t>3</w:t>
      </w:r>
      <w:r>
        <w:rPr/>
        <w:t>）该生物资产的成本能够可靠地计量。 </w:t>
      </w:r>
      <w:r>
        <w:rPr>
          <w:spacing w:val="-4"/>
        </w:rPr>
        <w:t>生产性生物资产按照成本进行初始计量。外购的生产性生物资产的成本包括购买价款、相关税费、</w:t>
      </w:r>
    </w:p>
    <w:p>
      <w:pPr>
        <w:pStyle w:val="BodyText"/>
        <w:spacing w:line="357" w:lineRule="auto" w:before="51"/>
        <w:ind w:right="152"/>
        <w:jc w:val="left"/>
      </w:pPr>
      <w:r>
        <w:rPr>
          <w:spacing w:val="-2"/>
        </w:rPr>
        <w:t>运输费、保险费以及可直接归属于购买该资产的其他支出。自行培育的生产性生物资产，其成本的确</w:t>
      </w:r>
      <w:r>
        <w:rPr>
          <w:spacing w:val="-68"/>
        </w:rPr>
        <w:t> </w:t>
      </w:r>
      <w:r>
        <w:rPr>
          <w:spacing w:val="-68"/>
        </w:rPr>
      </w:r>
      <w:r>
        <w:rPr/>
        <w:t>定按照其达到预计生产经营目的前发生的培育费、人工费和应分摊的间接费用等必要支出。</w:t>
      </w:r>
    </w:p>
    <w:p>
      <w:pPr>
        <w:pStyle w:val="BodyText"/>
        <w:spacing w:line="357" w:lineRule="auto" w:before="31"/>
        <w:ind w:left="558" w:right="152"/>
        <w:jc w:val="left"/>
      </w:pPr>
      <w:r>
        <w:rPr/>
        <w:t>本公司生产性生物资产在郁闭或达到预定生产经营目的后发生的管护费用计入当期损益。 </w:t>
      </w:r>
      <w:r>
        <w:rPr>
          <w:spacing w:val="-2"/>
        </w:rPr>
        <w:t>公司对达到预定生产经营目的生产性生物资产根据预计使用寿命按平均年限法计提折旧。并在年</w:t>
      </w:r>
    </w:p>
    <w:p>
      <w:pPr>
        <w:pStyle w:val="BodyText"/>
        <w:spacing w:line="357" w:lineRule="auto" w:before="32"/>
        <w:ind w:right="152"/>
        <w:jc w:val="left"/>
      </w:pPr>
      <w:r>
        <w:rPr>
          <w:spacing w:val="-2"/>
        </w:rPr>
        <w:t>度终了，对生产性生物资产的使用寿命、预计净残值和折旧方法进行复核，如与原先估计数存在差异</w:t>
      </w:r>
      <w:r>
        <w:rPr>
          <w:spacing w:val="-68"/>
        </w:rPr>
        <w:t> </w:t>
      </w:r>
      <w:r>
        <w:rPr>
          <w:spacing w:val="-68"/>
        </w:rPr>
      </w:r>
      <w:r>
        <w:rPr/>
        <w:t>的，进行相应的调整。</w:t>
      </w:r>
    </w:p>
    <w:p>
      <w:pPr>
        <w:pStyle w:val="BodyText"/>
        <w:spacing w:line="357" w:lineRule="auto" w:before="31"/>
        <w:ind w:right="152" w:firstLine="420"/>
        <w:jc w:val="left"/>
      </w:pPr>
      <w:r>
        <w:rPr>
          <w:spacing w:val="-2"/>
        </w:rPr>
        <w:t>资产负债表日，本公司对生产性生物资产按照其账面价值与可收回金额孰低计量，按单项资产可</w:t>
      </w:r>
      <w:r>
        <w:rPr/>
        <w:t> 收回金额低于账面价值的差额计提生产性生物资产的减值准备。生产性生物资产的减值损失一经确 认，在以后会计期间不再转回。</w:t>
      </w:r>
    </w:p>
    <w:p>
      <w:pPr>
        <w:pStyle w:val="BodyText"/>
        <w:spacing w:line="357" w:lineRule="auto" w:before="31"/>
        <w:ind w:right="214" w:firstLine="420"/>
        <w:jc w:val="both"/>
      </w:pPr>
      <w:r>
        <w:rPr>
          <w:spacing w:val="-2"/>
        </w:rPr>
        <w:t>生物资产的收获与处置：生物资产转变用途后的成本按转变用途时的账面价值确定；生物资产出</w:t>
      </w:r>
      <w:r>
        <w:rPr/>
        <w:t> 售、毁损、盘亏时，将其处置收入扣除账面价值及相关税费后的余额计入当期损益。</w:t>
      </w:r>
    </w:p>
    <w:p>
      <w:pPr>
        <w:pStyle w:val="BodyText"/>
        <w:spacing w:line="357" w:lineRule="auto" w:before="31"/>
        <w:ind w:left="558" w:right="152"/>
        <w:jc w:val="left"/>
      </w:pPr>
      <w:r>
        <w:rPr>
          <w:rFonts w:ascii="宋体" w:hAnsi="宋体" w:cs="宋体" w:eastAsia="宋体" w:hint="default"/>
          <w:b/>
          <w:bCs/>
        </w:rPr>
        <w:t>（十七）</w:t>
      </w:r>
      <w:r>
        <w:rPr>
          <w:rFonts w:ascii="宋体" w:hAnsi="宋体" w:cs="宋体" w:eastAsia="宋体" w:hint="default"/>
          <w:b/>
          <w:bCs/>
          <w:spacing w:val="-24"/>
        </w:rPr>
        <w:t> </w:t>
      </w:r>
      <w:r>
        <w:rPr>
          <w:rFonts w:ascii="宋体" w:hAnsi="宋体" w:cs="宋体" w:eastAsia="宋体" w:hint="default"/>
          <w:b/>
          <w:bCs/>
        </w:rPr>
        <w:t>无形资产</w:t>
      </w:r>
      <w:r>
        <w:rPr>
          <w:rFonts w:ascii="宋体" w:hAnsi="宋体" w:cs="宋体" w:eastAsia="宋体" w:hint="default"/>
          <w:b/>
          <w:bCs/>
          <w:w w:val="99"/>
        </w:rPr>
        <w:t> </w:t>
      </w:r>
      <w:r>
        <w:rPr>
          <w:spacing w:val="-2"/>
        </w:rPr>
        <w:t>无形资产是指本公司拥有或者控制的没有实物形态的可辨认非货币性资产，包括土地使用权、电</w:t>
      </w:r>
    </w:p>
    <w:p>
      <w:pPr>
        <w:pStyle w:val="BodyText"/>
        <w:spacing w:line="357" w:lineRule="auto" w:before="31"/>
        <w:ind w:left="558" w:right="108" w:hanging="420"/>
        <w:jc w:val="left"/>
      </w:pPr>
      <w:r>
        <w:rPr/>
        <w:t>能表销售网络、生产经营权及管理软件。 </w:t>
      </w:r>
      <w:r>
        <w:rPr>
          <w:spacing w:val="-4"/>
        </w:rPr>
        <w:t>无形资产按照成本进行初始计量。购入的无形资产，按实际支付的价款和相关支出作为实际成本。</w:t>
      </w:r>
    </w:p>
    <w:p>
      <w:pPr>
        <w:spacing w:line="240" w:lineRule="auto" w:before="5"/>
        <w:rPr>
          <w:rFonts w:ascii="宋体" w:hAnsi="宋体" w:cs="宋体" w:eastAsia="宋体" w:hint="default"/>
          <w:sz w:val="17"/>
          <w:szCs w:val="17"/>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55</w:t>
      </w:r>
    </w:p>
    <w:p>
      <w:pPr>
        <w:spacing w:after="0"/>
        <w:jc w:val="center"/>
        <w:rPr>
          <w:rFonts w:ascii="Times New Roman" w:hAnsi="Times New Roman" w:cs="Times New Roman" w:eastAsia="Times New Roman" w:hint="default"/>
          <w:sz w:val="18"/>
          <w:szCs w:val="18"/>
        </w:rPr>
        <w:sectPr>
          <w:pgSz w:w="11910" w:h="16840"/>
          <w:pgMar w:top="780" w:bottom="280" w:left="1280" w:right="10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296"/>
        <w:jc w:val="left"/>
        <w:rPr>
          <w:b w:val="0"/>
          <w:bCs w:val="0"/>
        </w:rPr>
      </w:pPr>
      <w:r>
        <w:rPr/>
        <w:pict>
          <v:shape style="position:absolute;margin-left:64.860001pt;margin-top:-9.926001pt;width:84.0pt;height:23.94pt;mso-position-horizontal-relative:page;mso-position-vertical-relative:paragraph;z-index:4336"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57" w:lineRule="auto" w:before="0"/>
        <w:ind w:right="86"/>
        <w:jc w:val="left"/>
      </w:pPr>
      <w:r>
        <w:rPr>
          <w:spacing w:val="-2"/>
        </w:rPr>
        <w:t>投资者投入的无形资产，按投资合同或协议约定的价值确定实际成本，但合同或协议约定价值不公允</w:t>
      </w:r>
      <w:r>
        <w:rPr>
          <w:spacing w:val="-69"/>
        </w:rPr>
        <w:t> </w:t>
      </w:r>
      <w:r>
        <w:rPr>
          <w:spacing w:val="-69"/>
        </w:rPr>
      </w:r>
      <w:r>
        <w:rPr/>
        <w:t>的，按公允价值确定实际成本。</w:t>
      </w:r>
    </w:p>
    <w:p>
      <w:pPr>
        <w:pStyle w:val="BodyText"/>
        <w:spacing w:line="357" w:lineRule="auto" w:before="31"/>
        <w:ind w:right="154" w:firstLine="420"/>
        <w:jc w:val="both"/>
      </w:pPr>
      <w:r>
        <w:rPr>
          <w:spacing w:val="-2"/>
        </w:rPr>
        <w:t>本公司在取得无形资产时分析判断其使用寿命，划分为使用寿命有限和使用寿命不确定的无形资</w:t>
      </w:r>
      <w:r>
        <w:rPr/>
        <w:t> 产。</w:t>
      </w:r>
    </w:p>
    <w:p>
      <w:pPr>
        <w:pStyle w:val="BodyText"/>
        <w:spacing w:line="357" w:lineRule="auto" w:before="31"/>
        <w:ind w:right="154" w:firstLine="420"/>
        <w:jc w:val="both"/>
      </w:pPr>
      <w:r>
        <w:rPr>
          <w:spacing w:val="-2"/>
        </w:rPr>
        <w:t>使用寿命有限的无形资产，在使用寿命内采用直线法摊销，并在年度终了，对无形资产的使用寿</w:t>
      </w:r>
      <w:r>
        <w:rPr/>
        <w:t> </w:t>
      </w:r>
      <w:r>
        <w:rPr>
          <w:spacing w:val="-2"/>
        </w:rPr>
        <w:t>命和摊销方法进行复核，如与原先估计数存在差异的，进行相应的调整。使用寿命有限的无形资产摊</w:t>
      </w:r>
      <w:r>
        <w:rPr>
          <w:spacing w:val="-68"/>
        </w:rPr>
        <w:t> </w:t>
      </w:r>
      <w:r>
        <w:rPr>
          <w:spacing w:val="-68"/>
        </w:rPr>
      </w:r>
      <w:r>
        <w:rPr/>
        <w:t>销方法如下：</w:t>
      </w:r>
    </w:p>
    <w:p>
      <w:pPr>
        <w:spacing w:line="240" w:lineRule="auto" w:before="1"/>
        <w:rPr>
          <w:rFonts w:ascii="宋体" w:hAnsi="宋体" w:cs="宋体" w:eastAsia="宋体" w:hint="default"/>
          <w:sz w:val="5"/>
          <w:szCs w:val="5"/>
        </w:rPr>
      </w:pPr>
    </w:p>
    <w:tbl>
      <w:tblPr>
        <w:tblW w:w="0" w:type="auto"/>
        <w:jc w:val="left"/>
        <w:tblInd w:w="281" w:type="dxa"/>
        <w:tblLayout w:type="fixed"/>
        <w:tblCellMar>
          <w:top w:w="0" w:type="dxa"/>
          <w:left w:w="0" w:type="dxa"/>
          <w:bottom w:w="0" w:type="dxa"/>
          <w:right w:w="0" w:type="dxa"/>
        </w:tblCellMar>
        <w:tblLook w:val="01E0"/>
      </w:tblPr>
      <w:tblGrid>
        <w:gridCol w:w="2911"/>
        <w:gridCol w:w="1924"/>
        <w:gridCol w:w="2252"/>
        <w:gridCol w:w="1771"/>
      </w:tblGrid>
      <w:tr>
        <w:trPr>
          <w:trHeight w:val="362" w:hRule="exact"/>
        </w:trPr>
        <w:tc>
          <w:tcPr>
            <w:tcW w:w="2911"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24"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使用寿命</w:t>
            </w:r>
          </w:p>
        </w:tc>
        <w:tc>
          <w:tcPr>
            <w:tcW w:w="2252"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1771"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2911"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30-50</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7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911"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电能表销售网络</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Century Gothic" w:hAnsi="Century Gothic" w:cs="Century Gothic" w:eastAsia="Century Gothic" w:hint="default"/>
                <w:sz w:val="21"/>
                <w:szCs w:val="21"/>
              </w:rPr>
            </w:pPr>
            <w:r>
              <w:rPr>
                <w:rFonts w:ascii="Century Gothic"/>
                <w:sz w:val="21"/>
              </w:rPr>
              <w:t>10</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71"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911"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生产经营权</w:t>
            </w:r>
          </w:p>
        </w:tc>
        <w:tc>
          <w:tcPr>
            <w:tcW w:w="1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5-10</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71" w:type="dxa"/>
            <w:tcBorders>
              <w:top w:val="single" w:sz="6" w:space="0" w:color="000000"/>
              <w:left w:val="single" w:sz="6" w:space="0" w:color="000000"/>
              <w:bottom w:val="single" w:sz="6" w:space="0" w:color="000000"/>
              <w:right w:val="nil" w:sz="6" w:space="0" w:color="auto"/>
            </w:tcBorders>
          </w:tcPr>
          <w:p>
            <w:pPr/>
          </w:p>
        </w:tc>
      </w:tr>
      <w:tr>
        <w:trPr>
          <w:trHeight w:val="362" w:hRule="exact"/>
        </w:trPr>
        <w:tc>
          <w:tcPr>
            <w:tcW w:w="2911"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19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5-10</w:t>
            </w:r>
          </w:p>
        </w:tc>
        <w:tc>
          <w:tcPr>
            <w:tcW w:w="2252"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771" w:type="dxa"/>
            <w:tcBorders>
              <w:top w:val="single" w:sz="6" w:space="0" w:color="000000"/>
              <w:left w:val="single" w:sz="6" w:space="0" w:color="000000"/>
              <w:bottom w:val="single" w:sz="12" w:space="0" w:color="000000"/>
              <w:right w:val="nil" w:sz="6" w:space="0" w:color="auto"/>
            </w:tcBorders>
          </w:tcPr>
          <w:p>
            <w:pPr/>
          </w:p>
        </w:tc>
      </w:tr>
    </w:tbl>
    <w:p>
      <w:pPr>
        <w:pStyle w:val="BodyText"/>
        <w:spacing w:line="357" w:lineRule="auto" w:before="86"/>
        <w:ind w:right="105" w:firstLine="420"/>
        <w:jc w:val="both"/>
      </w:pPr>
      <w:r>
        <w:rPr>
          <w:spacing w:val="-2"/>
        </w:rPr>
        <w:t>使用寿命不确定的无形资产不予摊销。本公司在每个会计期间对使用寿命不确定的无形资产的使</w:t>
      </w:r>
      <w:r>
        <w:rPr/>
        <w:t> 用寿命进行复核，当有确凿证据表明其使用寿命是有限的，则估计其使用寿命，按直线法进行摊销。 使用寿命不确定的无形资产，无论是否存在减值迹象，每年都进行减值测试。</w:t>
      </w:r>
    </w:p>
    <w:p>
      <w:pPr>
        <w:pStyle w:val="BodyText"/>
        <w:spacing w:line="357" w:lineRule="auto" w:before="31"/>
        <w:ind w:right="154" w:firstLine="420"/>
        <w:jc w:val="both"/>
      </w:pPr>
      <w:r>
        <w:rPr>
          <w:spacing w:val="-2"/>
        </w:rPr>
        <w:t>资产负债表日，本公司对无形资产按照其账面价值与可收回金额孰低计量，按单项资产可收回金</w:t>
      </w:r>
      <w:r>
        <w:rPr/>
        <w:t> </w:t>
      </w:r>
      <w:r>
        <w:rPr>
          <w:spacing w:val="-2"/>
        </w:rPr>
        <w:t>额低于账面价值的差额计提无形资产减值准备，相应的资产减值损失计入当期损益。无形资产减值损</w:t>
      </w:r>
      <w:r>
        <w:rPr>
          <w:spacing w:val="-69"/>
        </w:rPr>
        <w:t> </w:t>
      </w:r>
      <w:r>
        <w:rPr>
          <w:spacing w:val="-69"/>
        </w:rPr>
      </w:r>
      <w:r>
        <w:rPr/>
        <w:t>失一经确认，在以后会计期间不再转回。</w:t>
      </w:r>
    </w:p>
    <w:p>
      <w:pPr>
        <w:pStyle w:val="BodyText"/>
        <w:spacing w:line="357" w:lineRule="auto" w:before="31"/>
        <w:ind w:left="558" w:right="296"/>
        <w:jc w:val="left"/>
      </w:pPr>
      <w:r>
        <w:rPr>
          <w:rFonts w:ascii="宋体" w:hAnsi="宋体" w:cs="宋体" w:eastAsia="宋体" w:hint="default"/>
          <w:b/>
          <w:bCs/>
        </w:rPr>
        <w:t>（十八）</w:t>
      </w:r>
      <w:r>
        <w:rPr>
          <w:rFonts w:ascii="宋体" w:hAnsi="宋体" w:cs="宋体" w:eastAsia="宋体" w:hint="default"/>
          <w:b/>
          <w:bCs/>
          <w:spacing w:val="-66"/>
        </w:rPr>
        <w:t> </w:t>
      </w:r>
      <w:r>
        <w:rPr>
          <w:rFonts w:ascii="宋体" w:hAnsi="宋体" w:cs="宋体" w:eastAsia="宋体" w:hint="default"/>
          <w:b/>
          <w:bCs/>
        </w:rPr>
        <w:t>商誉</w:t>
      </w:r>
      <w:r>
        <w:rPr>
          <w:rFonts w:ascii="宋体" w:hAnsi="宋体" w:cs="宋体" w:eastAsia="宋体" w:hint="default"/>
          <w:b/>
          <w:bCs/>
          <w:w w:val="99"/>
        </w:rPr>
        <w:t> </w:t>
      </w:r>
      <w:r>
        <w:rPr/>
        <w:t>商誉为非同一控制下企业合并成本超过应享有的被投资单位或被购买方可辨认净资产于取得日</w:t>
      </w:r>
    </w:p>
    <w:p>
      <w:pPr>
        <w:pStyle w:val="BodyText"/>
        <w:spacing w:line="357" w:lineRule="auto" w:before="31"/>
        <w:ind w:left="558" w:right="86" w:hanging="420"/>
        <w:jc w:val="left"/>
      </w:pPr>
      <w:r>
        <w:rPr/>
        <w:t>或购买日的公允价值份额的差额。 </w:t>
      </w:r>
      <w:r>
        <w:rPr>
          <w:spacing w:val="-2"/>
        </w:rPr>
        <w:t>与子公司有关的商誉在合并财务报表上单独列示，与联营企业和合营企业有关的商誉，包含在长</w:t>
      </w:r>
    </w:p>
    <w:p>
      <w:pPr>
        <w:pStyle w:val="BodyText"/>
        <w:spacing w:line="357" w:lineRule="auto" w:before="31"/>
        <w:ind w:left="558" w:right="86" w:hanging="420"/>
        <w:jc w:val="left"/>
      </w:pPr>
      <w:r>
        <w:rPr/>
        <w:t>期股权投资的账面价值中。 </w:t>
      </w:r>
      <w:r>
        <w:rPr>
          <w:spacing w:val="-2"/>
        </w:rPr>
        <w:t>在财务报表中单独列示的商誉至少在每年年终进行减值测试。减值测试时，商誉的账面价值依据</w:t>
      </w:r>
    </w:p>
    <w:p>
      <w:pPr>
        <w:pStyle w:val="BodyText"/>
        <w:spacing w:line="357" w:lineRule="auto" w:before="31"/>
        <w:ind w:right="86"/>
        <w:jc w:val="left"/>
      </w:pPr>
      <w:r>
        <w:rPr>
          <w:spacing w:val="3"/>
        </w:rPr>
        <w:t>相关的资产组或者资产组组合能够从企业合并的协同效应中受益的情况分摊至受益的资产组或资产</w:t>
      </w:r>
      <w:r>
        <w:rPr>
          <w:spacing w:val="-98"/>
        </w:rPr>
        <w:t> </w:t>
      </w:r>
      <w:r>
        <w:rPr>
          <w:spacing w:val="-98"/>
        </w:rPr>
      </w:r>
      <w:r>
        <w:rPr/>
        <w:t>组组合。</w:t>
      </w:r>
    </w:p>
    <w:p>
      <w:pPr>
        <w:spacing w:line="357" w:lineRule="auto" w:before="31"/>
        <w:ind w:left="558" w:right="86" w:firstLine="0"/>
        <w:jc w:val="left"/>
        <w:rPr>
          <w:rFonts w:ascii="宋体" w:hAnsi="宋体" w:cs="宋体" w:eastAsia="宋体" w:hint="default"/>
          <w:sz w:val="21"/>
          <w:szCs w:val="21"/>
        </w:rPr>
      </w:pPr>
      <w:r>
        <w:rPr>
          <w:rFonts w:ascii="宋体" w:hAnsi="宋体" w:cs="宋体" w:eastAsia="宋体" w:hint="default"/>
          <w:b/>
          <w:bCs/>
          <w:sz w:val="21"/>
          <w:szCs w:val="21"/>
        </w:rPr>
        <w:t>（十九）</w:t>
      </w:r>
      <w:r>
        <w:rPr>
          <w:rFonts w:ascii="宋体" w:hAnsi="宋体" w:cs="宋体" w:eastAsia="宋体" w:hint="default"/>
          <w:b/>
          <w:bCs/>
          <w:spacing w:val="-66"/>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pacing w:val="-2"/>
          <w:sz w:val="21"/>
          <w:szCs w:val="21"/>
        </w:rPr>
        <w:t>本公司长期待摊费用是指已经支出，但受益期限在一年以上（不含一年）的各项费用，包括土地</w:t>
      </w:r>
    </w:p>
    <w:p>
      <w:pPr>
        <w:pStyle w:val="BodyText"/>
        <w:spacing w:line="240" w:lineRule="auto" w:before="31"/>
        <w:ind w:right="296"/>
        <w:jc w:val="left"/>
      </w:pPr>
      <w:r>
        <w:rPr/>
        <w:t>租赁费，其摊销方法如下：</w:t>
      </w:r>
    </w:p>
    <w:p>
      <w:pPr>
        <w:spacing w:line="240" w:lineRule="auto" w:before="13"/>
        <w:rPr>
          <w:rFonts w:ascii="宋体" w:hAnsi="宋体" w:cs="宋体" w:eastAsia="宋体" w:hint="default"/>
          <w:sz w:val="12"/>
          <w:szCs w:val="12"/>
        </w:rPr>
      </w:pPr>
    </w:p>
    <w:tbl>
      <w:tblPr>
        <w:tblW w:w="0" w:type="auto"/>
        <w:jc w:val="left"/>
        <w:tblInd w:w="281" w:type="dxa"/>
        <w:tblLayout w:type="fixed"/>
        <w:tblCellMar>
          <w:top w:w="0" w:type="dxa"/>
          <w:left w:w="0" w:type="dxa"/>
          <w:bottom w:w="0" w:type="dxa"/>
          <w:right w:w="0" w:type="dxa"/>
        </w:tblCellMar>
        <w:tblLook w:val="01E0"/>
      </w:tblPr>
      <w:tblGrid>
        <w:gridCol w:w="2226"/>
        <w:gridCol w:w="2210"/>
        <w:gridCol w:w="2212"/>
        <w:gridCol w:w="2210"/>
      </w:tblGrid>
      <w:tr>
        <w:trPr>
          <w:trHeight w:val="431" w:hRule="exact"/>
        </w:trPr>
        <w:tc>
          <w:tcPr>
            <w:tcW w:w="2226"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21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摊销方法</w:t>
            </w:r>
          </w:p>
        </w:tc>
        <w:tc>
          <w:tcPr>
            <w:tcW w:w="221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摊销年限</w:t>
            </w:r>
          </w:p>
        </w:tc>
        <w:tc>
          <w:tcPr>
            <w:tcW w:w="2210"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33" w:hRule="exact"/>
        </w:trPr>
        <w:tc>
          <w:tcPr>
            <w:tcW w:w="2226"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21" w:right="0"/>
              <w:jc w:val="center"/>
              <w:rPr>
                <w:rFonts w:ascii="宋体" w:hAnsi="宋体" w:cs="宋体" w:eastAsia="宋体" w:hint="default"/>
                <w:sz w:val="21"/>
                <w:szCs w:val="21"/>
              </w:rPr>
            </w:pPr>
            <w:r>
              <w:rPr>
                <w:rFonts w:ascii="宋体" w:hAnsi="宋体" w:cs="宋体" w:eastAsia="宋体" w:hint="default"/>
                <w:sz w:val="21"/>
                <w:szCs w:val="21"/>
              </w:rPr>
              <w:t>土地租赁费</w:t>
            </w:r>
          </w:p>
        </w:tc>
        <w:tc>
          <w:tcPr>
            <w:tcW w:w="2210" w:type="dxa"/>
            <w:tcBorders>
              <w:top w:val="single" w:sz="6" w:space="0" w:color="000000"/>
              <w:left w:val="single" w:sz="6" w:space="0" w:color="000000"/>
              <w:bottom w:val="single" w:sz="12" w:space="0" w:color="000000"/>
              <w:right w:val="single" w:sz="6"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22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Century Gothic" w:hAnsi="Century Gothic" w:cs="Century Gothic" w:eastAsia="Century Gothic" w:hint="default"/>
                <w:sz w:val="21"/>
                <w:szCs w:val="21"/>
              </w:rPr>
            </w:pPr>
            <w:r>
              <w:rPr>
                <w:rFonts w:ascii="Century Gothic"/>
                <w:sz w:val="21"/>
              </w:rPr>
              <w:t>10-21</w:t>
            </w:r>
          </w:p>
        </w:tc>
        <w:tc>
          <w:tcPr>
            <w:tcW w:w="2210" w:type="dxa"/>
            <w:tcBorders>
              <w:top w:val="single" w:sz="6" w:space="0" w:color="000000"/>
              <w:left w:val="single" w:sz="6" w:space="0" w:color="000000"/>
              <w:bottom w:val="single" w:sz="12" w:space="0" w:color="000000"/>
              <w:right w:val="nil" w:sz="6" w:space="0" w:color="auto"/>
            </w:tcBorders>
          </w:tcPr>
          <w:p>
            <w:pPr/>
          </w:p>
        </w:tc>
      </w:tr>
    </w:tbl>
    <w:p>
      <w:pPr>
        <w:pStyle w:val="BodyText"/>
        <w:spacing w:line="357" w:lineRule="auto" w:before="86"/>
        <w:ind w:left="558" w:right="296"/>
        <w:jc w:val="left"/>
      </w:pPr>
      <w:r>
        <w:rPr>
          <w:rFonts w:ascii="宋体" w:hAnsi="宋体" w:cs="宋体" w:eastAsia="宋体" w:hint="default"/>
          <w:b/>
          <w:bCs/>
        </w:rPr>
        <w:t>（二十）</w:t>
      </w:r>
      <w:r>
        <w:rPr>
          <w:rFonts w:ascii="宋体" w:hAnsi="宋体" w:cs="宋体" w:eastAsia="宋体" w:hint="default"/>
          <w:b/>
          <w:bCs/>
          <w:spacing w:val="-80"/>
        </w:rPr>
        <w:t> </w:t>
      </w:r>
      <w:r>
        <w:rPr>
          <w:rFonts w:ascii="宋体" w:hAnsi="宋体" w:cs="宋体" w:eastAsia="宋体" w:hint="default"/>
          <w:b/>
          <w:bCs/>
        </w:rPr>
        <w:t>预计负债</w:t>
      </w:r>
      <w:r>
        <w:rPr>
          <w:rFonts w:ascii="宋体" w:hAnsi="宋体" w:cs="宋体" w:eastAsia="宋体" w:hint="default"/>
          <w:b/>
          <w:bCs/>
          <w:w w:val="99"/>
        </w:rPr>
        <w:t> </w:t>
      </w:r>
      <w:r>
        <w:rPr/>
        <w:t>本公司发生与或有事项相关的义务并同时符合以下条件时，在资产负债表中确认为预计负债：</w:t>
      </w:r>
    </w:p>
    <w:p>
      <w:pPr>
        <w:pStyle w:val="BodyText"/>
        <w:spacing w:line="240" w:lineRule="auto" w:before="31"/>
        <w:ind w:right="86"/>
        <w:jc w:val="left"/>
      </w:pPr>
      <w:r>
        <w:rPr/>
        <w:t>（</w:t>
      </w:r>
      <w:r>
        <w:rPr>
          <w:rFonts w:ascii="Century Gothic" w:hAnsi="Century Gothic" w:cs="Century Gothic" w:eastAsia="Century Gothic" w:hint="default"/>
        </w:rPr>
        <w:t>1</w:t>
      </w:r>
      <w:r>
        <w:rPr/>
        <w:t>）该义务是本公司承担的现时义务；（</w:t>
      </w:r>
      <w:r>
        <w:rPr>
          <w:rFonts w:ascii="Century Gothic" w:hAnsi="Century Gothic" w:cs="Century Gothic" w:eastAsia="Century Gothic" w:hint="default"/>
        </w:rPr>
        <w:t>2</w:t>
      </w:r>
      <w:r>
        <w:rPr/>
        <w:t>）该义务的履行很可能导致经济利益流出公司；（</w:t>
      </w:r>
      <w:r>
        <w:rPr>
          <w:rFonts w:ascii="Century Gothic" w:hAnsi="Century Gothic" w:cs="Century Gothic" w:eastAsia="Century Gothic" w:hint="default"/>
        </w:rPr>
        <w:t>3</w:t>
      </w:r>
      <w:r>
        <w:rPr/>
        <w:t>）该</w:t>
      </w:r>
    </w:p>
    <w:p>
      <w:pPr>
        <w:spacing w:line="240" w:lineRule="auto" w:before="4"/>
        <w:rPr>
          <w:rFonts w:ascii="宋体" w:hAnsi="宋体" w:cs="宋体" w:eastAsia="宋体" w:hint="default"/>
          <w:sz w:val="17"/>
          <w:szCs w:val="17"/>
        </w:rPr>
      </w:pPr>
    </w:p>
    <w:p>
      <w:pPr>
        <w:spacing w:before="76"/>
        <w:ind w:left="4623" w:right="4640" w:firstLine="0"/>
        <w:jc w:val="center"/>
        <w:rPr>
          <w:rFonts w:ascii="Times New Roman" w:hAnsi="Times New Roman" w:cs="Times New Roman" w:eastAsia="Times New Roman" w:hint="default"/>
          <w:sz w:val="18"/>
          <w:szCs w:val="18"/>
        </w:rPr>
      </w:pPr>
      <w:r>
        <w:rPr>
          <w:rFonts w:ascii="Times New Roman"/>
          <w:sz w:val="18"/>
        </w:rPr>
        <w:t>56</w:t>
      </w:r>
    </w:p>
    <w:p>
      <w:pPr>
        <w:spacing w:after="0"/>
        <w:jc w:val="center"/>
        <w:rPr>
          <w:rFonts w:ascii="Times New Roman" w:hAnsi="Times New Roman" w:cs="Times New Roman" w:eastAsia="Times New Roman" w:hint="default"/>
          <w:sz w:val="18"/>
          <w:szCs w:val="18"/>
        </w:rPr>
        <w:sectPr>
          <w:pgSz w:w="11910" w:h="16840"/>
          <w:pgMar w:top="780" w:bottom="280" w:left="1160" w:right="126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70.860001pt;margin-top:-9.926001pt;width:84.0pt;height:23.94pt;mso-position-horizontal-relative:page;mso-position-vertical-relative:paragraph;z-index:4384"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0"/>
        <w:ind w:right="152"/>
        <w:jc w:val="left"/>
      </w:pPr>
      <w:r>
        <w:rPr/>
        <w:t>义务的金额能够可靠地计量。</w:t>
      </w:r>
    </w:p>
    <w:p>
      <w:pPr>
        <w:pStyle w:val="BodyText"/>
        <w:spacing w:line="357" w:lineRule="auto" w:before="134"/>
        <w:ind w:right="214" w:firstLine="420"/>
        <w:jc w:val="both"/>
      </w:pPr>
      <w:r>
        <w:rPr>
          <w:spacing w:val="-2"/>
        </w:rPr>
        <w:t>预计负债按照履行相关现时义务所需支出的最佳估计数进行初始计量，并综合考虑与或有事项有</w:t>
      </w:r>
      <w:r>
        <w:rPr/>
        <w:t> </w:t>
      </w:r>
      <w:r>
        <w:rPr>
          <w:spacing w:val="-2"/>
        </w:rPr>
        <w:t>关的风险、不确定性和货币时间价值等因素。货币时间价值影响重大的，通过对相关未来现金流出进</w:t>
      </w:r>
      <w:r>
        <w:rPr>
          <w:spacing w:val="-68"/>
        </w:rPr>
        <w:t> </w:t>
      </w:r>
      <w:r>
        <w:rPr>
          <w:spacing w:val="-68"/>
        </w:rPr>
      </w:r>
      <w:r>
        <w:rPr>
          <w:spacing w:val="-2"/>
        </w:rPr>
        <w:t>行折现后确定最佳估计数。本公司于资产负债表日对预计负债的账面价值进行复核，并对账面价值进</w:t>
      </w:r>
      <w:r>
        <w:rPr>
          <w:spacing w:val="-69"/>
        </w:rPr>
        <w:t> </w:t>
      </w:r>
      <w:r>
        <w:rPr>
          <w:spacing w:val="-69"/>
        </w:rPr>
      </w:r>
      <w:r>
        <w:rPr/>
        <w:t>行调整以反映当前最佳估计数。</w:t>
      </w:r>
    </w:p>
    <w:p>
      <w:pPr>
        <w:pStyle w:val="Heading4"/>
        <w:spacing w:line="240" w:lineRule="auto" w:before="31"/>
        <w:ind w:right="152"/>
        <w:jc w:val="left"/>
        <w:rPr>
          <w:rFonts w:ascii="宋体" w:hAnsi="宋体" w:cs="宋体" w:eastAsia="宋体" w:hint="default"/>
          <w:b w:val="0"/>
          <w:bCs w:val="0"/>
        </w:rPr>
      </w:pPr>
      <w:r>
        <w:rPr>
          <w:rFonts w:ascii="宋体" w:hAnsi="宋体" w:cs="宋体" w:eastAsia="宋体" w:hint="default"/>
        </w:rPr>
        <w:t>（二十一）</w:t>
      </w:r>
      <w:r>
        <w:rPr>
          <w:rFonts w:ascii="宋体" w:hAnsi="宋体" w:cs="宋体" w:eastAsia="宋体" w:hint="default"/>
          <w:spacing w:val="-85"/>
        </w:rPr>
        <w:t> </w:t>
      </w:r>
      <w:r>
        <w:rPr>
          <w:rFonts w:ascii="宋体" w:hAnsi="宋体" w:cs="宋体" w:eastAsia="宋体" w:hint="default"/>
        </w:rPr>
        <w:t>收入</w:t>
      </w:r>
      <w:r>
        <w:rPr>
          <w:rFonts w:ascii="宋体" w:hAnsi="宋体" w:cs="宋体" w:eastAsia="宋体" w:hint="default"/>
          <w:b w:val="0"/>
          <w:bCs w:val="0"/>
        </w:rPr>
      </w:r>
    </w:p>
    <w:p>
      <w:pPr>
        <w:pStyle w:val="BodyText"/>
        <w:spacing w:line="338" w:lineRule="auto" w:before="134"/>
        <w:ind w:left="558" w:right="152"/>
        <w:jc w:val="left"/>
      </w:pPr>
      <w:r>
        <w:rPr>
          <w:rFonts w:ascii="Century Gothic" w:hAnsi="Century Gothic" w:cs="Century Gothic" w:eastAsia="Century Gothic" w:hint="default"/>
          <w:b/>
          <w:bCs/>
        </w:rPr>
        <w:t>1.</w:t>
      </w:r>
      <w:r>
        <w:rPr>
          <w:rFonts w:ascii="Century Gothic" w:hAnsi="Century Gothic" w:cs="Century Gothic" w:eastAsia="Century Gothic" w:hint="default"/>
          <w:b/>
          <w:bCs/>
          <w:spacing w:val="43"/>
        </w:rPr>
        <w:t> </w:t>
      </w:r>
      <w:r>
        <w:rPr>
          <w:rFonts w:ascii="宋体" w:hAnsi="宋体" w:cs="宋体" w:eastAsia="宋体" w:hint="default"/>
          <w:b/>
          <w:bCs/>
        </w:rPr>
        <w:t>销售商品</w:t>
      </w:r>
      <w:r>
        <w:rPr>
          <w:rFonts w:ascii="宋体" w:hAnsi="宋体" w:cs="宋体" w:eastAsia="宋体" w:hint="default"/>
          <w:b/>
          <w:bCs/>
          <w:w w:val="99"/>
        </w:rPr>
        <w:t> </w:t>
      </w:r>
      <w:r>
        <w:rPr>
          <w:spacing w:val="-2"/>
        </w:rPr>
        <w:t>本公司销售的商品在同时满足下列条件时，按从购货方已收或应收的合同或协议价款的金额确认</w:t>
      </w:r>
    </w:p>
    <w:p>
      <w:pPr>
        <w:pStyle w:val="BodyText"/>
        <w:spacing w:line="336" w:lineRule="auto" w:before="48"/>
        <w:ind w:right="80" w:hanging="1"/>
        <w:jc w:val="left"/>
      </w:pPr>
      <w:r>
        <w:rPr/>
        <w:t>销售商品收入：（</w:t>
      </w:r>
      <w:r>
        <w:rPr>
          <w:rFonts w:ascii="Century Gothic" w:hAnsi="Century Gothic" w:cs="Century Gothic" w:eastAsia="Century Gothic" w:hint="default"/>
        </w:rPr>
        <w:t>1</w:t>
      </w:r>
      <w:r>
        <w:rPr/>
        <w:t>）已将商品所有权上的主要风险和报酬转移给购货方；（</w:t>
      </w:r>
      <w:r>
        <w:rPr>
          <w:rFonts w:ascii="Century Gothic" w:hAnsi="Century Gothic" w:cs="Century Gothic" w:eastAsia="Century Gothic" w:hint="default"/>
        </w:rPr>
        <w:t>2</w:t>
      </w:r>
      <w:r>
        <w:rPr/>
        <w:t>）既没有保留通常与所 </w:t>
      </w:r>
      <w:r>
        <w:rPr>
          <w:spacing w:val="-2"/>
        </w:rPr>
        <w:t>有权相联系的继续管理权，也没有对已售出的商品实施有效控制；（</w:t>
      </w:r>
      <w:r>
        <w:rPr>
          <w:rFonts w:ascii="Century Gothic" w:hAnsi="Century Gothic" w:cs="Century Gothic" w:eastAsia="Century Gothic" w:hint="default"/>
          <w:spacing w:val="-2"/>
        </w:rPr>
        <w:t>3</w:t>
      </w:r>
      <w:r>
        <w:rPr>
          <w:spacing w:val="-2"/>
        </w:rPr>
        <w:t>）收入的金额能够可靠地计量；</w:t>
      </w:r>
    </w:p>
    <w:p>
      <w:pPr>
        <w:pStyle w:val="BodyText"/>
        <w:spacing w:line="338" w:lineRule="auto" w:before="17"/>
        <w:ind w:left="558" w:right="152" w:hanging="420"/>
        <w:jc w:val="left"/>
      </w:pPr>
      <w:r>
        <w:rPr/>
        <w:t>（</w:t>
      </w:r>
      <w:r>
        <w:rPr>
          <w:rFonts w:ascii="Century Gothic" w:hAnsi="Century Gothic" w:cs="Century Gothic" w:eastAsia="Century Gothic" w:hint="default"/>
        </w:rPr>
        <w:t>4</w:t>
      </w:r>
      <w:r>
        <w:rPr/>
        <w:t>）相关的经济利益很可能流入公司；（</w:t>
      </w:r>
      <w:r>
        <w:rPr>
          <w:rFonts w:ascii="Century Gothic" w:hAnsi="Century Gothic" w:cs="Century Gothic" w:eastAsia="Century Gothic" w:hint="default"/>
        </w:rPr>
        <w:t>5</w:t>
      </w:r>
      <w:r>
        <w:rPr/>
        <w:t>）相关的已发生或将发生的成本能够可靠地计量。 </w:t>
      </w:r>
      <w:r>
        <w:rPr>
          <w:spacing w:val="-2"/>
        </w:rPr>
        <w:t>合同或协议价款的收取采用递延方式，实质上具有融资性质的，按照应收的合同或协议价款的公</w:t>
      </w:r>
    </w:p>
    <w:p>
      <w:pPr>
        <w:pStyle w:val="BodyText"/>
        <w:spacing w:line="240" w:lineRule="auto" w:before="48"/>
        <w:ind w:right="152"/>
        <w:jc w:val="left"/>
      </w:pPr>
      <w:r>
        <w:rPr/>
        <w:t>允价值确定销售商品收入金额。</w:t>
      </w:r>
    </w:p>
    <w:p>
      <w:pPr>
        <w:pStyle w:val="BodyText"/>
        <w:spacing w:line="336" w:lineRule="auto" w:before="134"/>
        <w:ind w:left="558" w:right="152"/>
        <w:jc w:val="left"/>
      </w:pPr>
      <w:r>
        <w:rPr>
          <w:rFonts w:ascii="Century Gothic" w:hAnsi="Century Gothic" w:cs="Century Gothic" w:eastAsia="Century Gothic" w:hint="default"/>
          <w:b/>
          <w:bCs/>
        </w:rPr>
        <w:t>2.</w:t>
      </w:r>
      <w:r>
        <w:rPr>
          <w:rFonts w:ascii="Century Gothic" w:hAnsi="Century Gothic" w:cs="Century Gothic" w:eastAsia="Century Gothic" w:hint="default"/>
          <w:b/>
          <w:bCs/>
          <w:spacing w:val="43"/>
        </w:rPr>
        <w:t> </w:t>
      </w:r>
      <w:r>
        <w:rPr>
          <w:rFonts w:ascii="宋体" w:hAnsi="宋体" w:cs="宋体" w:eastAsia="宋体" w:hint="default"/>
          <w:b/>
          <w:bCs/>
        </w:rPr>
        <w:t>提供劳务</w:t>
      </w:r>
      <w:r>
        <w:rPr>
          <w:rFonts w:ascii="宋体" w:hAnsi="宋体" w:cs="宋体" w:eastAsia="宋体" w:hint="default"/>
          <w:b/>
          <w:bCs/>
          <w:w w:val="99"/>
        </w:rPr>
        <w:t> </w:t>
      </w:r>
      <w:r>
        <w:rPr>
          <w:spacing w:val="-2"/>
        </w:rPr>
        <w:t>在同一会计年度内开始并完成的劳务，在完成劳务时确认收入；如果劳务的开始和完成分属不同</w:t>
      </w:r>
    </w:p>
    <w:p>
      <w:pPr>
        <w:pStyle w:val="BodyText"/>
        <w:spacing w:line="357" w:lineRule="auto" w:before="51"/>
        <w:ind w:right="152"/>
        <w:jc w:val="left"/>
      </w:pPr>
      <w:r>
        <w:rPr>
          <w:spacing w:val="-2"/>
        </w:rPr>
        <w:t>的会计年度，在资产负债表日提供劳务交易的结果能够可靠估计的，采用完工百分比法确认提供劳务</w:t>
      </w:r>
      <w:r>
        <w:rPr>
          <w:spacing w:val="-69"/>
        </w:rPr>
        <w:t> </w:t>
      </w:r>
      <w:r>
        <w:rPr>
          <w:spacing w:val="-69"/>
        </w:rPr>
      </w:r>
      <w:r>
        <w:rPr/>
        <w:t>收入。</w:t>
      </w:r>
    </w:p>
    <w:p>
      <w:pPr>
        <w:pStyle w:val="BodyText"/>
        <w:spacing w:line="240" w:lineRule="auto" w:before="31"/>
        <w:ind w:left="558" w:right="152"/>
        <w:jc w:val="left"/>
      </w:pPr>
      <w:r>
        <w:rPr/>
        <w:t>在资产负债表日提供劳务交易结果不能够可靠估计的，分别下列情况处理：</w:t>
      </w:r>
    </w:p>
    <w:p>
      <w:pPr>
        <w:pStyle w:val="BodyText"/>
        <w:spacing w:line="338" w:lineRule="auto" w:before="134"/>
        <w:ind w:right="80" w:firstLine="420"/>
        <w:jc w:val="left"/>
      </w:pPr>
      <w:r>
        <w:rPr>
          <w:rFonts w:ascii="Century Gothic" w:hAnsi="Century Gothic" w:cs="Century Gothic" w:eastAsia="Century Gothic" w:hint="default"/>
          <w:spacing w:val="-3"/>
        </w:rPr>
        <w:t>A</w:t>
      </w:r>
      <w:r>
        <w:rPr>
          <w:spacing w:val="-3"/>
        </w:rPr>
        <w:t>、已经发生的劳务成本预计能够得到补偿的，按照已经发生的劳务成本金额确认提供劳务收入，</w:t>
      </w:r>
      <w:r>
        <w:rPr/>
        <w:t> 并按相同金额结转劳务成本。</w:t>
      </w:r>
    </w:p>
    <w:p>
      <w:pPr>
        <w:pStyle w:val="BodyText"/>
        <w:spacing w:line="336" w:lineRule="auto" w:before="48"/>
        <w:ind w:right="254" w:firstLine="420"/>
        <w:jc w:val="both"/>
      </w:pPr>
      <w:r>
        <w:rPr>
          <w:rFonts w:ascii="Century Gothic" w:hAnsi="Century Gothic" w:cs="Century Gothic" w:eastAsia="Century Gothic" w:hint="default"/>
        </w:rPr>
        <w:t>B</w:t>
      </w:r>
      <w:r>
        <w:rPr/>
        <w:t>、已经发生的劳务成本预计不能够得到补偿的，将已经发生的劳务成本计入当期损益，不确认 提供劳务收入。</w:t>
      </w:r>
    </w:p>
    <w:p>
      <w:pPr>
        <w:pStyle w:val="BodyText"/>
        <w:spacing w:line="357" w:lineRule="auto" w:before="50"/>
        <w:ind w:right="214" w:firstLine="420"/>
        <w:jc w:val="both"/>
      </w:pPr>
      <w:r>
        <w:rPr>
          <w:spacing w:val="-2"/>
        </w:rPr>
        <w:t>本公司与其他企业签订的合同或协议包括销售商品和提供劳务时，销售商品部分和提供劳务部分</w:t>
      </w:r>
      <w:r>
        <w:rPr/>
        <w:t> </w:t>
      </w:r>
      <w:r>
        <w:rPr>
          <w:spacing w:val="-2"/>
        </w:rPr>
        <w:t>能够区分且能够单独计量的，将销售商品的部分作为销售商品处理，将提供劳务的部分作为提供劳务</w:t>
      </w:r>
      <w:r>
        <w:rPr>
          <w:spacing w:val="-69"/>
        </w:rPr>
        <w:t> </w:t>
      </w:r>
      <w:r>
        <w:rPr>
          <w:spacing w:val="-69"/>
        </w:rPr>
      </w:r>
      <w:r>
        <w:rPr>
          <w:spacing w:val="-2"/>
        </w:rPr>
        <w:t>处理。销售商品部分和提供劳务部分不能够区分，或虽能区分但不能够单独计量的，将销售商品部分</w:t>
      </w:r>
      <w:r>
        <w:rPr>
          <w:spacing w:val="-68"/>
        </w:rPr>
        <w:t> </w:t>
      </w:r>
      <w:r>
        <w:rPr>
          <w:spacing w:val="-68"/>
        </w:rPr>
      </w:r>
      <w:r>
        <w:rPr/>
        <w:t>和提供劳务部分全部作为销售商品处理。</w:t>
      </w:r>
    </w:p>
    <w:p>
      <w:pPr>
        <w:spacing w:line="338" w:lineRule="auto" w:before="31"/>
        <w:ind w:left="558" w:right="356" w:firstLine="0"/>
        <w:jc w:val="left"/>
        <w:rPr>
          <w:rFonts w:ascii="宋体" w:hAnsi="宋体" w:cs="宋体" w:eastAsia="宋体" w:hint="default"/>
          <w:sz w:val="21"/>
          <w:szCs w:val="21"/>
        </w:rPr>
      </w:pPr>
      <w:r>
        <w:rPr>
          <w:rFonts w:ascii="Century Gothic" w:hAnsi="Century Gothic" w:cs="Century Gothic" w:eastAsia="Century Gothic" w:hint="default"/>
          <w:b/>
          <w:bCs/>
          <w:sz w:val="21"/>
          <w:szCs w:val="21"/>
        </w:rPr>
        <w:t>3.</w:t>
      </w:r>
      <w:r>
        <w:rPr>
          <w:rFonts w:ascii="Century Gothic" w:hAnsi="Century Gothic" w:cs="Century Gothic" w:eastAsia="Century Gothic" w:hint="default"/>
          <w:b/>
          <w:bCs/>
          <w:spacing w:val="43"/>
          <w:sz w:val="21"/>
          <w:szCs w:val="21"/>
        </w:rPr>
        <w:t> </w:t>
      </w:r>
      <w:r>
        <w:rPr>
          <w:rFonts w:ascii="宋体" w:hAnsi="宋体" w:cs="宋体" w:eastAsia="宋体" w:hint="default"/>
          <w:b/>
          <w:bCs/>
          <w:sz w:val="21"/>
          <w:szCs w:val="21"/>
        </w:rPr>
        <w:t>让渡资产使用权</w:t>
      </w:r>
      <w:r>
        <w:rPr>
          <w:rFonts w:ascii="宋体" w:hAnsi="宋体" w:cs="宋体" w:eastAsia="宋体" w:hint="default"/>
          <w:b/>
          <w:bCs/>
          <w:w w:val="99"/>
          <w:sz w:val="21"/>
          <w:szCs w:val="21"/>
        </w:rPr>
        <w:t> </w:t>
      </w:r>
      <w:r>
        <w:rPr>
          <w:rFonts w:ascii="宋体" w:hAnsi="宋体" w:cs="宋体" w:eastAsia="宋体" w:hint="default"/>
          <w:sz w:val="21"/>
          <w:szCs w:val="21"/>
        </w:rPr>
        <w:t>本公司在与让渡资产使用权相关的经济利益能够流入和收入的金额能够可靠的计量时确认让渡</w:t>
      </w:r>
    </w:p>
    <w:p>
      <w:pPr>
        <w:pStyle w:val="BodyText"/>
        <w:spacing w:line="357" w:lineRule="auto" w:before="48"/>
        <w:ind w:left="558" w:right="152" w:hanging="420"/>
        <w:jc w:val="left"/>
      </w:pPr>
      <w:r>
        <w:rPr/>
        <w:t>资产使用权收入。 </w:t>
      </w:r>
      <w:r>
        <w:rPr>
          <w:spacing w:val="-2"/>
        </w:rPr>
        <w:t>利息收入按使用货币资金的使用时间和适用利率计算确定。使用费收入金额，按照有关合同或协</w:t>
      </w:r>
    </w:p>
    <w:p>
      <w:pPr>
        <w:pStyle w:val="BodyText"/>
        <w:spacing w:line="240" w:lineRule="auto" w:before="31"/>
        <w:ind w:right="152"/>
        <w:jc w:val="left"/>
      </w:pPr>
      <w:r>
        <w:rPr/>
        <w:t>议约定的收费时间和方法计算确定。</w:t>
      </w:r>
    </w:p>
    <w:p>
      <w:pPr>
        <w:spacing w:line="357" w:lineRule="auto" w:before="135"/>
        <w:ind w:left="558" w:right="152" w:firstLine="0"/>
        <w:jc w:val="left"/>
        <w:rPr>
          <w:rFonts w:ascii="宋体" w:hAnsi="宋体" w:cs="宋体" w:eastAsia="宋体" w:hint="default"/>
          <w:sz w:val="21"/>
          <w:szCs w:val="21"/>
        </w:rPr>
      </w:pPr>
      <w:r>
        <w:rPr>
          <w:rFonts w:ascii="宋体" w:hAnsi="宋体" w:cs="宋体" w:eastAsia="宋体" w:hint="default"/>
          <w:b/>
          <w:bCs/>
          <w:sz w:val="21"/>
          <w:szCs w:val="21"/>
        </w:rPr>
        <w:t>（二十二）</w:t>
      </w:r>
      <w:r>
        <w:rPr>
          <w:rFonts w:ascii="宋体" w:hAnsi="宋体" w:cs="宋体" w:eastAsia="宋体" w:hint="default"/>
          <w:b/>
          <w:bCs/>
          <w:spacing w:val="-81"/>
          <w:sz w:val="21"/>
          <w:szCs w:val="21"/>
        </w:rPr>
        <w:t> </w:t>
      </w:r>
      <w:r>
        <w:rPr>
          <w:rFonts w:ascii="宋体" w:hAnsi="宋体" w:cs="宋体" w:eastAsia="宋体" w:hint="default"/>
          <w:b/>
          <w:bCs/>
          <w:sz w:val="21"/>
          <w:szCs w:val="21"/>
        </w:rPr>
        <w:t>政府补助</w:t>
      </w:r>
      <w:r>
        <w:rPr>
          <w:rFonts w:ascii="宋体" w:hAnsi="宋体" w:cs="宋体" w:eastAsia="宋体" w:hint="default"/>
          <w:b/>
          <w:bCs/>
          <w:w w:val="99"/>
          <w:sz w:val="21"/>
          <w:szCs w:val="21"/>
        </w:rPr>
        <w:t> </w:t>
      </w:r>
      <w:r>
        <w:rPr>
          <w:rFonts w:ascii="宋体" w:hAnsi="宋体" w:cs="宋体" w:eastAsia="宋体" w:hint="default"/>
          <w:spacing w:val="-2"/>
          <w:sz w:val="21"/>
          <w:szCs w:val="21"/>
        </w:rPr>
        <w:t>政府补助，是指本公司从政府无偿取得货币性资产或非货币性资产，但不包括政府作为企业所有</w:t>
      </w:r>
    </w:p>
    <w:p>
      <w:pPr>
        <w:pStyle w:val="BodyText"/>
        <w:spacing w:line="240" w:lineRule="auto" w:before="31"/>
        <w:ind w:right="152"/>
        <w:jc w:val="left"/>
      </w:pPr>
      <w:r>
        <w:rPr/>
        <w:t>者投入的资本。</w:t>
      </w:r>
    </w:p>
    <w:p>
      <w:pPr>
        <w:spacing w:line="240" w:lineRule="auto" w:before="3"/>
        <w:rPr>
          <w:rFonts w:ascii="宋体" w:hAnsi="宋体" w:cs="宋体" w:eastAsia="宋体" w:hint="default"/>
          <w:sz w:val="25"/>
          <w:szCs w:val="25"/>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57</w:t>
      </w:r>
    </w:p>
    <w:p>
      <w:pPr>
        <w:spacing w:after="0"/>
        <w:jc w:val="center"/>
        <w:rPr>
          <w:rFonts w:ascii="Times New Roman" w:hAnsi="Times New Roman" w:cs="Times New Roman" w:eastAsia="Times New Roman" w:hint="default"/>
          <w:sz w:val="18"/>
          <w:szCs w:val="18"/>
        </w:rPr>
        <w:sectPr>
          <w:pgSz w:w="11910" w:h="16840"/>
          <w:pgMar w:top="780" w:bottom="280" w:left="1280" w:right="10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296"/>
        <w:jc w:val="left"/>
        <w:rPr>
          <w:b w:val="0"/>
          <w:bCs w:val="0"/>
        </w:rPr>
      </w:pPr>
      <w:r>
        <w:rPr/>
        <w:pict>
          <v:shape style="position:absolute;margin-left:64.860001pt;margin-top:-9.926001pt;width:84.0pt;height:23.94pt;mso-position-horizontal-relative:page;mso-position-vertical-relative:paragraph;z-index:4432"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57" w:lineRule="auto" w:before="0"/>
        <w:ind w:right="154" w:firstLine="420"/>
        <w:jc w:val="both"/>
      </w:pPr>
      <w:r>
        <w:rPr>
          <w:spacing w:val="-2"/>
        </w:rPr>
        <w:t>政府补助为货币性资产的，按照收到或应收的金额计量；政府补助为非货币性资产的，按照公允</w:t>
      </w:r>
      <w:r>
        <w:rPr/>
        <w:t> 价值计量；公允价值不能可靠取得的，按照名义金额（人民币</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元）计量。</w:t>
      </w:r>
    </w:p>
    <w:p>
      <w:pPr>
        <w:pStyle w:val="BodyText"/>
        <w:spacing w:line="357" w:lineRule="auto" w:before="0"/>
        <w:ind w:right="154" w:firstLine="420"/>
        <w:jc w:val="both"/>
      </w:pPr>
      <w:r>
        <w:rPr>
          <w:spacing w:val="-2"/>
        </w:rPr>
        <w:t>与资产相关的政府补助，本公司确认为递延收益，并在相关资产使用寿命内平均分配，计入当期</w:t>
      </w:r>
      <w:r>
        <w:rPr/>
        <w:t> 损益。但是，按照名义金额计量的政府补助，直接计入当期损益。</w:t>
      </w:r>
    </w:p>
    <w:p>
      <w:pPr>
        <w:pStyle w:val="BodyText"/>
        <w:spacing w:line="357" w:lineRule="auto" w:before="31"/>
        <w:ind w:right="154" w:firstLine="420"/>
        <w:jc w:val="both"/>
      </w:pPr>
      <w:r>
        <w:rPr>
          <w:spacing w:val="-2"/>
        </w:rPr>
        <w:t>与收益相关的政府补助，用于补偿本公司以后期间的相关费用或损失的，确认为递延收益，并在</w:t>
      </w:r>
      <w:r>
        <w:rPr/>
        <w:t> </w:t>
      </w:r>
      <w:r>
        <w:rPr>
          <w:spacing w:val="-2"/>
        </w:rPr>
        <w:t>确认相关费用的期间，计入当期损益；用于补偿本公司已发生的相关费用或损失的，直接计入当期损</w:t>
      </w:r>
      <w:r>
        <w:rPr>
          <w:spacing w:val="-68"/>
        </w:rPr>
        <w:t> </w:t>
      </w:r>
      <w:r>
        <w:rPr>
          <w:spacing w:val="-68"/>
        </w:rPr>
      </w:r>
      <w:r>
        <w:rPr/>
        <w:t>益。</w:t>
      </w:r>
    </w:p>
    <w:p>
      <w:pPr>
        <w:pStyle w:val="BodyText"/>
        <w:spacing w:line="357" w:lineRule="auto" w:before="32"/>
        <w:ind w:right="154" w:firstLine="420"/>
        <w:jc w:val="both"/>
      </w:pPr>
      <w:r>
        <w:rPr>
          <w:spacing w:val="-2"/>
        </w:rPr>
        <w:t>已确认的政府补助需要返还的，存在相关递延收益的，冲减相关递延收益账面余额，超出部分计</w:t>
      </w:r>
      <w:r>
        <w:rPr/>
        <w:t> 入当期损益；不存在相关递延收益的，直接计入当期损益。</w:t>
      </w:r>
    </w:p>
    <w:p>
      <w:pPr>
        <w:spacing w:line="336" w:lineRule="auto" w:before="31"/>
        <w:ind w:left="558" w:right="86" w:firstLine="0"/>
        <w:jc w:val="left"/>
        <w:rPr>
          <w:rFonts w:ascii="宋体" w:hAnsi="宋体" w:cs="宋体" w:eastAsia="宋体" w:hint="default"/>
          <w:sz w:val="21"/>
          <w:szCs w:val="21"/>
        </w:rPr>
      </w:pPr>
      <w:r>
        <w:rPr>
          <w:rFonts w:ascii="宋体" w:hAnsi="宋体" w:cs="宋体" w:eastAsia="宋体" w:hint="default"/>
          <w:b/>
          <w:bCs/>
          <w:sz w:val="21"/>
          <w:szCs w:val="21"/>
        </w:rPr>
        <w:t>（二十三）</w:t>
      </w:r>
      <w:r>
        <w:rPr>
          <w:rFonts w:ascii="宋体" w:hAnsi="宋体" w:cs="宋体" w:eastAsia="宋体" w:hint="default"/>
          <w:b/>
          <w:bCs/>
          <w:spacing w:val="-81"/>
          <w:sz w:val="21"/>
          <w:szCs w:val="21"/>
        </w:rPr>
        <w:t> </w:t>
      </w:r>
      <w:r>
        <w:rPr>
          <w:rFonts w:ascii="宋体" w:hAnsi="宋体" w:cs="宋体" w:eastAsia="宋体" w:hint="default"/>
          <w:b/>
          <w:bCs/>
          <w:sz w:val="21"/>
          <w:szCs w:val="21"/>
        </w:rPr>
        <w:t>递延所得税资产</w:t>
      </w:r>
      <w:r>
        <w:rPr>
          <w:rFonts w:ascii="Century Gothic" w:hAnsi="Century Gothic" w:cs="Century Gothic" w:eastAsia="Century Gothic"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本公司的所得税采用资产负债表债务法核算。资产、负债的账面价值与其计税基础存在差异的，</w:t>
      </w:r>
    </w:p>
    <w:p>
      <w:pPr>
        <w:pStyle w:val="BodyText"/>
        <w:spacing w:line="357" w:lineRule="auto" w:before="51"/>
        <w:ind w:left="558" w:right="86" w:hanging="420"/>
        <w:jc w:val="left"/>
      </w:pPr>
      <w:r>
        <w:rPr/>
        <w:t>按照规定确认所产生的递延所得税资产和递延所得税负债。 </w:t>
      </w:r>
      <w:r>
        <w:rPr>
          <w:spacing w:val="-2"/>
        </w:rPr>
        <w:t>在资产负债表日，对于当期和以前期间形成的当期所得税负债（或资产），按照税法规定计算的</w:t>
      </w:r>
    </w:p>
    <w:p>
      <w:pPr>
        <w:pStyle w:val="BodyText"/>
        <w:spacing w:line="357" w:lineRule="auto" w:before="31"/>
        <w:ind w:right="104"/>
        <w:jc w:val="both"/>
      </w:pPr>
      <w:r>
        <w:rPr/>
        <w:t>预期应交纳（或返还）的所得税金额计量；对于递延所得税资产和递延所得税负债，根据税法规定， 按照预期收回该资产或清偿该负债期间的适用税率计量。</w:t>
      </w:r>
    </w:p>
    <w:p>
      <w:pPr>
        <w:pStyle w:val="BodyText"/>
        <w:spacing w:line="357" w:lineRule="auto" w:before="32"/>
        <w:ind w:right="104" w:firstLine="420"/>
        <w:jc w:val="both"/>
      </w:pPr>
      <w:r>
        <w:rPr>
          <w:spacing w:val="-2"/>
        </w:rPr>
        <w:t>递延所得税资产的确认以本公司很可能取得用来抵扣可抵扣暂时性差异、可抵扣亏损和税款抵减</w:t>
      </w:r>
      <w:r>
        <w:rPr/>
        <w:t> 的应纳税所得额为限。在无法明确估计可抵扣暂时性差异预期转回期间可能取得的应纳税所得额时， </w:t>
      </w:r>
      <w:r>
        <w:rPr>
          <w:spacing w:val="-2"/>
        </w:rPr>
        <w:t>不确认与可抵扣暂时性差异相关的递延所得税资产。对子公司、联营企业及合营企业投资相关的应纳</w:t>
      </w:r>
      <w:r>
        <w:rPr>
          <w:spacing w:val="-69"/>
        </w:rPr>
        <w:t> </w:t>
      </w:r>
      <w:r>
        <w:rPr>
          <w:spacing w:val="-69"/>
        </w:rPr>
      </w:r>
      <w:r>
        <w:rPr>
          <w:spacing w:val="-2"/>
        </w:rPr>
        <w:t>税暂时性差异产生的递延所得税负债，予以确认，但同时满足能够控制应纳税暂时性差异转回的时间</w:t>
      </w:r>
      <w:r>
        <w:rPr>
          <w:spacing w:val="-69"/>
        </w:rPr>
        <w:t> </w:t>
      </w:r>
      <w:r>
        <w:rPr>
          <w:spacing w:val="-69"/>
        </w:rPr>
      </w:r>
      <w:r>
        <w:rPr>
          <w:spacing w:val="-2"/>
        </w:rPr>
        <w:t>且该暂时性差异在可预见的未来很可能不会转回的，不予确认；对子公司、联营企业及合营企业投资</w:t>
      </w:r>
      <w:r>
        <w:rPr>
          <w:spacing w:val="-68"/>
        </w:rPr>
        <w:t> </w:t>
      </w:r>
      <w:r>
        <w:rPr>
          <w:spacing w:val="-68"/>
        </w:rPr>
      </w:r>
      <w:r>
        <w:rPr>
          <w:spacing w:val="-2"/>
        </w:rPr>
        <w:t>相关的可抵扣暂时性差异产生的递延所得税资产，该可抵扣暂时性差异同时满足在可预见的未来很可</w:t>
      </w:r>
      <w:r>
        <w:rPr>
          <w:spacing w:val="-68"/>
        </w:rPr>
        <w:t> </w:t>
      </w:r>
      <w:r>
        <w:rPr>
          <w:spacing w:val="-68"/>
        </w:rPr>
      </w:r>
      <w:r>
        <w:rPr>
          <w:spacing w:val="-2"/>
        </w:rPr>
        <w:t>能转回即在可预见的将来有处置该项投资的明确计划，且预计在处置该项投资时，除了有足够的应纳</w:t>
      </w:r>
      <w:r>
        <w:rPr>
          <w:spacing w:val="-69"/>
        </w:rPr>
        <w:t> </w:t>
      </w:r>
      <w:r>
        <w:rPr>
          <w:spacing w:val="-69"/>
        </w:rPr>
      </w:r>
      <w:r>
        <w:rPr/>
        <w:t>税所得以外，还有足够的投资收益用以抵扣可抵扣暂时性差异时，予以确认。</w:t>
      </w:r>
    </w:p>
    <w:p>
      <w:pPr>
        <w:pStyle w:val="BodyText"/>
        <w:spacing w:line="357" w:lineRule="auto" w:before="32"/>
        <w:ind w:right="154" w:firstLine="420"/>
        <w:jc w:val="both"/>
      </w:pPr>
      <w:r>
        <w:rPr>
          <w:spacing w:val="-2"/>
        </w:rPr>
        <w:t>资产负债表日，对递延所得税资产的账面价值进行复核。除企业合并、直接在所有者权益中确认</w:t>
      </w:r>
      <w:r>
        <w:rPr/>
        <w:t> </w:t>
      </w:r>
      <w:r>
        <w:rPr>
          <w:spacing w:val="-2"/>
        </w:rPr>
        <w:t>的交易或者事项产生的所得税外，本公司将当期所得税和递延所得税作为所得税费用或收益计入当期</w:t>
      </w:r>
      <w:r>
        <w:rPr>
          <w:spacing w:val="-68"/>
        </w:rPr>
        <w:t> </w:t>
      </w:r>
      <w:r>
        <w:rPr>
          <w:spacing w:val="-68"/>
        </w:rPr>
      </w:r>
      <w:r>
        <w:rPr/>
        <w:t>损益。</w:t>
      </w:r>
    </w:p>
    <w:p>
      <w:pPr>
        <w:spacing w:line="357" w:lineRule="auto" w:before="31"/>
        <w:ind w:left="558" w:right="86" w:firstLine="0"/>
        <w:jc w:val="left"/>
        <w:rPr>
          <w:rFonts w:ascii="宋体" w:hAnsi="宋体" w:cs="宋体" w:eastAsia="宋体" w:hint="default"/>
          <w:sz w:val="21"/>
          <w:szCs w:val="21"/>
        </w:rPr>
      </w:pPr>
      <w:r>
        <w:rPr>
          <w:rFonts w:ascii="宋体" w:hAnsi="宋体" w:cs="宋体" w:eastAsia="宋体" w:hint="default"/>
          <w:b/>
          <w:bCs/>
          <w:sz w:val="21"/>
          <w:szCs w:val="21"/>
        </w:rPr>
        <w:t>（二十四）</w:t>
      </w:r>
      <w:r>
        <w:rPr>
          <w:rFonts w:ascii="宋体" w:hAnsi="宋体" w:cs="宋体" w:eastAsia="宋体" w:hint="default"/>
          <w:b/>
          <w:bCs/>
          <w:spacing w:val="-81"/>
          <w:sz w:val="21"/>
          <w:szCs w:val="21"/>
        </w:rPr>
        <w:t> </w:t>
      </w:r>
      <w:r>
        <w:rPr>
          <w:rFonts w:ascii="宋体" w:hAnsi="宋体" w:cs="宋体" w:eastAsia="宋体" w:hint="default"/>
          <w:b/>
          <w:bCs/>
          <w:sz w:val="21"/>
          <w:szCs w:val="21"/>
        </w:rPr>
        <w:t>经营租赁、融资租赁</w:t>
      </w:r>
      <w:r>
        <w:rPr>
          <w:rFonts w:ascii="宋体" w:hAnsi="宋体" w:cs="宋体" w:eastAsia="宋体" w:hint="default"/>
          <w:b/>
          <w:bCs/>
          <w:w w:val="99"/>
          <w:sz w:val="21"/>
          <w:szCs w:val="21"/>
        </w:rPr>
        <w:t> </w:t>
      </w:r>
      <w:r>
        <w:rPr>
          <w:rFonts w:ascii="宋体" w:hAnsi="宋体" w:cs="宋体" w:eastAsia="宋体" w:hint="default"/>
          <w:spacing w:val="-2"/>
          <w:sz w:val="21"/>
          <w:szCs w:val="21"/>
        </w:rPr>
        <w:t>如果租赁条款在实质上将与租赁资产所有权有关的全部风险和报酬转移给承租人，该租赁为融资</w:t>
      </w:r>
    </w:p>
    <w:p>
      <w:pPr>
        <w:pStyle w:val="BodyText"/>
        <w:spacing w:line="240" w:lineRule="auto" w:before="31"/>
        <w:ind w:right="0"/>
        <w:jc w:val="both"/>
      </w:pPr>
      <w:r>
        <w:rPr/>
        <w:t>租赁，其他租赁则为经营租赁。</w:t>
      </w:r>
    </w:p>
    <w:p>
      <w:pPr>
        <w:spacing w:line="336" w:lineRule="auto" w:before="134"/>
        <w:ind w:left="558" w:right="86" w:firstLine="0"/>
        <w:jc w:val="left"/>
        <w:rPr>
          <w:rFonts w:ascii="宋体" w:hAnsi="宋体" w:cs="宋体" w:eastAsia="宋体" w:hint="default"/>
          <w:sz w:val="21"/>
          <w:szCs w:val="21"/>
        </w:rPr>
      </w:pPr>
      <w:r>
        <w:rPr>
          <w:rFonts w:ascii="Century Gothic" w:hAnsi="Century Gothic" w:cs="Century Gothic" w:eastAsia="Century Gothic" w:hint="default"/>
          <w:b/>
          <w:bCs/>
          <w:sz w:val="21"/>
          <w:szCs w:val="21"/>
        </w:rPr>
        <w:t>1.</w:t>
      </w:r>
      <w:r>
        <w:rPr>
          <w:rFonts w:ascii="Century Gothic" w:hAnsi="Century Gothic" w:cs="Century Gothic" w:eastAsia="Century Gothic" w:hint="default"/>
          <w:b/>
          <w:bCs/>
          <w:spacing w:val="43"/>
          <w:sz w:val="21"/>
          <w:szCs w:val="21"/>
        </w:rPr>
        <w:t> </w:t>
      </w:r>
      <w:r>
        <w:rPr>
          <w:rFonts w:ascii="宋体" w:hAnsi="宋体" w:cs="宋体" w:eastAsia="宋体" w:hint="default"/>
          <w:b/>
          <w:bCs/>
          <w:sz w:val="21"/>
          <w:szCs w:val="21"/>
        </w:rPr>
        <w:t>本公司作为出租人</w:t>
      </w:r>
      <w:r>
        <w:rPr>
          <w:rFonts w:ascii="宋体" w:hAnsi="宋体" w:cs="宋体" w:eastAsia="宋体" w:hint="default"/>
          <w:b/>
          <w:bCs/>
          <w:w w:val="99"/>
          <w:sz w:val="21"/>
          <w:szCs w:val="21"/>
        </w:rPr>
        <w:t> </w:t>
      </w:r>
      <w:r>
        <w:rPr>
          <w:rFonts w:ascii="宋体" w:hAnsi="宋体" w:cs="宋体" w:eastAsia="宋体" w:hint="default"/>
          <w:spacing w:val="-2"/>
          <w:sz w:val="21"/>
          <w:szCs w:val="21"/>
        </w:rPr>
        <w:t>融资租赁中，在租赁开始日本公司按最低租赁收款额与初始直接费用之和作为应收融资租赁款的</w:t>
      </w:r>
    </w:p>
    <w:p>
      <w:pPr>
        <w:pStyle w:val="BodyText"/>
        <w:spacing w:line="357" w:lineRule="auto" w:before="51"/>
        <w:ind w:right="154"/>
        <w:jc w:val="both"/>
      </w:pPr>
      <w:r>
        <w:rPr>
          <w:spacing w:val="-2"/>
        </w:rPr>
        <w:t>入账价值，同时记录未担保余值；将最低租赁收款额、初始直接费用及未担保余值之和与其现值之和</w:t>
      </w:r>
      <w:r>
        <w:rPr>
          <w:spacing w:val="-68"/>
        </w:rPr>
        <w:t> </w:t>
      </w:r>
      <w:r>
        <w:rPr>
          <w:spacing w:val="-68"/>
        </w:rPr>
      </w:r>
      <w:r>
        <w:rPr>
          <w:spacing w:val="-2"/>
        </w:rPr>
        <w:t>的差额确认为未实现融资收益。未实现融资收益在租赁期内各个期间采用实际利率法计算确认当期的</w:t>
      </w:r>
      <w:r>
        <w:rPr>
          <w:spacing w:val="-68"/>
        </w:rPr>
        <w:t> </w:t>
      </w:r>
      <w:r>
        <w:rPr>
          <w:spacing w:val="-68"/>
        </w:rPr>
      </w:r>
      <w:r>
        <w:rPr/>
        <w:t>融资收入。</w:t>
      </w:r>
    </w:p>
    <w:p>
      <w:pPr>
        <w:spacing w:line="240" w:lineRule="auto" w:before="5"/>
        <w:rPr>
          <w:rFonts w:ascii="宋体" w:hAnsi="宋体" w:cs="宋体" w:eastAsia="宋体" w:hint="default"/>
          <w:sz w:val="17"/>
          <w:szCs w:val="17"/>
        </w:rPr>
      </w:pPr>
    </w:p>
    <w:p>
      <w:pPr>
        <w:spacing w:before="76"/>
        <w:ind w:left="4623" w:right="4640" w:firstLine="0"/>
        <w:jc w:val="center"/>
        <w:rPr>
          <w:rFonts w:ascii="Times New Roman" w:hAnsi="Times New Roman" w:cs="Times New Roman" w:eastAsia="Times New Roman" w:hint="default"/>
          <w:sz w:val="18"/>
          <w:szCs w:val="18"/>
        </w:rPr>
      </w:pPr>
      <w:r>
        <w:rPr>
          <w:rFonts w:ascii="Times New Roman"/>
          <w:sz w:val="18"/>
        </w:rPr>
        <w:t>58</w:t>
      </w:r>
    </w:p>
    <w:p>
      <w:pPr>
        <w:spacing w:after="0"/>
        <w:jc w:val="center"/>
        <w:rPr>
          <w:rFonts w:ascii="Times New Roman" w:hAnsi="Times New Roman" w:cs="Times New Roman" w:eastAsia="Times New Roman" w:hint="default"/>
          <w:sz w:val="18"/>
          <w:szCs w:val="18"/>
        </w:rPr>
        <w:sectPr>
          <w:pgSz w:w="11910" w:h="16840"/>
          <w:pgMar w:top="780" w:bottom="280" w:left="1160" w:right="126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70.860001pt;margin-top:-9.926001pt;width:84.0pt;height:23.94pt;mso-position-horizontal-relative:page;mso-position-vertical-relative:paragraph;z-index:4480"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57" w:lineRule="auto" w:before="0"/>
        <w:ind w:right="109" w:firstLine="419"/>
        <w:jc w:val="left"/>
      </w:pPr>
      <w:r>
        <w:rPr>
          <w:spacing w:val="-4"/>
        </w:rPr>
        <w:t>经营租赁中的租金，本公司在租赁期内各个期间按照直线法确认当期损益。发生的初始直接费用，</w:t>
      </w:r>
      <w:r>
        <w:rPr/>
        <w:t> 计入当期损益。</w:t>
      </w:r>
    </w:p>
    <w:p>
      <w:pPr>
        <w:spacing w:line="338" w:lineRule="auto" w:before="31"/>
        <w:ind w:left="558" w:right="152" w:firstLine="0"/>
        <w:jc w:val="left"/>
        <w:rPr>
          <w:rFonts w:ascii="宋体" w:hAnsi="宋体" w:cs="宋体" w:eastAsia="宋体" w:hint="default"/>
          <w:sz w:val="21"/>
          <w:szCs w:val="21"/>
        </w:rPr>
      </w:pPr>
      <w:r>
        <w:rPr>
          <w:rFonts w:ascii="Century Gothic" w:hAnsi="Century Gothic" w:cs="Century Gothic" w:eastAsia="Century Gothic" w:hint="default"/>
          <w:b/>
          <w:bCs/>
          <w:sz w:val="21"/>
          <w:szCs w:val="21"/>
        </w:rPr>
        <w:t>2.</w:t>
      </w:r>
      <w:r>
        <w:rPr>
          <w:rFonts w:ascii="Century Gothic" w:hAnsi="Century Gothic" w:cs="Century Gothic" w:eastAsia="Century Gothic" w:hint="default"/>
          <w:b/>
          <w:bCs/>
          <w:spacing w:val="43"/>
          <w:sz w:val="21"/>
          <w:szCs w:val="21"/>
        </w:rPr>
        <w:t> </w:t>
      </w:r>
      <w:r>
        <w:rPr>
          <w:rFonts w:ascii="宋体" w:hAnsi="宋体" w:cs="宋体" w:eastAsia="宋体" w:hint="default"/>
          <w:b/>
          <w:bCs/>
          <w:sz w:val="21"/>
          <w:szCs w:val="21"/>
        </w:rPr>
        <w:t>本公司作为承租人</w:t>
      </w:r>
      <w:r>
        <w:rPr>
          <w:rFonts w:ascii="宋体" w:hAnsi="宋体" w:cs="宋体" w:eastAsia="宋体" w:hint="default"/>
          <w:b/>
          <w:bCs/>
          <w:w w:val="99"/>
          <w:sz w:val="21"/>
          <w:szCs w:val="21"/>
        </w:rPr>
        <w:t> </w:t>
      </w:r>
      <w:r>
        <w:rPr>
          <w:rFonts w:ascii="宋体" w:hAnsi="宋体" w:cs="宋体" w:eastAsia="宋体" w:hint="default"/>
          <w:spacing w:val="-2"/>
          <w:sz w:val="21"/>
          <w:szCs w:val="21"/>
        </w:rPr>
        <w:t>融资租赁中，在租赁开始日本公司将租赁资产公允价值与最低租赁付款额现值两者中较低者作为</w:t>
      </w:r>
    </w:p>
    <w:p>
      <w:pPr>
        <w:pStyle w:val="BodyText"/>
        <w:spacing w:line="357" w:lineRule="auto" w:before="48"/>
        <w:ind w:right="165"/>
        <w:jc w:val="both"/>
      </w:pPr>
      <w:r>
        <w:rPr/>
        <w:t>租入资产的入账价值，将最低租赁付款额作为长期应付款的入账价值，其差额作为未确认融资费用。 </w:t>
      </w:r>
      <w:r>
        <w:rPr>
          <w:spacing w:val="-2"/>
        </w:rPr>
        <w:t>初始直接费用计入租入资产价值。未确认融资费用在租赁期内各个期间采用实际利率法计算确认当期</w:t>
      </w:r>
      <w:r>
        <w:rPr>
          <w:spacing w:val="-68"/>
        </w:rPr>
        <w:t> </w:t>
      </w:r>
      <w:r>
        <w:rPr>
          <w:spacing w:val="-68"/>
        </w:rPr>
      </w:r>
      <w:r>
        <w:rPr/>
        <w:t>的融资费用。本公司采用与自有固定资产相一致的折旧政策计提租赁资产折旧。</w:t>
      </w:r>
    </w:p>
    <w:p>
      <w:pPr>
        <w:pStyle w:val="BodyText"/>
        <w:spacing w:line="357" w:lineRule="auto" w:before="32"/>
        <w:ind w:right="152" w:firstLine="420"/>
        <w:jc w:val="left"/>
      </w:pPr>
      <w:r>
        <w:rPr>
          <w:spacing w:val="-2"/>
        </w:rPr>
        <w:t>经营租赁中的租金，本公司在租赁期内各个期间按照直线法计入相关资产成本或当期损益；发生</w:t>
      </w:r>
      <w:r>
        <w:rPr/>
        <w:t> 的初始直接费用，计入当期损益。</w:t>
      </w:r>
    </w:p>
    <w:p>
      <w:pPr>
        <w:spacing w:line="357" w:lineRule="auto" w:before="31"/>
        <w:ind w:left="558" w:right="146" w:firstLine="0"/>
        <w:jc w:val="left"/>
        <w:rPr>
          <w:rFonts w:ascii="宋体" w:hAnsi="宋体" w:cs="宋体" w:eastAsia="宋体" w:hint="default"/>
          <w:sz w:val="21"/>
          <w:szCs w:val="21"/>
        </w:rPr>
      </w:pPr>
      <w:r>
        <w:rPr>
          <w:rFonts w:ascii="宋体" w:hAnsi="宋体" w:cs="宋体" w:eastAsia="宋体" w:hint="default"/>
          <w:b/>
          <w:bCs/>
          <w:sz w:val="21"/>
          <w:szCs w:val="21"/>
        </w:rPr>
        <w:t>（二十五）</w:t>
      </w:r>
      <w:r>
        <w:rPr>
          <w:rFonts w:ascii="宋体" w:hAnsi="宋体" w:cs="宋体" w:eastAsia="宋体" w:hint="default"/>
          <w:b/>
          <w:bCs/>
          <w:spacing w:val="-81"/>
          <w:sz w:val="21"/>
          <w:szCs w:val="21"/>
        </w:rPr>
        <w:t> </w:t>
      </w:r>
      <w:r>
        <w:rPr>
          <w:rFonts w:ascii="宋体" w:hAnsi="宋体" w:cs="宋体" w:eastAsia="宋体" w:hint="default"/>
          <w:b/>
          <w:bCs/>
          <w:sz w:val="21"/>
          <w:szCs w:val="21"/>
        </w:rPr>
        <w:t>持有待售资产</w:t>
      </w:r>
      <w:r>
        <w:rPr>
          <w:rFonts w:ascii="宋体" w:hAnsi="宋体" w:cs="宋体" w:eastAsia="宋体" w:hint="default"/>
          <w:b/>
          <w:bCs/>
          <w:w w:val="99"/>
          <w:sz w:val="21"/>
          <w:szCs w:val="21"/>
        </w:rPr>
        <w:t> </w:t>
      </w:r>
      <w:r>
        <w:rPr>
          <w:rFonts w:ascii="宋体" w:hAnsi="宋体" w:cs="宋体" w:eastAsia="宋体" w:hint="default"/>
          <w:sz w:val="21"/>
          <w:szCs w:val="21"/>
        </w:rPr>
        <w:t>同时满足下列条件的非流动资产划分为持有待售：一是公司已经就处置该非流动资产作出决议；</w:t>
      </w:r>
    </w:p>
    <w:p>
      <w:pPr>
        <w:pStyle w:val="BodyText"/>
        <w:spacing w:line="357" w:lineRule="auto" w:before="32"/>
        <w:ind w:right="214"/>
        <w:jc w:val="both"/>
      </w:pPr>
      <w:r>
        <w:rPr>
          <w:spacing w:val="-2"/>
        </w:rPr>
        <w:t>二是公司已经与受让方签订了不可撤销的转让协议；三是该项转让将在一年内完成。持有待售的非流</w:t>
      </w:r>
      <w:r>
        <w:rPr>
          <w:spacing w:val="-69"/>
        </w:rPr>
        <w:t> </w:t>
      </w:r>
      <w:r>
        <w:rPr>
          <w:spacing w:val="-69"/>
        </w:rPr>
      </w:r>
      <w:r>
        <w:rPr/>
        <w:t>动资产包括单项资产和处置组，处置组是指作为整体出售或其他方式一并处置的一组资产。</w:t>
      </w:r>
    </w:p>
    <w:p>
      <w:pPr>
        <w:pStyle w:val="BodyText"/>
        <w:spacing w:line="357" w:lineRule="auto" w:before="31"/>
        <w:ind w:right="146" w:firstLine="420"/>
        <w:jc w:val="left"/>
      </w:pPr>
      <w:r>
        <w:rPr/>
        <w:t>本公司对于持有待售的固定资产，调整该项固定资产的预计净残值，使该固定资产的预计净残值 反映其公允价值减去处置费用后的金额，但不超过符合持有待售条件时该项固定资产的原账</w:t>
      </w:r>
      <w:r>
        <w:rPr>
          <w:spacing w:val="-48"/>
        </w:rPr>
        <w:t> </w:t>
      </w:r>
      <w:r>
        <w:rPr/>
        <w:t>面价值，</w:t>
      </w:r>
      <w:r>
        <w:rPr/>
        <w:t> 原账面价值高于调整后预计净残值的差额，应作为资产减值损失计入当期损益。</w:t>
      </w:r>
    </w:p>
    <w:p>
      <w:pPr>
        <w:pStyle w:val="BodyText"/>
        <w:spacing w:line="240" w:lineRule="auto" w:before="31"/>
        <w:ind w:left="558" w:right="80"/>
        <w:jc w:val="left"/>
      </w:pPr>
      <w:r>
        <w:rPr>
          <w:spacing w:val="-4"/>
        </w:rPr>
        <w:t>符合持有待售条件的无形资产等其他非流动资产，比照上述原则处理，但不包括递延所得税资产、</w:t>
      </w:r>
    </w:p>
    <w:p>
      <w:pPr>
        <w:pStyle w:val="BodyText"/>
        <w:spacing w:line="336" w:lineRule="auto" w:before="134"/>
        <w:ind w:right="246"/>
        <w:jc w:val="both"/>
      </w:pPr>
      <w:r>
        <w:rPr/>
        <w:t>《企业会计准则第</w:t>
      </w:r>
      <w:r>
        <w:rPr>
          <w:spacing w:val="-54"/>
        </w:rPr>
        <w:t> </w:t>
      </w:r>
      <w:r>
        <w:rPr>
          <w:rFonts w:ascii="Century Gothic" w:hAnsi="Century Gothic" w:cs="Century Gothic" w:eastAsia="Century Gothic" w:hint="default"/>
        </w:rPr>
        <w:t>22</w:t>
      </w:r>
      <w:r>
        <w:rPr>
          <w:rFonts w:ascii="Century Gothic" w:hAnsi="Century Gothic" w:cs="Century Gothic" w:eastAsia="Century Gothic" w:hint="default"/>
          <w:spacing w:val="-7"/>
        </w:rPr>
        <w:t> </w:t>
      </w:r>
      <w:r>
        <w:rPr/>
        <w:t>号——金融工具确认和计量》规范的金融资产、以公允价值计量的投资性房地 产和生物资产、保险合同中产生的合同权利。</w:t>
      </w:r>
    </w:p>
    <w:p>
      <w:pPr>
        <w:spacing w:line="348" w:lineRule="auto" w:before="51"/>
        <w:ind w:left="558" w:right="4944" w:firstLine="0"/>
        <w:jc w:val="left"/>
        <w:rPr>
          <w:rFonts w:ascii="宋体" w:hAnsi="宋体" w:cs="宋体" w:eastAsia="宋体" w:hint="default"/>
          <w:sz w:val="21"/>
          <w:szCs w:val="21"/>
        </w:rPr>
      </w:pPr>
      <w:r>
        <w:rPr>
          <w:rFonts w:ascii="宋体" w:hAnsi="宋体" w:cs="宋体" w:eastAsia="宋体" w:hint="default"/>
          <w:b/>
          <w:bCs/>
          <w:sz w:val="21"/>
          <w:szCs w:val="21"/>
        </w:rPr>
        <w:t>（二十六）</w:t>
      </w:r>
      <w:r>
        <w:rPr>
          <w:rFonts w:ascii="宋体" w:hAnsi="宋体" w:cs="宋体" w:eastAsia="宋体" w:hint="default"/>
          <w:b/>
          <w:bCs/>
          <w:spacing w:val="-89"/>
          <w:sz w:val="21"/>
          <w:szCs w:val="21"/>
        </w:rPr>
        <w:t> </w:t>
      </w:r>
      <w:r>
        <w:rPr>
          <w:rFonts w:ascii="宋体" w:hAnsi="宋体" w:cs="宋体" w:eastAsia="宋体" w:hint="default"/>
          <w:b/>
          <w:bCs/>
          <w:sz w:val="21"/>
          <w:szCs w:val="21"/>
        </w:rPr>
        <w:t>主要会计政策、会计估计的变更</w:t>
      </w:r>
      <w:r>
        <w:rPr>
          <w:rFonts w:ascii="宋体" w:hAnsi="宋体" w:cs="宋体" w:eastAsia="宋体" w:hint="default"/>
          <w:b/>
          <w:bCs/>
          <w:w w:val="99"/>
          <w:sz w:val="21"/>
          <w:szCs w:val="21"/>
        </w:rPr>
        <w:t> </w:t>
      </w:r>
      <w:r>
        <w:rPr>
          <w:rFonts w:ascii="Century Gothic" w:hAnsi="Century Gothic" w:cs="Century Gothic" w:eastAsia="Century Gothic" w:hint="default"/>
          <w:b/>
          <w:bCs/>
          <w:sz w:val="21"/>
          <w:szCs w:val="21"/>
        </w:rPr>
        <w:t>1.</w:t>
      </w:r>
      <w:r>
        <w:rPr>
          <w:rFonts w:ascii="Century Gothic" w:hAnsi="Century Gothic" w:cs="Century Gothic" w:eastAsia="Century Gothic" w:hint="default"/>
          <w:b/>
          <w:bCs/>
          <w:spacing w:val="43"/>
          <w:sz w:val="21"/>
          <w:szCs w:val="21"/>
        </w:rPr>
        <w:t> </w:t>
      </w:r>
      <w:r>
        <w:rPr>
          <w:rFonts w:ascii="宋体" w:hAnsi="宋体" w:cs="宋体" w:eastAsia="宋体" w:hint="default"/>
          <w:b/>
          <w:bCs/>
          <w:sz w:val="21"/>
          <w:szCs w:val="21"/>
        </w:rPr>
        <w:t>会计政策变更</w:t>
      </w:r>
      <w:r>
        <w:rPr>
          <w:rFonts w:ascii="宋体" w:hAnsi="宋体" w:cs="宋体" w:eastAsia="宋体" w:hint="default"/>
          <w:b/>
          <w:bCs/>
          <w:w w:val="99"/>
          <w:sz w:val="21"/>
          <w:szCs w:val="21"/>
        </w:rPr>
        <w:t> </w:t>
      </w:r>
      <w:r>
        <w:rPr>
          <w:rFonts w:ascii="宋体" w:hAnsi="宋体" w:cs="宋体" w:eastAsia="宋体" w:hint="default"/>
          <w:sz w:val="21"/>
          <w:szCs w:val="21"/>
        </w:rPr>
        <w:t>本报告期主要会计政策未发生变更。</w:t>
      </w:r>
    </w:p>
    <w:p>
      <w:pPr>
        <w:spacing w:line="338" w:lineRule="auto" w:before="40"/>
        <w:ind w:left="558" w:right="5606" w:firstLine="0"/>
        <w:jc w:val="left"/>
        <w:rPr>
          <w:rFonts w:ascii="宋体" w:hAnsi="宋体" w:cs="宋体" w:eastAsia="宋体" w:hint="default"/>
          <w:sz w:val="21"/>
          <w:szCs w:val="21"/>
        </w:rPr>
      </w:pPr>
      <w:r>
        <w:rPr>
          <w:rFonts w:ascii="Century Gothic" w:hAnsi="Century Gothic" w:cs="Century Gothic" w:eastAsia="Century Gothic" w:hint="default"/>
          <w:b/>
          <w:bCs/>
          <w:sz w:val="21"/>
          <w:szCs w:val="21"/>
        </w:rPr>
        <w:t>2.</w:t>
      </w:r>
      <w:r>
        <w:rPr>
          <w:rFonts w:ascii="Century Gothic" w:hAnsi="Century Gothic" w:cs="Century Gothic" w:eastAsia="Century Gothic" w:hint="default"/>
          <w:b/>
          <w:bCs/>
          <w:spacing w:val="43"/>
          <w:sz w:val="21"/>
          <w:szCs w:val="21"/>
        </w:rPr>
        <w:t> </w:t>
      </w:r>
      <w:r>
        <w:rPr>
          <w:rFonts w:ascii="宋体" w:hAnsi="宋体" w:cs="宋体" w:eastAsia="宋体" w:hint="default"/>
          <w:b/>
          <w:bCs/>
          <w:sz w:val="21"/>
          <w:szCs w:val="21"/>
        </w:rPr>
        <w:t>会计估计变更</w:t>
      </w:r>
      <w:r>
        <w:rPr>
          <w:rFonts w:ascii="宋体" w:hAnsi="宋体" w:cs="宋体" w:eastAsia="宋体" w:hint="default"/>
          <w:b/>
          <w:bCs/>
          <w:w w:val="99"/>
          <w:sz w:val="21"/>
          <w:szCs w:val="21"/>
        </w:rPr>
        <w:t> </w:t>
      </w:r>
      <w:r>
        <w:rPr>
          <w:rFonts w:ascii="宋体" w:hAnsi="宋体" w:cs="宋体" w:eastAsia="宋体" w:hint="default"/>
          <w:sz w:val="21"/>
          <w:szCs w:val="21"/>
        </w:rPr>
        <w:t>本报告期主要会计估计未发生变更。</w:t>
      </w:r>
    </w:p>
    <w:p>
      <w:pPr>
        <w:spacing w:line="357" w:lineRule="auto" w:before="48"/>
        <w:ind w:left="558" w:right="5606" w:firstLine="0"/>
        <w:jc w:val="left"/>
        <w:rPr>
          <w:rFonts w:ascii="宋体" w:hAnsi="宋体" w:cs="宋体" w:eastAsia="宋体" w:hint="default"/>
          <w:sz w:val="21"/>
          <w:szCs w:val="21"/>
        </w:rPr>
      </w:pPr>
      <w:r>
        <w:rPr>
          <w:rFonts w:ascii="宋体" w:hAnsi="宋体" w:cs="宋体" w:eastAsia="宋体" w:hint="default"/>
          <w:b/>
          <w:bCs/>
          <w:sz w:val="21"/>
          <w:szCs w:val="21"/>
        </w:rPr>
        <w:t>（二十七）</w:t>
      </w:r>
      <w:r>
        <w:rPr>
          <w:rFonts w:ascii="宋体" w:hAnsi="宋体" w:cs="宋体" w:eastAsia="宋体" w:hint="default"/>
          <w:b/>
          <w:bCs/>
          <w:spacing w:val="-81"/>
          <w:sz w:val="21"/>
          <w:szCs w:val="21"/>
        </w:rPr>
        <w:t> </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21"/>
          <w:szCs w:val="21"/>
        </w:rPr>
        <w:t>本报告期未发生前期会计差错更正。</w:t>
      </w:r>
    </w:p>
    <w:p>
      <w:pPr>
        <w:pStyle w:val="Heading4"/>
        <w:spacing w:line="240" w:lineRule="auto" w:before="31"/>
        <w:ind w:left="138" w:right="0"/>
        <w:jc w:val="both"/>
        <w:rPr>
          <w:rFonts w:ascii="宋体" w:hAnsi="宋体" w:cs="宋体" w:eastAsia="宋体" w:hint="default"/>
          <w:b w:val="0"/>
          <w:bCs w:val="0"/>
        </w:rPr>
      </w:pPr>
      <w:r>
        <w:rPr>
          <w:rFonts w:ascii="宋体" w:hAnsi="宋体" w:cs="宋体" w:eastAsia="宋体" w:hint="default"/>
        </w:rPr>
        <w:t>三、</w:t>
      </w:r>
      <w:r>
        <w:rPr>
          <w:rFonts w:ascii="宋体" w:hAnsi="宋体" w:cs="宋体" w:eastAsia="宋体" w:hint="default"/>
          <w:spacing w:val="-50"/>
        </w:rPr>
        <w:t> </w:t>
      </w:r>
      <w:r>
        <w:rPr>
          <w:rFonts w:ascii="宋体" w:hAnsi="宋体" w:cs="宋体" w:eastAsia="宋体" w:hint="default"/>
        </w:rPr>
        <w:t>税项</w:t>
      </w:r>
      <w:r>
        <w:rPr>
          <w:rFonts w:ascii="宋体" w:hAnsi="宋体" w:cs="宋体" w:eastAsia="宋体" w:hint="default"/>
          <w:b w:val="0"/>
          <w:bCs w:val="0"/>
        </w:rPr>
      </w:r>
    </w:p>
    <w:p>
      <w:pPr>
        <w:pStyle w:val="Heading4"/>
        <w:spacing w:line="240" w:lineRule="auto" w:before="135"/>
        <w:ind w:right="152"/>
        <w:jc w:val="left"/>
        <w:rPr>
          <w:rFonts w:ascii="宋体" w:hAnsi="宋体" w:cs="宋体" w:eastAsia="宋体" w:hint="default"/>
          <w:b w:val="0"/>
          <w:bCs w:val="0"/>
        </w:rPr>
      </w:pPr>
      <w:r>
        <w:rPr>
          <w:rFonts w:ascii="宋体" w:hAnsi="宋体" w:cs="宋体" w:eastAsia="宋体" w:hint="default"/>
        </w:rPr>
        <w:t>（一）</w:t>
      </w:r>
      <w:r>
        <w:rPr>
          <w:rFonts w:ascii="宋体" w:hAnsi="宋体" w:cs="宋体" w:eastAsia="宋体" w:hint="default"/>
          <w:spacing w:val="-84"/>
        </w:rPr>
        <w:t> </w:t>
      </w:r>
      <w:r>
        <w:rPr>
          <w:rFonts w:ascii="宋体" w:hAnsi="宋体" w:cs="宋体" w:eastAsia="宋体" w:hint="default"/>
        </w:rPr>
        <w:t>主要税种及税率</w:t>
      </w:r>
      <w:r>
        <w:rPr>
          <w:rFonts w:ascii="宋体" w:hAnsi="宋体" w:cs="宋体" w:eastAsia="宋体" w:hint="default"/>
          <w:b w:val="0"/>
          <w:bCs w:val="0"/>
        </w:rPr>
      </w:r>
    </w:p>
    <w:p>
      <w:pPr>
        <w:pStyle w:val="Heading4"/>
        <w:spacing w:line="240" w:lineRule="auto" w:before="134"/>
        <w:ind w:right="152"/>
        <w:jc w:val="left"/>
        <w:rPr>
          <w:rFonts w:ascii="宋体" w:hAnsi="宋体" w:cs="宋体" w:eastAsia="宋体" w:hint="default"/>
          <w:b w:val="0"/>
          <w:bCs w:val="0"/>
        </w:rPr>
      </w:pPr>
      <w:r>
        <w:rPr>
          <w:rFonts w:ascii="Century Gothic" w:hAnsi="Century Gothic" w:cs="Century Gothic" w:eastAsia="Century Gothic" w:hint="default"/>
        </w:rPr>
        <w:t>1.</w:t>
      </w:r>
      <w:r>
        <w:rPr>
          <w:rFonts w:ascii="Century Gothic" w:hAnsi="Century Gothic" w:cs="Century Gothic" w:eastAsia="Century Gothic" w:hint="default"/>
          <w:spacing w:val="38"/>
        </w:rPr>
        <w:t> </w:t>
      </w:r>
      <w:r>
        <w:rPr>
          <w:rFonts w:ascii="宋体" w:hAnsi="宋体" w:cs="宋体" w:eastAsia="宋体" w:hint="default"/>
        </w:rPr>
        <w:t>流转税及附加税费</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tbl>
      <w:tblPr>
        <w:tblW w:w="0" w:type="auto"/>
        <w:jc w:val="left"/>
        <w:tblInd w:w="281" w:type="dxa"/>
        <w:tblLayout w:type="fixed"/>
        <w:tblCellMar>
          <w:top w:w="0" w:type="dxa"/>
          <w:left w:w="0" w:type="dxa"/>
          <w:bottom w:w="0" w:type="dxa"/>
          <w:right w:w="0" w:type="dxa"/>
        </w:tblCellMar>
        <w:tblLook w:val="01E0"/>
      </w:tblPr>
      <w:tblGrid>
        <w:gridCol w:w="1625"/>
        <w:gridCol w:w="2890"/>
        <w:gridCol w:w="1981"/>
        <w:gridCol w:w="2363"/>
      </w:tblGrid>
      <w:tr>
        <w:trPr>
          <w:trHeight w:val="415" w:hRule="exact"/>
        </w:trPr>
        <w:tc>
          <w:tcPr>
            <w:tcW w:w="162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税目</w:t>
            </w:r>
          </w:p>
        </w:tc>
        <w:tc>
          <w:tcPr>
            <w:tcW w:w="28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left="706" w:right="0"/>
              <w:jc w:val="left"/>
              <w:rPr>
                <w:rFonts w:ascii="宋体" w:hAnsi="宋体" w:cs="宋体" w:eastAsia="宋体" w:hint="default"/>
                <w:sz w:val="21"/>
                <w:szCs w:val="21"/>
              </w:rPr>
            </w:pPr>
            <w:r>
              <w:rPr>
                <w:rFonts w:ascii="宋体" w:hAnsi="宋体" w:cs="宋体" w:eastAsia="宋体" w:hint="default"/>
                <w:sz w:val="21"/>
                <w:szCs w:val="21"/>
              </w:rPr>
              <w:t>纳税（费）基础</w:t>
            </w:r>
          </w:p>
        </w:tc>
        <w:tc>
          <w:tcPr>
            <w:tcW w:w="19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税（费）率</w:t>
            </w:r>
          </w:p>
        </w:tc>
        <w:tc>
          <w:tcPr>
            <w:tcW w:w="236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02" w:hRule="exact"/>
        </w:trPr>
        <w:tc>
          <w:tcPr>
            <w:tcW w:w="16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8"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2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946" w:right="0"/>
              <w:jc w:val="left"/>
              <w:rPr>
                <w:rFonts w:ascii="宋体" w:hAnsi="宋体" w:cs="宋体" w:eastAsia="宋体" w:hint="default"/>
                <w:sz w:val="21"/>
                <w:szCs w:val="21"/>
              </w:rPr>
            </w:pPr>
            <w:r>
              <w:rPr>
                <w:rFonts w:ascii="宋体" w:hAnsi="宋体" w:cs="宋体" w:eastAsia="宋体" w:hint="default"/>
                <w:sz w:val="21"/>
                <w:szCs w:val="21"/>
              </w:rPr>
              <w:t>劳务收入</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8"/>
              <w:ind w:right="0"/>
              <w:jc w:val="center"/>
              <w:rPr>
                <w:rFonts w:ascii="Century Gothic" w:hAnsi="Century Gothic" w:cs="Century Gothic" w:eastAsia="Century Gothic" w:hint="default"/>
                <w:sz w:val="21"/>
                <w:szCs w:val="21"/>
              </w:rPr>
            </w:pPr>
            <w:r>
              <w:rPr>
                <w:rFonts w:ascii="Century Gothic"/>
                <w:sz w:val="21"/>
              </w:rPr>
              <w:t>5%</w:t>
            </w:r>
          </w:p>
        </w:tc>
        <w:tc>
          <w:tcPr>
            <w:tcW w:w="236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6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8"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2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946" w:right="0"/>
              <w:jc w:val="left"/>
              <w:rPr>
                <w:rFonts w:ascii="宋体" w:hAnsi="宋体" w:cs="宋体" w:eastAsia="宋体" w:hint="default"/>
                <w:sz w:val="21"/>
                <w:szCs w:val="21"/>
              </w:rPr>
            </w:pPr>
            <w:r>
              <w:rPr>
                <w:rFonts w:ascii="宋体" w:hAnsi="宋体" w:cs="宋体" w:eastAsia="宋体" w:hint="default"/>
                <w:sz w:val="21"/>
                <w:szCs w:val="21"/>
              </w:rPr>
              <w:t>销售收入</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1" w:right="0"/>
              <w:jc w:val="center"/>
              <w:rPr>
                <w:rFonts w:ascii="Century Gothic" w:hAnsi="Century Gothic" w:cs="Century Gothic" w:eastAsia="Century Gothic" w:hint="default"/>
                <w:sz w:val="21"/>
                <w:szCs w:val="21"/>
              </w:rPr>
            </w:pPr>
            <w:r>
              <w:rPr>
                <w:rFonts w:ascii="Century Gothic" w:hAnsi="Century Gothic" w:cs="Century Gothic" w:eastAsia="Century Gothic" w:hint="default"/>
                <w:sz w:val="21"/>
                <w:szCs w:val="21"/>
              </w:rPr>
              <w:t>17%</w:t>
            </w:r>
            <w:r>
              <w:rPr>
                <w:rFonts w:ascii="宋体" w:hAnsi="宋体" w:cs="宋体" w:eastAsia="宋体" w:hint="default"/>
                <w:sz w:val="21"/>
                <w:szCs w:val="21"/>
              </w:rPr>
              <w:t>、</w:t>
            </w:r>
            <w:r>
              <w:rPr>
                <w:rFonts w:ascii="Century Gothic" w:hAnsi="Century Gothic" w:cs="Century Gothic" w:eastAsia="Century Gothic" w:hint="default"/>
                <w:sz w:val="21"/>
                <w:szCs w:val="21"/>
              </w:rPr>
              <w:t>4%</w:t>
            </w:r>
          </w:p>
        </w:tc>
        <w:tc>
          <w:tcPr>
            <w:tcW w:w="236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402" w:hRule="exact"/>
        </w:trPr>
        <w:tc>
          <w:tcPr>
            <w:tcW w:w="162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8" w:right="0"/>
              <w:jc w:val="center"/>
              <w:rPr>
                <w:rFonts w:ascii="宋体" w:hAnsi="宋体" w:cs="宋体" w:eastAsia="宋体" w:hint="default"/>
                <w:sz w:val="21"/>
                <w:szCs w:val="21"/>
              </w:rPr>
            </w:pPr>
            <w:r>
              <w:rPr>
                <w:rFonts w:ascii="宋体" w:hAnsi="宋体" w:cs="宋体" w:eastAsia="宋体" w:hint="default"/>
                <w:sz w:val="21"/>
                <w:szCs w:val="21"/>
              </w:rPr>
              <w:t>城建税</w:t>
            </w:r>
          </w:p>
        </w:tc>
        <w:tc>
          <w:tcPr>
            <w:tcW w:w="28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736"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9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center"/>
              <w:rPr>
                <w:rFonts w:ascii="Century Gothic" w:hAnsi="Century Gothic" w:cs="Century Gothic" w:eastAsia="Century Gothic" w:hint="default"/>
                <w:sz w:val="21"/>
                <w:szCs w:val="21"/>
              </w:rPr>
            </w:pPr>
            <w:r>
              <w:rPr>
                <w:rFonts w:ascii="Century Gothic" w:hAnsi="Century Gothic" w:cs="Century Gothic" w:eastAsia="Century Gothic" w:hint="default"/>
                <w:sz w:val="21"/>
                <w:szCs w:val="21"/>
              </w:rPr>
              <w:t>7%</w:t>
            </w:r>
            <w:r>
              <w:rPr>
                <w:rFonts w:ascii="宋体" w:hAnsi="宋体" w:cs="宋体" w:eastAsia="宋体" w:hint="default"/>
                <w:sz w:val="21"/>
                <w:szCs w:val="21"/>
              </w:rPr>
              <w:t>、</w:t>
            </w:r>
            <w:r>
              <w:rPr>
                <w:rFonts w:ascii="Century Gothic" w:hAnsi="Century Gothic" w:cs="Century Gothic" w:eastAsia="Century Gothic" w:hint="default"/>
                <w:sz w:val="21"/>
                <w:szCs w:val="21"/>
              </w:rPr>
              <w:t>5%</w:t>
            </w:r>
          </w:p>
        </w:tc>
        <w:tc>
          <w:tcPr>
            <w:tcW w:w="2363"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162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18"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289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left="736"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19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0"/>
              <w:jc w:val="center"/>
              <w:rPr>
                <w:rFonts w:ascii="Century Gothic" w:hAnsi="Century Gothic" w:cs="Century Gothic" w:eastAsia="Century Gothic" w:hint="default"/>
                <w:sz w:val="21"/>
                <w:szCs w:val="21"/>
              </w:rPr>
            </w:pPr>
            <w:r>
              <w:rPr>
                <w:rFonts w:ascii="Century Gothic" w:hAnsi="Century Gothic" w:cs="Century Gothic" w:eastAsia="Century Gothic" w:hint="default"/>
                <w:sz w:val="21"/>
                <w:szCs w:val="21"/>
              </w:rPr>
              <w:t>4%</w:t>
            </w:r>
            <w:r>
              <w:rPr>
                <w:rFonts w:ascii="宋体" w:hAnsi="宋体" w:cs="宋体" w:eastAsia="宋体" w:hint="default"/>
                <w:sz w:val="21"/>
                <w:szCs w:val="21"/>
              </w:rPr>
              <w:t>、</w:t>
            </w:r>
            <w:r>
              <w:rPr>
                <w:rFonts w:ascii="Century Gothic" w:hAnsi="Century Gothic" w:cs="Century Gothic" w:eastAsia="Century Gothic" w:hint="default"/>
                <w:sz w:val="21"/>
                <w:szCs w:val="21"/>
              </w:rPr>
              <w:t>3%</w:t>
            </w:r>
          </w:p>
        </w:tc>
        <w:tc>
          <w:tcPr>
            <w:tcW w:w="2363"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b/>
          <w:bCs/>
          <w:sz w:val="11"/>
          <w:szCs w:val="11"/>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59</w:t>
      </w:r>
    </w:p>
    <w:p>
      <w:pPr>
        <w:spacing w:after="0"/>
        <w:jc w:val="center"/>
        <w:rPr>
          <w:rFonts w:ascii="Times New Roman" w:hAnsi="Times New Roman" w:cs="Times New Roman" w:eastAsia="Times New Roman" w:hint="default"/>
          <w:sz w:val="18"/>
          <w:szCs w:val="18"/>
        </w:rPr>
        <w:sectPr>
          <w:pgSz w:w="11910" w:h="16840"/>
          <w:pgMar w:top="780" w:bottom="280" w:left="1280" w:right="10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64.860001pt;margin-top:-9.926001pt;width:84.0pt;height:23.94pt;mso-position-horizontal-relative:page;mso-position-vertical-relative:paragraph;z-index:4528"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0"/>
        <w:ind w:left="558" w:right="152"/>
        <w:jc w:val="left"/>
      </w:pPr>
      <w:r>
        <w:rPr/>
        <w:t>注：子公司北京比力必利文化传播有限公司系小规模纳税人，增值税按</w:t>
      </w:r>
      <w:r>
        <w:rPr>
          <w:spacing w:val="-56"/>
        </w:rPr>
        <w:t> </w:t>
      </w:r>
      <w:r>
        <w:rPr>
          <w:rFonts w:ascii="Century Gothic" w:hAnsi="Century Gothic" w:cs="Century Gothic" w:eastAsia="Century Gothic" w:hint="default"/>
        </w:rPr>
        <w:t>4%</w:t>
      </w:r>
      <w:r>
        <w:rPr/>
        <w:t>的税率计缴。</w:t>
      </w:r>
    </w:p>
    <w:p>
      <w:pPr>
        <w:pStyle w:val="Heading4"/>
        <w:tabs>
          <w:tab w:pos="837" w:val="left" w:leader="none"/>
        </w:tabs>
        <w:spacing w:line="240" w:lineRule="auto" w:before="117"/>
        <w:ind w:left="338" w:right="152"/>
        <w:jc w:val="left"/>
        <w:rPr>
          <w:rFonts w:ascii="宋体" w:hAnsi="宋体" w:cs="宋体" w:eastAsia="宋体" w:hint="default"/>
          <w:b w:val="0"/>
          <w:bCs w:val="0"/>
        </w:rPr>
      </w:pPr>
      <w:r>
        <w:rPr>
          <w:rFonts w:ascii="Century Gothic" w:hAnsi="Century Gothic" w:cs="Century Gothic" w:eastAsia="Century Gothic" w:hint="default"/>
          <w:spacing w:val="-1"/>
        </w:rPr>
        <w:t>2.</w:t>
        <w:tab/>
      </w:r>
      <w:r>
        <w:rPr>
          <w:rFonts w:ascii="宋体" w:hAnsi="宋体" w:cs="宋体" w:eastAsia="宋体" w:hint="default"/>
        </w:rPr>
        <w:t>企业所得税</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tbl>
      <w:tblPr>
        <w:tblW w:w="0" w:type="auto"/>
        <w:jc w:val="left"/>
        <w:tblInd w:w="281" w:type="dxa"/>
        <w:tblLayout w:type="fixed"/>
        <w:tblCellMar>
          <w:top w:w="0" w:type="dxa"/>
          <w:left w:w="0" w:type="dxa"/>
          <w:bottom w:w="0" w:type="dxa"/>
          <w:right w:w="0" w:type="dxa"/>
        </w:tblCellMar>
        <w:tblLook w:val="01E0"/>
      </w:tblPr>
      <w:tblGrid>
        <w:gridCol w:w="3725"/>
        <w:gridCol w:w="2564"/>
        <w:gridCol w:w="2569"/>
      </w:tblGrid>
      <w:tr>
        <w:trPr>
          <w:trHeight w:val="363" w:hRule="exact"/>
        </w:trPr>
        <w:tc>
          <w:tcPr>
            <w:tcW w:w="3725"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564"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1063"/>
              <w:jc w:val="right"/>
              <w:rPr>
                <w:rFonts w:ascii="宋体" w:hAnsi="宋体" w:cs="宋体" w:eastAsia="宋体" w:hint="default"/>
                <w:sz w:val="21"/>
                <w:szCs w:val="21"/>
              </w:rPr>
            </w:pPr>
            <w:r>
              <w:rPr>
                <w:rFonts w:ascii="宋体" w:hAnsi="宋体" w:cs="宋体" w:eastAsia="宋体" w:hint="default"/>
                <w:sz w:val="21"/>
                <w:szCs w:val="21"/>
              </w:rPr>
              <w:t>税率</w:t>
            </w:r>
          </w:p>
        </w:tc>
        <w:tc>
          <w:tcPr>
            <w:tcW w:w="2569"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43"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75"/>
              <w:jc w:val="right"/>
              <w:rPr>
                <w:rFonts w:ascii="Century Gothic" w:hAnsi="Century Gothic" w:cs="Century Gothic" w:eastAsia="Century Gothic" w:hint="default"/>
                <w:sz w:val="21"/>
                <w:szCs w:val="21"/>
              </w:rPr>
            </w:pPr>
            <w:r>
              <w:rPr>
                <w:rFonts w:ascii="Century Gothic"/>
                <w:w w:val="95"/>
                <w:sz w:val="21"/>
              </w:rPr>
              <w:t>15%</w:t>
            </w:r>
            <w:r>
              <w:rPr>
                <w:rFonts w:ascii="Century Gothic"/>
                <w:sz w:val="21"/>
              </w:rPr>
            </w:r>
          </w:p>
        </w:tc>
        <w:tc>
          <w:tcPr>
            <w:tcW w:w="2569" w:type="dxa"/>
            <w:tcBorders>
              <w:top w:val="single" w:sz="6" w:space="0" w:color="000000"/>
              <w:left w:val="single" w:sz="6" w:space="0" w:color="000000"/>
              <w:bottom w:val="single" w:sz="6" w:space="0" w:color="000000"/>
              <w:right w:val="nil" w:sz="6" w:space="0" w:color="auto"/>
            </w:tcBorders>
          </w:tcPr>
          <w:p>
            <w:pPr>
              <w:pStyle w:val="TableParagraph"/>
              <w:spacing w:line="259" w:lineRule="exact"/>
              <w:ind w:right="6"/>
              <w:jc w:val="center"/>
              <w:rPr>
                <w:rFonts w:ascii="Century Gothic" w:hAnsi="Century Gothic" w:cs="Century Gothic" w:eastAsia="Century Gothic" w:hint="default"/>
                <w:sz w:val="21"/>
                <w:szCs w:val="21"/>
              </w:rPr>
            </w:pPr>
            <w:r>
              <w:rPr>
                <w:rFonts w:ascii="宋体" w:hAnsi="宋体" w:cs="宋体" w:eastAsia="宋体" w:hint="default"/>
                <w:sz w:val="21"/>
                <w:szCs w:val="21"/>
              </w:rPr>
              <w:t>详见附注三</w:t>
            </w:r>
            <w:r>
              <w:rPr>
                <w:rFonts w:ascii="宋体" w:hAnsi="宋体" w:cs="宋体" w:eastAsia="宋体" w:hint="default"/>
                <w:spacing w:val="-106"/>
                <w:sz w:val="21"/>
                <w:szCs w:val="21"/>
              </w:rPr>
              <w:t>、</w:t>
            </w: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Century Gothic" w:hAnsi="Century Gothic" w:cs="Century Gothic" w:eastAsia="Century Gothic" w:hint="default"/>
                <w:w w:val="99"/>
                <w:sz w:val="21"/>
                <w:szCs w:val="21"/>
              </w:rPr>
              <w:t>2</w:t>
            </w:r>
            <w:r>
              <w:rPr>
                <w:rFonts w:ascii="Century Gothic" w:hAnsi="Century Gothic" w:cs="Century Gothic" w:eastAsia="Century Gothic" w:hint="default"/>
                <w:sz w:val="21"/>
                <w:szCs w:val="21"/>
              </w:rPr>
            </w:r>
          </w:p>
        </w:tc>
      </w:tr>
      <w:tr>
        <w:trPr>
          <w:trHeight w:val="354"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43" w:right="0"/>
              <w:jc w:val="left"/>
              <w:rPr>
                <w:rFonts w:ascii="宋体" w:hAnsi="宋体" w:cs="宋体" w:eastAsia="宋体" w:hint="default"/>
                <w:sz w:val="21"/>
                <w:szCs w:val="21"/>
              </w:rPr>
            </w:pPr>
            <w:r>
              <w:rPr>
                <w:rFonts w:ascii="宋体" w:hAnsi="宋体" w:cs="宋体" w:eastAsia="宋体" w:hint="default"/>
                <w:sz w:val="21"/>
                <w:szCs w:val="21"/>
              </w:rPr>
              <w:t>华立仪表集团股份有限公司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75"/>
              <w:jc w:val="right"/>
              <w:rPr>
                <w:rFonts w:ascii="Century Gothic" w:hAnsi="Century Gothic" w:cs="Century Gothic" w:eastAsia="Century Gothic" w:hint="default"/>
                <w:sz w:val="21"/>
                <w:szCs w:val="21"/>
              </w:rPr>
            </w:pPr>
            <w:r>
              <w:rPr>
                <w:rFonts w:ascii="Century Gothic"/>
                <w:w w:val="95"/>
                <w:sz w:val="21"/>
              </w:rPr>
              <w:t>15%</w:t>
            </w:r>
            <w:r>
              <w:rPr>
                <w:rFonts w:ascii="Century Gothic"/>
                <w:sz w:val="21"/>
              </w:rPr>
            </w:r>
          </w:p>
        </w:tc>
        <w:tc>
          <w:tcPr>
            <w:tcW w:w="2569" w:type="dxa"/>
            <w:tcBorders>
              <w:top w:val="single" w:sz="6" w:space="0" w:color="000000"/>
              <w:left w:val="single" w:sz="6" w:space="0" w:color="000000"/>
              <w:bottom w:val="single" w:sz="6" w:space="0" w:color="000000"/>
              <w:right w:val="nil" w:sz="6" w:space="0" w:color="auto"/>
            </w:tcBorders>
          </w:tcPr>
          <w:p>
            <w:pPr>
              <w:pStyle w:val="TableParagraph"/>
              <w:spacing w:line="259" w:lineRule="exact"/>
              <w:ind w:right="6"/>
              <w:jc w:val="center"/>
              <w:rPr>
                <w:rFonts w:ascii="Century Gothic" w:hAnsi="Century Gothic" w:cs="Century Gothic" w:eastAsia="Century Gothic" w:hint="default"/>
                <w:sz w:val="21"/>
                <w:szCs w:val="21"/>
              </w:rPr>
            </w:pPr>
            <w:r>
              <w:rPr>
                <w:rFonts w:ascii="宋体" w:hAnsi="宋体" w:cs="宋体" w:eastAsia="宋体" w:hint="default"/>
                <w:sz w:val="21"/>
                <w:szCs w:val="21"/>
              </w:rPr>
              <w:t>详见附注三</w:t>
            </w:r>
            <w:r>
              <w:rPr>
                <w:rFonts w:ascii="宋体" w:hAnsi="宋体" w:cs="宋体" w:eastAsia="宋体" w:hint="default"/>
                <w:spacing w:val="-106"/>
                <w:sz w:val="21"/>
                <w:szCs w:val="21"/>
              </w:rPr>
              <w:t>、</w:t>
            </w: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Century Gothic" w:hAnsi="Century Gothic" w:cs="Century Gothic" w:eastAsia="Century Gothic" w:hint="default"/>
                <w:w w:val="99"/>
                <w:sz w:val="21"/>
                <w:szCs w:val="21"/>
              </w:rPr>
              <w:t>2</w:t>
            </w:r>
            <w:r>
              <w:rPr>
                <w:rFonts w:ascii="Century Gothic" w:hAnsi="Century Gothic" w:cs="Century Gothic" w:eastAsia="Century Gothic" w:hint="default"/>
                <w:sz w:val="21"/>
                <w:szCs w:val="21"/>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43" w:right="0"/>
              <w:jc w:val="left"/>
              <w:rPr>
                <w:rFonts w:ascii="宋体" w:hAnsi="宋体" w:cs="宋体" w:eastAsia="宋体" w:hint="default"/>
                <w:sz w:val="21"/>
                <w:szCs w:val="21"/>
              </w:rPr>
            </w:pPr>
            <w:r>
              <w:rPr>
                <w:rFonts w:ascii="宋体" w:hAnsi="宋体" w:cs="宋体" w:eastAsia="宋体" w:hint="default"/>
                <w:sz w:val="21"/>
                <w:szCs w:val="21"/>
              </w:rPr>
              <w:t>华立仪表集团重庆仪表有限公司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75"/>
              <w:jc w:val="right"/>
              <w:rPr>
                <w:rFonts w:ascii="Century Gothic" w:hAnsi="Century Gothic" w:cs="Century Gothic" w:eastAsia="Century Gothic" w:hint="default"/>
                <w:sz w:val="21"/>
                <w:szCs w:val="21"/>
              </w:rPr>
            </w:pPr>
            <w:r>
              <w:rPr>
                <w:rFonts w:ascii="Century Gothic"/>
                <w:w w:val="95"/>
                <w:sz w:val="21"/>
              </w:rPr>
              <w:t>15%</w:t>
            </w:r>
            <w:r>
              <w:rPr>
                <w:rFonts w:ascii="Century Gothic"/>
                <w:sz w:val="21"/>
              </w:rPr>
            </w:r>
          </w:p>
        </w:tc>
        <w:tc>
          <w:tcPr>
            <w:tcW w:w="2569" w:type="dxa"/>
            <w:tcBorders>
              <w:top w:val="single" w:sz="6" w:space="0" w:color="000000"/>
              <w:left w:val="single" w:sz="6" w:space="0" w:color="000000"/>
              <w:bottom w:val="single" w:sz="6" w:space="0" w:color="000000"/>
              <w:right w:val="nil" w:sz="6" w:space="0" w:color="auto"/>
            </w:tcBorders>
          </w:tcPr>
          <w:p>
            <w:pPr>
              <w:pStyle w:val="TableParagraph"/>
              <w:spacing w:line="259" w:lineRule="exact"/>
              <w:ind w:right="6"/>
              <w:jc w:val="center"/>
              <w:rPr>
                <w:rFonts w:ascii="Century Gothic" w:hAnsi="Century Gothic" w:cs="Century Gothic" w:eastAsia="Century Gothic" w:hint="default"/>
                <w:sz w:val="21"/>
                <w:szCs w:val="21"/>
              </w:rPr>
            </w:pPr>
            <w:r>
              <w:rPr>
                <w:rFonts w:ascii="宋体" w:hAnsi="宋体" w:cs="宋体" w:eastAsia="宋体" w:hint="default"/>
                <w:sz w:val="21"/>
                <w:szCs w:val="21"/>
              </w:rPr>
              <w:t>详见附注三</w:t>
            </w:r>
            <w:r>
              <w:rPr>
                <w:rFonts w:ascii="宋体" w:hAnsi="宋体" w:cs="宋体" w:eastAsia="宋体" w:hint="default"/>
                <w:spacing w:val="-106"/>
                <w:sz w:val="21"/>
                <w:szCs w:val="21"/>
              </w:rPr>
              <w:t>、</w:t>
            </w: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Century Gothic" w:hAnsi="Century Gothic" w:cs="Century Gothic" w:eastAsia="Century Gothic" w:hint="default"/>
                <w:w w:val="99"/>
                <w:sz w:val="21"/>
                <w:szCs w:val="21"/>
              </w:rPr>
              <w:t>2</w:t>
            </w:r>
            <w:r>
              <w:rPr>
                <w:rFonts w:ascii="Century Gothic" w:hAnsi="Century Gothic" w:cs="Century Gothic" w:eastAsia="Century Gothic" w:hint="default"/>
                <w:sz w:val="21"/>
                <w:szCs w:val="21"/>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43" w:right="0"/>
              <w:jc w:val="left"/>
              <w:rPr>
                <w:rFonts w:ascii="宋体" w:hAnsi="宋体" w:cs="宋体" w:eastAsia="宋体" w:hint="default"/>
                <w:sz w:val="21"/>
                <w:szCs w:val="21"/>
              </w:rPr>
            </w:pPr>
            <w:r>
              <w:rPr>
                <w:rFonts w:ascii="宋体" w:hAnsi="宋体" w:cs="宋体" w:eastAsia="宋体" w:hint="default"/>
                <w:sz w:val="21"/>
                <w:szCs w:val="21"/>
              </w:rPr>
              <w:t>重庆华虹仪表有限公司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75"/>
              <w:jc w:val="right"/>
              <w:rPr>
                <w:rFonts w:ascii="Century Gothic" w:hAnsi="Century Gothic" w:cs="Century Gothic" w:eastAsia="Century Gothic" w:hint="default"/>
                <w:sz w:val="21"/>
                <w:szCs w:val="21"/>
              </w:rPr>
            </w:pPr>
            <w:r>
              <w:rPr>
                <w:rFonts w:ascii="Century Gothic"/>
                <w:w w:val="95"/>
                <w:sz w:val="21"/>
              </w:rPr>
              <w:t>15%</w:t>
            </w:r>
            <w:r>
              <w:rPr>
                <w:rFonts w:ascii="Century Gothic"/>
                <w:sz w:val="21"/>
              </w:rPr>
            </w:r>
          </w:p>
        </w:tc>
        <w:tc>
          <w:tcPr>
            <w:tcW w:w="2569" w:type="dxa"/>
            <w:tcBorders>
              <w:top w:val="single" w:sz="6" w:space="0" w:color="000000"/>
              <w:left w:val="single" w:sz="6" w:space="0" w:color="000000"/>
              <w:bottom w:val="single" w:sz="6" w:space="0" w:color="000000"/>
              <w:right w:val="nil" w:sz="6" w:space="0" w:color="auto"/>
            </w:tcBorders>
          </w:tcPr>
          <w:p>
            <w:pPr>
              <w:pStyle w:val="TableParagraph"/>
              <w:spacing w:line="259" w:lineRule="exact"/>
              <w:ind w:right="6"/>
              <w:jc w:val="center"/>
              <w:rPr>
                <w:rFonts w:ascii="Century Gothic" w:hAnsi="Century Gothic" w:cs="Century Gothic" w:eastAsia="Century Gothic" w:hint="default"/>
                <w:sz w:val="21"/>
                <w:szCs w:val="21"/>
              </w:rPr>
            </w:pPr>
            <w:r>
              <w:rPr>
                <w:rFonts w:ascii="宋体" w:hAnsi="宋体" w:cs="宋体" w:eastAsia="宋体" w:hint="default"/>
                <w:sz w:val="21"/>
                <w:szCs w:val="21"/>
              </w:rPr>
              <w:t>详见附注三</w:t>
            </w:r>
            <w:r>
              <w:rPr>
                <w:rFonts w:ascii="宋体" w:hAnsi="宋体" w:cs="宋体" w:eastAsia="宋体" w:hint="default"/>
                <w:spacing w:val="-106"/>
                <w:sz w:val="21"/>
                <w:szCs w:val="21"/>
              </w:rPr>
              <w:t>、</w:t>
            </w: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Century Gothic" w:hAnsi="Century Gothic" w:cs="Century Gothic" w:eastAsia="Century Gothic" w:hint="default"/>
                <w:w w:val="99"/>
                <w:sz w:val="21"/>
                <w:szCs w:val="21"/>
              </w:rPr>
              <w:t>2</w:t>
            </w:r>
            <w:r>
              <w:rPr>
                <w:rFonts w:ascii="Century Gothic" w:hAnsi="Century Gothic" w:cs="Century Gothic" w:eastAsia="Century Gothic" w:hint="default"/>
                <w:sz w:val="21"/>
                <w:szCs w:val="21"/>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43" w:right="0"/>
              <w:jc w:val="left"/>
              <w:rPr>
                <w:rFonts w:ascii="宋体" w:hAnsi="宋体" w:cs="宋体" w:eastAsia="宋体" w:hint="default"/>
                <w:sz w:val="21"/>
                <w:szCs w:val="21"/>
              </w:rPr>
            </w:pPr>
            <w:r>
              <w:rPr>
                <w:rFonts w:ascii="宋体" w:hAnsi="宋体" w:cs="宋体" w:eastAsia="宋体" w:hint="default"/>
                <w:sz w:val="21"/>
                <w:szCs w:val="21"/>
              </w:rPr>
              <w:t>杭州子蜂软件有限公司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75"/>
              <w:jc w:val="right"/>
              <w:rPr>
                <w:rFonts w:ascii="Century Gothic" w:hAnsi="Century Gothic" w:cs="Century Gothic" w:eastAsia="Century Gothic" w:hint="default"/>
                <w:sz w:val="21"/>
                <w:szCs w:val="21"/>
              </w:rPr>
            </w:pPr>
            <w:r>
              <w:rPr>
                <w:rFonts w:ascii="Century Gothic"/>
                <w:w w:val="95"/>
                <w:sz w:val="21"/>
              </w:rPr>
              <w:t>15%</w:t>
            </w:r>
            <w:r>
              <w:rPr>
                <w:rFonts w:ascii="Century Gothic"/>
                <w:sz w:val="21"/>
              </w:rPr>
            </w:r>
          </w:p>
        </w:tc>
        <w:tc>
          <w:tcPr>
            <w:tcW w:w="2569" w:type="dxa"/>
            <w:tcBorders>
              <w:top w:val="single" w:sz="6" w:space="0" w:color="000000"/>
              <w:left w:val="single" w:sz="6" w:space="0" w:color="000000"/>
              <w:bottom w:val="single" w:sz="6" w:space="0" w:color="000000"/>
              <w:right w:val="nil" w:sz="6" w:space="0" w:color="auto"/>
            </w:tcBorders>
          </w:tcPr>
          <w:p>
            <w:pPr>
              <w:pStyle w:val="TableParagraph"/>
              <w:spacing w:line="259" w:lineRule="exact"/>
              <w:ind w:right="6"/>
              <w:jc w:val="center"/>
              <w:rPr>
                <w:rFonts w:ascii="Century Gothic" w:hAnsi="Century Gothic" w:cs="Century Gothic" w:eastAsia="Century Gothic" w:hint="default"/>
                <w:sz w:val="21"/>
                <w:szCs w:val="21"/>
              </w:rPr>
            </w:pPr>
            <w:r>
              <w:rPr>
                <w:rFonts w:ascii="宋体" w:hAnsi="宋体" w:cs="宋体" w:eastAsia="宋体" w:hint="default"/>
                <w:sz w:val="21"/>
                <w:szCs w:val="21"/>
              </w:rPr>
              <w:t>详见附注三</w:t>
            </w:r>
            <w:r>
              <w:rPr>
                <w:rFonts w:ascii="宋体" w:hAnsi="宋体" w:cs="宋体" w:eastAsia="宋体" w:hint="default"/>
                <w:spacing w:val="-106"/>
                <w:sz w:val="21"/>
                <w:szCs w:val="21"/>
              </w:rPr>
              <w:t>、</w:t>
            </w: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Century Gothic" w:hAnsi="Century Gothic" w:cs="Century Gothic" w:eastAsia="Century Gothic" w:hint="default"/>
                <w:w w:val="99"/>
                <w:sz w:val="21"/>
                <w:szCs w:val="21"/>
              </w:rPr>
              <w:t>2</w:t>
            </w:r>
            <w:r>
              <w:rPr>
                <w:rFonts w:ascii="Century Gothic" w:hAnsi="Century Gothic" w:cs="Century Gothic" w:eastAsia="Century Gothic" w:hint="default"/>
                <w:sz w:val="21"/>
                <w:szCs w:val="21"/>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43" w:right="0"/>
              <w:jc w:val="left"/>
              <w:rPr>
                <w:rFonts w:ascii="宋体" w:hAnsi="宋体" w:cs="宋体" w:eastAsia="宋体" w:hint="default"/>
                <w:sz w:val="21"/>
                <w:szCs w:val="21"/>
              </w:rPr>
            </w:pPr>
            <w:r>
              <w:rPr>
                <w:rFonts w:ascii="宋体" w:hAnsi="宋体" w:cs="宋体" w:eastAsia="宋体" w:hint="default"/>
                <w:sz w:val="21"/>
                <w:szCs w:val="21"/>
              </w:rPr>
              <w:t>重庆华立武陵山制药有限公司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48"/>
              <w:jc w:val="right"/>
              <w:rPr>
                <w:rFonts w:ascii="Century Gothic" w:hAnsi="Century Gothic" w:cs="Century Gothic" w:eastAsia="Century Gothic" w:hint="default"/>
                <w:sz w:val="21"/>
                <w:szCs w:val="21"/>
              </w:rPr>
            </w:pPr>
            <w:r>
              <w:rPr>
                <w:rFonts w:ascii="Century Gothic"/>
                <w:spacing w:val="-1"/>
                <w:sz w:val="21"/>
              </w:rPr>
              <w:t>7.5%</w:t>
            </w:r>
          </w:p>
        </w:tc>
        <w:tc>
          <w:tcPr>
            <w:tcW w:w="2569" w:type="dxa"/>
            <w:tcBorders>
              <w:top w:val="single" w:sz="6" w:space="0" w:color="000000"/>
              <w:left w:val="single" w:sz="6" w:space="0" w:color="000000"/>
              <w:bottom w:val="single" w:sz="6" w:space="0" w:color="000000"/>
              <w:right w:val="nil" w:sz="6" w:space="0" w:color="auto"/>
            </w:tcBorders>
          </w:tcPr>
          <w:p>
            <w:pPr>
              <w:pStyle w:val="TableParagraph"/>
              <w:spacing w:line="259" w:lineRule="exact"/>
              <w:ind w:right="6"/>
              <w:jc w:val="center"/>
              <w:rPr>
                <w:rFonts w:ascii="Century Gothic" w:hAnsi="Century Gothic" w:cs="Century Gothic" w:eastAsia="Century Gothic" w:hint="default"/>
                <w:sz w:val="21"/>
                <w:szCs w:val="21"/>
              </w:rPr>
            </w:pPr>
            <w:r>
              <w:rPr>
                <w:rFonts w:ascii="宋体" w:hAnsi="宋体" w:cs="宋体" w:eastAsia="宋体" w:hint="default"/>
                <w:sz w:val="21"/>
                <w:szCs w:val="21"/>
              </w:rPr>
              <w:t>详见附注三</w:t>
            </w:r>
            <w:r>
              <w:rPr>
                <w:rFonts w:ascii="宋体" w:hAnsi="宋体" w:cs="宋体" w:eastAsia="宋体" w:hint="default"/>
                <w:spacing w:val="-106"/>
                <w:sz w:val="21"/>
                <w:szCs w:val="21"/>
              </w:rPr>
              <w:t>、</w:t>
            </w: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Century Gothic" w:hAnsi="Century Gothic" w:cs="Century Gothic" w:eastAsia="Century Gothic" w:hint="default"/>
                <w:w w:val="99"/>
                <w:sz w:val="21"/>
                <w:szCs w:val="21"/>
              </w:rPr>
              <w:t>2</w:t>
            </w:r>
            <w:r>
              <w:rPr>
                <w:rFonts w:ascii="Century Gothic" w:hAnsi="Century Gothic" w:cs="Century Gothic" w:eastAsia="Century Gothic" w:hint="default"/>
                <w:sz w:val="21"/>
                <w:szCs w:val="21"/>
              </w:rPr>
            </w:r>
          </w:p>
        </w:tc>
      </w:tr>
      <w:tr>
        <w:trPr>
          <w:trHeight w:val="355"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43" w:right="0"/>
              <w:jc w:val="left"/>
              <w:rPr>
                <w:rFonts w:ascii="宋体" w:hAnsi="宋体" w:cs="宋体" w:eastAsia="宋体" w:hint="default"/>
                <w:sz w:val="21"/>
                <w:szCs w:val="21"/>
              </w:rPr>
            </w:pPr>
            <w:r>
              <w:rPr>
                <w:rFonts w:ascii="宋体" w:hAnsi="宋体" w:cs="宋体" w:eastAsia="宋体" w:hint="default"/>
                <w:sz w:val="21"/>
                <w:szCs w:val="21"/>
              </w:rPr>
              <w:t>重庆美联制药有限公司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75"/>
              <w:jc w:val="right"/>
              <w:rPr>
                <w:rFonts w:ascii="Century Gothic" w:hAnsi="Century Gothic" w:cs="Century Gothic" w:eastAsia="Century Gothic" w:hint="default"/>
                <w:sz w:val="21"/>
                <w:szCs w:val="21"/>
              </w:rPr>
            </w:pPr>
            <w:r>
              <w:rPr>
                <w:rFonts w:ascii="Century Gothic"/>
                <w:w w:val="95"/>
                <w:sz w:val="21"/>
              </w:rPr>
              <w:t>15%</w:t>
            </w:r>
            <w:r>
              <w:rPr>
                <w:rFonts w:ascii="Century Gothic"/>
                <w:sz w:val="21"/>
              </w:rPr>
            </w:r>
          </w:p>
        </w:tc>
        <w:tc>
          <w:tcPr>
            <w:tcW w:w="2569" w:type="dxa"/>
            <w:tcBorders>
              <w:top w:val="single" w:sz="6" w:space="0" w:color="000000"/>
              <w:left w:val="single" w:sz="6" w:space="0" w:color="000000"/>
              <w:bottom w:val="single" w:sz="6" w:space="0" w:color="000000"/>
              <w:right w:val="nil" w:sz="6" w:space="0" w:color="auto"/>
            </w:tcBorders>
          </w:tcPr>
          <w:p>
            <w:pPr>
              <w:pStyle w:val="TableParagraph"/>
              <w:spacing w:line="259" w:lineRule="exact"/>
              <w:ind w:right="6"/>
              <w:jc w:val="center"/>
              <w:rPr>
                <w:rFonts w:ascii="Century Gothic" w:hAnsi="Century Gothic" w:cs="Century Gothic" w:eastAsia="Century Gothic" w:hint="default"/>
                <w:sz w:val="21"/>
                <w:szCs w:val="21"/>
              </w:rPr>
            </w:pPr>
            <w:r>
              <w:rPr>
                <w:rFonts w:ascii="宋体" w:hAnsi="宋体" w:cs="宋体" w:eastAsia="宋体" w:hint="default"/>
                <w:sz w:val="21"/>
                <w:szCs w:val="21"/>
              </w:rPr>
              <w:t>详见附注三</w:t>
            </w:r>
            <w:r>
              <w:rPr>
                <w:rFonts w:ascii="宋体" w:hAnsi="宋体" w:cs="宋体" w:eastAsia="宋体" w:hint="default"/>
                <w:spacing w:val="-106"/>
                <w:sz w:val="21"/>
                <w:szCs w:val="21"/>
              </w:rPr>
              <w:t>、</w:t>
            </w: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Century Gothic" w:hAnsi="Century Gothic" w:cs="Century Gothic" w:eastAsia="Century Gothic" w:hint="default"/>
                <w:w w:val="99"/>
                <w:sz w:val="21"/>
                <w:szCs w:val="21"/>
              </w:rPr>
              <w:t>2</w:t>
            </w:r>
            <w:r>
              <w:rPr>
                <w:rFonts w:ascii="Century Gothic" w:hAnsi="Century Gothic" w:cs="Century Gothic" w:eastAsia="Century Gothic" w:hint="default"/>
                <w:sz w:val="21"/>
                <w:szCs w:val="21"/>
              </w:rPr>
            </w:r>
          </w:p>
        </w:tc>
      </w:tr>
      <w:tr>
        <w:trPr>
          <w:trHeight w:val="354" w:hRule="exact"/>
        </w:trPr>
        <w:tc>
          <w:tcPr>
            <w:tcW w:w="372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43" w:right="0"/>
              <w:jc w:val="left"/>
              <w:rPr>
                <w:rFonts w:ascii="宋体" w:hAnsi="宋体" w:cs="宋体" w:eastAsia="宋体" w:hint="default"/>
                <w:sz w:val="21"/>
                <w:szCs w:val="21"/>
              </w:rPr>
            </w:pPr>
            <w:r>
              <w:rPr>
                <w:rFonts w:ascii="宋体" w:hAnsi="宋体" w:cs="宋体" w:eastAsia="宋体" w:hint="default"/>
                <w:sz w:val="21"/>
                <w:szCs w:val="21"/>
              </w:rPr>
              <w:t>洪雅美联曼地亚红豆杉种植有限公司</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134"/>
              <w:jc w:val="right"/>
              <w:rPr>
                <w:rFonts w:ascii="Century Gothic" w:hAnsi="Century Gothic" w:cs="Century Gothic" w:eastAsia="Century Gothic" w:hint="default"/>
                <w:sz w:val="21"/>
                <w:szCs w:val="21"/>
              </w:rPr>
            </w:pPr>
            <w:r>
              <w:rPr>
                <w:rFonts w:ascii="Century Gothic"/>
                <w:w w:val="95"/>
                <w:sz w:val="21"/>
              </w:rPr>
              <w:t>0%</w:t>
            </w:r>
            <w:r>
              <w:rPr>
                <w:rFonts w:ascii="Century Gothic"/>
                <w:sz w:val="21"/>
              </w:rPr>
            </w:r>
          </w:p>
        </w:tc>
        <w:tc>
          <w:tcPr>
            <w:tcW w:w="2569" w:type="dxa"/>
            <w:tcBorders>
              <w:top w:val="single" w:sz="6" w:space="0" w:color="000000"/>
              <w:left w:val="single" w:sz="6" w:space="0" w:color="000000"/>
              <w:bottom w:val="single" w:sz="6" w:space="0" w:color="000000"/>
              <w:right w:val="nil" w:sz="6" w:space="0" w:color="auto"/>
            </w:tcBorders>
          </w:tcPr>
          <w:p>
            <w:pPr>
              <w:pStyle w:val="TableParagraph"/>
              <w:spacing w:line="259" w:lineRule="exact"/>
              <w:ind w:right="6"/>
              <w:jc w:val="center"/>
              <w:rPr>
                <w:rFonts w:ascii="Century Gothic" w:hAnsi="Century Gothic" w:cs="Century Gothic" w:eastAsia="Century Gothic" w:hint="default"/>
                <w:sz w:val="21"/>
                <w:szCs w:val="21"/>
              </w:rPr>
            </w:pPr>
            <w:r>
              <w:rPr>
                <w:rFonts w:ascii="宋体" w:hAnsi="宋体" w:cs="宋体" w:eastAsia="宋体" w:hint="default"/>
                <w:sz w:val="21"/>
                <w:szCs w:val="21"/>
              </w:rPr>
              <w:t>详见附注三</w:t>
            </w:r>
            <w:r>
              <w:rPr>
                <w:rFonts w:ascii="宋体" w:hAnsi="宋体" w:cs="宋体" w:eastAsia="宋体" w:hint="default"/>
                <w:spacing w:val="-106"/>
                <w:sz w:val="21"/>
                <w:szCs w:val="21"/>
              </w:rPr>
              <w:t>、</w:t>
            </w: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Century Gothic" w:hAnsi="Century Gothic" w:cs="Century Gothic" w:eastAsia="Century Gothic" w:hint="default"/>
                <w:w w:val="99"/>
                <w:sz w:val="21"/>
                <w:szCs w:val="21"/>
              </w:rPr>
              <w:t>2</w:t>
            </w:r>
            <w:r>
              <w:rPr>
                <w:rFonts w:ascii="Century Gothic" w:hAnsi="Century Gothic" w:cs="Century Gothic" w:eastAsia="Century Gothic" w:hint="default"/>
                <w:sz w:val="21"/>
                <w:szCs w:val="21"/>
              </w:rPr>
            </w:r>
          </w:p>
        </w:tc>
      </w:tr>
      <w:tr>
        <w:trPr>
          <w:trHeight w:val="363" w:hRule="exact"/>
        </w:trPr>
        <w:tc>
          <w:tcPr>
            <w:tcW w:w="3725"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43" w:right="0"/>
              <w:jc w:val="left"/>
              <w:rPr>
                <w:rFonts w:ascii="宋体" w:hAnsi="宋体" w:cs="宋体" w:eastAsia="宋体" w:hint="default"/>
                <w:sz w:val="21"/>
                <w:szCs w:val="21"/>
              </w:rPr>
            </w:pPr>
            <w:r>
              <w:rPr>
                <w:rFonts w:ascii="宋体" w:hAnsi="宋体" w:cs="宋体" w:eastAsia="宋体" w:hint="default"/>
                <w:sz w:val="21"/>
                <w:szCs w:val="21"/>
              </w:rPr>
              <w:t>其余子公司</w:t>
            </w:r>
          </w:p>
        </w:tc>
        <w:tc>
          <w:tcPr>
            <w:tcW w:w="25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1075"/>
              <w:jc w:val="right"/>
              <w:rPr>
                <w:rFonts w:ascii="Century Gothic" w:hAnsi="Century Gothic" w:cs="Century Gothic" w:eastAsia="Century Gothic" w:hint="default"/>
                <w:sz w:val="21"/>
                <w:szCs w:val="21"/>
              </w:rPr>
            </w:pPr>
            <w:r>
              <w:rPr>
                <w:rFonts w:ascii="Century Gothic"/>
                <w:w w:val="95"/>
                <w:sz w:val="21"/>
              </w:rPr>
              <w:t>25%</w:t>
            </w:r>
            <w:r>
              <w:rPr>
                <w:rFonts w:ascii="Century Gothic"/>
                <w:sz w:val="21"/>
              </w:rPr>
            </w:r>
          </w:p>
        </w:tc>
        <w:tc>
          <w:tcPr>
            <w:tcW w:w="2569" w:type="dxa"/>
            <w:tcBorders>
              <w:top w:val="single" w:sz="6" w:space="0" w:color="000000"/>
              <w:left w:val="single" w:sz="6" w:space="0" w:color="000000"/>
              <w:bottom w:val="single" w:sz="12" w:space="0" w:color="000000"/>
              <w:right w:val="nil" w:sz="6" w:space="0" w:color="auto"/>
            </w:tcBorders>
          </w:tcPr>
          <w:p>
            <w:pPr/>
          </w:p>
        </w:tc>
      </w:tr>
    </w:tbl>
    <w:p>
      <w:pPr>
        <w:pStyle w:val="Heading4"/>
        <w:spacing w:line="240" w:lineRule="auto" w:before="86"/>
        <w:ind w:right="152"/>
        <w:jc w:val="left"/>
        <w:rPr>
          <w:rFonts w:ascii="宋体" w:hAnsi="宋体" w:cs="宋体" w:eastAsia="宋体" w:hint="default"/>
          <w:b w:val="0"/>
          <w:bCs w:val="0"/>
        </w:rPr>
      </w:pPr>
      <w:r>
        <w:rPr>
          <w:rFonts w:ascii="Century Gothic" w:hAnsi="Century Gothic" w:cs="Century Gothic" w:eastAsia="Century Gothic" w:hint="default"/>
        </w:rPr>
        <w:t>3.</w:t>
      </w:r>
      <w:r>
        <w:rPr>
          <w:rFonts w:ascii="Century Gothic" w:hAnsi="Century Gothic" w:cs="Century Gothic" w:eastAsia="Century Gothic" w:hint="default"/>
          <w:spacing w:val="41"/>
        </w:rPr>
        <w:t> </w:t>
      </w:r>
      <w:r>
        <w:rPr>
          <w:rFonts w:ascii="宋体" w:hAnsi="宋体" w:cs="宋体" w:eastAsia="宋体" w:hint="default"/>
        </w:rPr>
        <w:t>房产税</w:t>
      </w:r>
      <w:r>
        <w:rPr>
          <w:rFonts w:ascii="宋体" w:hAnsi="宋体" w:cs="宋体" w:eastAsia="宋体" w:hint="default"/>
          <w:b w:val="0"/>
          <w:bCs w:val="0"/>
        </w:rPr>
      </w:r>
    </w:p>
    <w:p>
      <w:pPr>
        <w:pStyle w:val="BodyText"/>
        <w:spacing w:line="240" w:lineRule="auto" w:before="119"/>
        <w:ind w:left="558" w:right="0"/>
        <w:jc w:val="left"/>
      </w:pPr>
      <w:r>
        <w:rPr/>
        <w:t>房产税按照房产原值的</w:t>
      </w:r>
      <w:r>
        <w:rPr>
          <w:spacing w:val="-52"/>
        </w:rPr>
        <w:t> </w:t>
      </w:r>
      <w:r>
        <w:rPr>
          <w:rFonts w:ascii="Century Gothic" w:hAnsi="Century Gothic" w:cs="Century Gothic" w:eastAsia="Century Gothic" w:hint="default"/>
          <w:spacing w:val="-3"/>
        </w:rPr>
        <w:t>70%</w:t>
      </w:r>
      <w:r>
        <w:rPr>
          <w:spacing w:val="-3"/>
        </w:rPr>
        <w:t>为纳税基准，税率为</w:t>
      </w:r>
      <w:r>
        <w:rPr>
          <w:spacing w:val="-52"/>
        </w:rPr>
        <w:t> </w:t>
      </w:r>
      <w:r>
        <w:rPr>
          <w:rFonts w:ascii="Century Gothic" w:hAnsi="Century Gothic" w:cs="Century Gothic" w:eastAsia="Century Gothic" w:hint="default"/>
          <w:spacing w:val="-3"/>
        </w:rPr>
        <w:t>1.2%</w:t>
      </w:r>
      <w:r>
        <w:rPr>
          <w:spacing w:val="-3"/>
        </w:rPr>
        <w:t>，或以租金收入为纳税基准，税率为</w:t>
      </w:r>
      <w:r>
        <w:rPr>
          <w:spacing w:val="-52"/>
        </w:rPr>
        <w:t> </w:t>
      </w:r>
      <w:r>
        <w:rPr>
          <w:rFonts w:ascii="Century Gothic" w:hAnsi="Century Gothic" w:cs="Century Gothic" w:eastAsia="Century Gothic" w:hint="default"/>
        </w:rPr>
        <w:t>12%</w:t>
      </w:r>
      <w:r>
        <w:rPr/>
        <w:t>。</w:t>
      </w:r>
    </w:p>
    <w:p>
      <w:pPr>
        <w:spacing w:line="336" w:lineRule="auto" w:before="117"/>
        <w:ind w:left="558" w:right="5606" w:firstLine="0"/>
        <w:jc w:val="left"/>
        <w:rPr>
          <w:rFonts w:ascii="宋体" w:hAnsi="宋体" w:cs="宋体" w:eastAsia="宋体" w:hint="default"/>
          <w:sz w:val="21"/>
          <w:szCs w:val="21"/>
        </w:rPr>
      </w:pPr>
      <w:r>
        <w:rPr>
          <w:rFonts w:ascii="Century Gothic" w:hAnsi="Century Gothic" w:cs="Century Gothic" w:eastAsia="Century Gothic" w:hint="default"/>
          <w:b/>
          <w:bCs/>
          <w:sz w:val="21"/>
          <w:szCs w:val="21"/>
        </w:rPr>
        <w:t>4.</w:t>
      </w:r>
      <w:r>
        <w:rPr>
          <w:rFonts w:ascii="Century Gothic" w:hAnsi="Century Gothic" w:cs="Century Gothic" w:eastAsia="Century Gothic" w:hint="default"/>
          <w:b/>
          <w:bCs/>
          <w:spacing w:val="43"/>
          <w:sz w:val="21"/>
          <w:szCs w:val="21"/>
        </w:rPr>
        <w:t> </w:t>
      </w:r>
      <w:r>
        <w:rPr>
          <w:rFonts w:ascii="宋体" w:hAnsi="宋体" w:cs="宋体" w:eastAsia="宋体" w:hint="default"/>
          <w:b/>
          <w:bCs/>
          <w:sz w:val="21"/>
          <w:szCs w:val="21"/>
        </w:rPr>
        <w:t>个人所得税</w:t>
      </w:r>
      <w:r>
        <w:rPr>
          <w:rFonts w:ascii="宋体" w:hAnsi="宋体" w:cs="宋体" w:eastAsia="宋体" w:hint="default"/>
          <w:b/>
          <w:bCs/>
          <w:w w:val="99"/>
          <w:sz w:val="21"/>
          <w:szCs w:val="21"/>
        </w:rPr>
        <w:t> </w:t>
      </w:r>
      <w:r>
        <w:rPr>
          <w:rFonts w:ascii="宋体" w:hAnsi="宋体" w:cs="宋体" w:eastAsia="宋体" w:hint="default"/>
          <w:sz w:val="21"/>
          <w:szCs w:val="21"/>
        </w:rPr>
        <w:t>员工个人所得税由本公司代扣代缴。</w:t>
      </w:r>
    </w:p>
    <w:p>
      <w:pPr>
        <w:pStyle w:val="Heading4"/>
        <w:spacing w:line="240" w:lineRule="auto" w:before="50"/>
        <w:ind w:right="152"/>
        <w:jc w:val="left"/>
        <w:rPr>
          <w:rFonts w:ascii="宋体" w:hAnsi="宋体" w:cs="宋体" w:eastAsia="宋体" w:hint="default"/>
          <w:b w:val="0"/>
          <w:bCs w:val="0"/>
        </w:rPr>
      </w:pPr>
      <w:r>
        <w:rPr>
          <w:rFonts w:ascii="宋体" w:hAnsi="宋体" w:cs="宋体" w:eastAsia="宋体" w:hint="default"/>
        </w:rPr>
        <w:t>（二）</w:t>
      </w:r>
      <w:r>
        <w:rPr>
          <w:rFonts w:ascii="宋体" w:hAnsi="宋体" w:cs="宋体" w:eastAsia="宋体" w:hint="default"/>
          <w:spacing w:val="-84"/>
        </w:rPr>
        <w:t> </w:t>
      </w:r>
      <w:r>
        <w:rPr>
          <w:rFonts w:ascii="宋体" w:hAnsi="宋体" w:cs="宋体" w:eastAsia="宋体" w:hint="default"/>
        </w:rPr>
        <w:t>税收优惠及批文</w:t>
      </w:r>
      <w:r>
        <w:rPr>
          <w:rFonts w:ascii="宋体" w:hAnsi="宋体" w:cs="宋体" w:eastAsia="宋体" w:hint="default"/>
          <w:b w:val="0"/>
          <w:bCs w:val="0"/>
        </w:rPr>
      </w:r>
    </w:p>
    <w:p>
      <w:pPr>
        <w:spacing w:line="336" w:lineRule="auto" w:before="135"/>
        <w:ind w:left="558" w:right="152" w:firstLine="0"/>
        <w:jc w:val="left"/>
        <w:rPr>
          <w:rFonts w:ascii="宋体" w:hAnsi="宋体" w:cs="宋体" w:eastAsia="宋体" w:hint="default"/>
          <w:sz w:val="21"/>
          <w:szCs w:val="21"/>
        </w:rPr>
      </w:pPr>
      <w:r>
        <w:rPr>
          <w:rFonts w:ascii="Century Gothic" w:hAnsi="Century Gothic" w:cs="Century Gothic" w:eastAsia="Century Gothic" w:hint="default"/>
          <w:b/>
          <w:bCs/>
          <w:sz w:val="21"/>
          <w:szCs w:val="21"/>
        </w:rPr>
        <w:t>1.</w:t>
      </w:r>
      <w:r>
        <w:rPr>
          <w:rFonts w:ascii="Century Gothic" w:hAnsi="Century Gothic" w:cs="Century Gothic" w:eastAsia="Century Gothic" w:hint="default"/>
          <w:b/>
          <w:bCs/>
          <w:spacing w:val="43"/>
          <w:sz w:val="21"/>
          <w:szCs w:val="21"/>
        </w:rPr>
        <w:t> </w:t>
      </w:r>
      <w:r>
        <w:rPr>
          <w:rFonts w:ascii="宋体" w:hAnsi="宋体" w:cs="宋体" w:eastAsia="宋体" w:hint="default"/>
          <w:b/>
          <w:bCs/>
          <w:sz w:val="21"/>
          <w:szCs w:val="21"/>
        </w:rPr>
        <w:t>流转税及附加税费</w:t>
      </w:r>
      <w:r>
        <w:rPr>
          <w:rFonts w:ascii="宋体" w:hAnsi="宋体" w:cs="宋体" w:eastAsia="宋体" w:hint="default"/>
          <w:b/>
          <w:bCs/>
          <w:w w:val="99"/>
          <w:sz w:val="21"/>
          <w:szCs w:val="21"/>
        </w:rPr>
        <w:t> </w:t>
      </w:r>
      <w:r>
        <w:rPr>
          <w:rFonts w:ascii="宋体" w:hAnsi="宋体" w:cs="宋体" w:eastAsia="宋体" w:hint="default"/>
          <w:spacing w:val="-2"/>
          <w:sz w:val="21"/>
          <w:szCs w:val="21"/>
        </w:rPr>
        <w:t>子公司杭州中盛仪器仪表有限公司、重庆华虹仪表有限公司增值税按符合条件的每位残疾职工每</w:t>
      </w:r>
    </w:p>
    <w:p>
      <w:pPr>
        <w:pStyle w:val="BodyText"/>
        <w:spacing w:line="343" w:lineRule="auto" w:before="50"/>
        <w:ind w:right="213"/>
        <w:jc w:val="both"/>
      </w:pPr>
      <w:r>
        <w:rPr>
          <w:spacing w:val="-2"/>
        </w:rPr>
        <w:t>人每月一定限额享受予以退还增值税的优惠政策，但不退还政策法规明确规定不应当退还的税款。子</w:t>
      </w:r>
      <w:r>
        <w:rPr>
          <w:spacing w:val="-69"/>
        </w:rPr>
        <w:t> </w:t>
      </w:r>
      <w:r>
        <w:rPr>
          <w:spacing w:val="-69"/>
        </w:rPr>
      </w:r>
      <w:r>
        <w:rPr/>
        <w:t>公司杭州子蜂软件有限公司根据财政部、国家税务局、海关总署财税</w:t>
      </w:r>
      <w:r>
        <w:rPr>
          <w:rFonts w:ascii="Century Gothic" w:hAnsi="Century Gothic" w:cs="Century Gothic" w:eastAsia="Century Gothic" w:hint="default"/>
        </w:rPr>
        <w:t>[2000]25</w:t>
      </w:r>
      <w:r>
        <w:rPr>
          <w:rFonts w:ascii="Century Gothic" w:hAnsi="Century Gothic" w:cs="Century Gothic" w:eastAsia="Century Gothic" w:hint="default"/>
          <w:spacing w:val="22"/>
        </w:rPr>
        <w:t> </w:t>
      </w:r>
      <w:r>
        <w:rPr/>
        <w:t>号《关于鼓励软件产</w:t>
      </w:r>
      <w:r>
        <w:rPr>
          <w:spacing w:val="-100"/>
        </w:rPr>
        <w:t> </w:t>
      </w:r>
      <w:r>
        <w:rPr/>
        <w:t>品和集成电路产业发展有关税收政策问题的通知》的规定，对自行开发生产销售的软件产品在</w:t>
      </w:r>
      <w:r>
        <w:rPr>
          <w:spacing w:val="7"/>
        </w:rPr>
        <w:t> </w:t>
      </w:r>
      <w:r>
        <w:rPr>
          <w:rFonts w:ascii="Century Gothic" w:hAnsi="Century Gothic" w:cs="Century Gothic" w:eastAsia="Century Gothic" w:hint="default"/>
        </w:rPr>
        <w:t>2010</w:t>
      </w:r>
      <w:r>
        <w:rPr>
          <w:rFonts w:ascii="Century Gothic" w:hAnsi="Century Gothic" w:cs="Century Gothic" w:eastAsia="Century Gothic" w:hint="default"/>
          <w:w w:val="99"/>
        </w:rPr>
        <w:t> </w:t>
      </w:r>
      <w:r>
        <w:rPr/>
        <w:t>年</w:t>
      </w:r>
      <w:r>
        <w:rPr>
          <w:spacing w:val="-55"/>
        </w:rPr>
        <w:t> </w:t>
      </w:r>
      <w:r>
        <w:rPr>
          <w:rFonts w:ascii="Century Gothic" w:hAnsi="Century Gothic" w:cs="Century Gothic" w:eastAsia="Century Gothic" w:hint="default"/>
        </w:rPr>
        <w:t>12</w:t>
      </w:r>
      <w:r>
        <w:rPr>
          <w:rFonts w:ascii="Century Gothic" w:hAnsi="Century Gothic" w:cs="Century Gothic" w:eastAsia="Century Gothic" w:hint="default"/>
          <w:spacing w:val="-8"/>
        </w:rPr>
        <w:t> </w:t>
      </w:r>
      <w:r>
        <w:rPr/>
        <w:t>月前可享受增值税实际税负超过</w:t>
      </w:r>
      <w:r>
        <w:rPr>
          <w:spacing w:val="-55"/>
        </w:rPr>
        <w:t> </w:t>
      </w:r>
      <w:r>
        <w:rPr>
          <w:rFonts w:ascii="Century Gothic" w:hAnsi="Century Gothic" w:cs="Century Gothic" w:eastAsia="Century Gothic" w:hint="default"/>
        </w:rPr>
        <w:t>3%</w:t>
      </w:r>
      <w:r>
        <w:rPr/>
        <w:t>的部分予以退还政策。</w:t>
      </w:r>
    </w:p>
    <w:p>
      <w:pPr>
        <w:pStyle w:val="Heading4"/>
        <w:spacing w:line="240" w:lineRule="auto" w:before="10"/>
        <w:ind w:right="152"/>
        <w:jc w:val="left"/>
        <w:rPr>
          <w:rFonts w:ascii="宋体" w:hAnsi="宋体" w:cs="宋体" w:eastAsia="宋体" w:hint="default"/>
          <w:b w:val="0"/>
          <w:bCs w:val="0"/>
        </w:rPr>
      </w:pPr>
      <w:r>
        <w:rPr>
          <w:rFonts w:ascii="Century Gothic" w:hAnsi="Century Gothic" w:cs="Century Gothic" w:eastAsia="Century Gothic" w:hint="default"/>
        </w:rPr>
        <w:t>2.</w:t>
      </w:r>
      <w:r>
        <w:rPr>
          <w:rFonts w:ascii="Century Gothic" w:hAnsi="Century Gothic" w:cs="Century Gothic" w:eastAsia="Century Gothic" w:hint="default"/>
          <w:spacing w:val="39"/>
        </w:rPr>
        <w:t> </w:t>
      </w:r>
      <w:r>
        <w:rPr>
          <w:rFonts w:ascii="宋体" w:hAnsi="宋体" w:cs="宋体" w:eastAsia="宋体" w:hint="default"/>
        </w:rPr>
        <w:t>企业所得税</w:t>
      </w:r>
      <w:r>
        <w:rPr>
          <w:rFonts w:ascii="宋体" w:hAnsi="宋体" w:cs="宋体" w:eastAsia="宋体" w:hint="default"/>
          <w:b w:val="0"/>
          <w:bCs w:val="0"/>
        </w:rPr>
      </w:r>
    </w:p>
    <w:p>
      <w:pPr>
        <w:pStyle w:val="BodyText"/>
        <w:spacing w:line="240" w:lineRule="auto"/>
        <w:ind w:left="558" w:right="152"/>
        <w:jc w:val="left"/>
        <w:rPr>
          <w:rFonts w:ascii="Century Gothic" w:hAnsi="Century Gothic" w:cs="Century Gothic" w:eastAsia="Century Gothic" w:hint="default"/>
        </w:rPr>
      </w:pPr>
      <w:r>
        <w:rPr/>
        <w:t>公司根据财政部</w:t>
      </w:r>
      <w:r>
        <w:rPr>
          <w:spacing w:val="-64"/>
        </w:rPr>
        <w:t>、</w:t>
      </w:r>
      <w:r>
        <w:rPr/>
        <w:t>国家税务总局</w:t>
      </w:r>
      <w:r>
        <w:rPr>
          <w:spacing w:val="-64"/>
        </w:rPr>
        <w:t>、</w:t>
      </w:r>
      <w:r>
        <w:rPr/>
        <w:t>海关总</w:t>
      </w:r>
      <w:r>
        <w:rPr>
          <w:spacing w:val="-64"/>
        </w:rPr>
        <w:t>署</w:t>
      </w:r>
      <w:r>
        <w:rPr/>
        <w:t>《关于西部大开发税收优惠政策问题的通知</w:t>
      </w:r>
      <w:r>
        <w:rPr>
          <w:spacing w:val="-106"/>
        </w:rPr>
        <w:t>》</w:t>
      </w:r>
      <w:r>
        <w:rPr>
          <w:spacing w:val="-64"/>
        </w:rPr>
        <w:t>，</w:t>
      </w:r>
      <w:r>
        <w:rPr/>
        <w:t>在</w:t>
      </w:r>
      <w:r>
        <w:rPr>
          <w:spacing w:val="-53"/>
        </w:rPr>
        <w:t> </w:t>
      </w:r>
      <w:r>
        <w:rPr>
          <w:rFonts w:ascii="Century Gothic" w:hAnsi="Century Gothic" w:cs="Century Gothic" w:eastAsia="Century Gothic" w:hint="default"/>
          <w:w w:val="99"/>
        </w:rPr>
        <w:t>2006</w:t>
      </w:r>
      <w:r>
        <w:rPr>
          <w:rFonts w:ascii="Century Gothic" w:hAnsi="Century Gothic" w:cs="Century Gothic" w:eastAsia="Century Gothic" w:hint="default"/>
        </w:rPr>
      </w:r>
    </w:p>
    <w:p>
      <w:pPr>
        <w:pStyle w:val="BodyText"/>
        <w:spacing w:line="240" w:lineRule="auto" w:before="119"/>
        <w:ind w:right="0"/>
        <w:jc w:val="both"/>
      </w:pPr>
      <w:r>
        <w:rPr/>
        <w:t>年至</w:t>
      </w:r>
      <w:r>
        <w:rPr>
          <w:spacing w:val="-54"/>
        </w:rPr>
        <w:t> </w:t>
      </w:r>
      <w:r>
        <w:rPr>
          <w:rFonts w:ascii="Century Gothic" w:hAnsi="Century Gothic" w:cs="Century Gothic" w:eastAsia="Century Gothic" w:hint="default"/>
        </w:rPr>
        <w:t>2010</w:t>
      </w:r>
      <w:r>
        <w:rPr>
          <w:rFonts w:ascii="Century Gothic" w:hAnsi="Century Gothic" w:cs="Century Gothic" w:eastAsia="Century Gothic" w:hint="default"/>
          <w:spacing w:val="-7"/>
        </w:rPr>
        <w:t> </w:t>
      </w:r>
      <w:r>
        <w:rPr/>
        <w:t>年期间，按</w:t>
      </w:r>
      <w:r>
        <w:rPr>
          <w:spacing w:val="-54"/>
        </w:rPr>
        <w:t> </w:t>
      </w:r>
      <w:r>
        <w:rPr>
          <w:rFonts w:ascii="Century Gothic" w:hAnsi="Century Gothic" w:cs="Century Gothic" w:eastAsia="Century Gothic" w:hint="default"/>
        </w:rPr>
        <w:t>15%</w:t>
      </w:r>
      <w:r>
        <w:rPr/>
        <w:t>的税率计缴企业所得税。</w:t>
      </w:r>
    </w:p>
    <w:p>
      <w:pPr>
        <w:pStyle w:val="BodyText"/>
        <w:spacing w:line="336" w:lineRule="auto"/>
        <w:ind w:right="205" w:firstLine="420"/>
        <w:jc w:val="left"/>
      </w:pPr>
      <w:r>
        <w:rPr/>
        <w:t>子公司华立仪表集团股份有限公司于</w:t>
      </w:r>
      <w:r>
        <w:rPr>
          <w:spacing w:val="-55"/>
        </w:rPr>
        <w:t> </w:t>
      </w:r>
      <w:r>
        <w:rPr>
          <w:rFonts w:ascii="Century Gothic" w:hAnsi="Century Gothic" w:cs="Century Gothic" w:eastAsia="Century Gothic" w:hint="default"/>
        </w:rPr>
        <w:t>2008</w:t>
      </w:r>
      <w:r>
        <w:rPr>
          <w:rFonts w:ascii="Century Gothic" w:hAnsi="Century Gothic" w:cs="Century Gothic" w:eastAsia="Century Gothic" w:hint="default"/>
          <w:spacing w:val="-8"/>
        </w:rPr>
        <w:t> </w:t>
      </w:r>
      <w:r>
        <w:rPr/>
        <w:t>年被认定为高新技术企业，有效期为</w:t>
      </w:r>
      <w:r>
        <w:rPr>
          <w:spacing w:val="-55"/>
        </w:rPr>
        <w:t> </w:t>
      </w:r>
      <w:r>
        <w:rPr>
          <w:rFonts w:ascii="Century Gothic" w:hAnsi="Century Gothic" w:cs="Century Gothic" w:eastAsia="Century Gothic" w:hint="default"/>
        </w:rPr>
        <w:t>3</w:t>
      </w:r>
      <w:r>
        <w:rPr>
          <w:rFonts w:ascii="Century Gothic" w:hAnsi="Century Gothic" w:cs="Century Gothic" w:eastAsia="Century Gothic" w:hint="default"/>
          <w:spacing w:val="-9"/>
        </w:rPr>
        <w:t> </w:t>
      </w:r>
      <w:r>
        <w:rPr/>
        <w:t>年，在该有效 期内可享受</w:t>
      </w:r>
      <w:r>
        <w:rPr>
          <w:spacing w:val="-54"/>
        </w:rPr>
        <w:t> </w:t>
      </w:r>
      <w:r>
        <w:rPr>
          <w:rFonts w:ascii="Century Gothic" w:hAnsi="Century Gothic" w:cs="Century Gothic" w:eastAsia="Century Gothic" w:hint="default"/>
        </w:rPr>
        <w:t>15%</w:t>
      </w:r>
      <w:r>
        <w:rPr/>
        <w:t>的所得税优惠税率。</w:t>
      </w:r>
    </w:p>
    <w:p>
      <w:pPr>
        <w:pStyle w:val="BodyText"/>
        <w:spacing w:line="348" w:lineRule="auto" w:before="17"/>
        <w:ind w:right="214" w:firstLine="420"/>
        <w:jc w:val="both"/>
      </w:pPr>
      <w:r>
        <w:rPr>
          <w:spacing w:val="-2"/>
        </w:rPr>
        <w:t>子公司华立仪表集团重庆仪表有限公司、重庆华虹仪表有限公司根据财政部、国家税务总局、海</w:t>
      </w:r>
      <w:r>
        <w:rPr/>
        <w:t> </w:t>
      </w:r>
      <w:r>
        <w:rPr>
          <w:spacing w:val="-6"/>
        </w:rPr>
        <w:t>关总署《关于西部大开发税收优惠政策问题的通知》，在</w:t>
      </w:r>
      <w:r>
        <w:rPr>
          <w:spacing w:val="-51"/>
        </w:rPr>
        <w:t> </w:t>
      </w:r>
      <w:r>
        <w:rPr>
          <w:rFonts w:ascii="Century Gothic" w:hAnsi="Century Gothic" w:cs="Century Gothic" w:eastAsia="Century Gothic" w:hint="default"/>
          <w:spacing w:val="-1"/>
          <w:w w:val="99"/>
        </w:rPr>
        <w:t>2001</w:t>
      </w:r>
      <w:r>
        <w:rPr>
          <w:rFonts w:ascii="Century Gothic" w:hAnsi="Century Gothic" w:cs="Century Gothic" w:eastAsia="Century Gothic" w:hint="default"/>
          <w:spacing w:val="-4"/>
          <w:w w:val="99"/>
        </w:rPr>
        <w:t> </w:t>
      </w:r>
      <w:r>
        <w:rPr/>
        <w:t>年至</w:t>
      </w:r>
      <w:r>
        <w:rPr>
          <w:spacing w:val="-51"/>
        </w:rPr>
        <w:t> </w:t>
      </w:r>
      <w:r>
        <w:rPr>
          <w:rFonts w:ascii="Century Gothic" w:hAnsi="Century Gothic" w:cs="Century Gothic" w:eastAsia="Century Gothic" w:hint="default"/>
          <w:spacing w:val="-1"/>
          <w:w w:val="99"/>
        </w:rPr>
        <w:t>2010</w:t>
      </w:r>
      <w:r>
        <w:rPr>
          <w:rFonts w:ascii="Century Gothic" w:hAnsi="Century Gothic" w:cs="Century Gothic" w:eastAsia="Century Gothic" w:hint="default"/>
          <w:spacing w:val="-4"/>
          <w:w w:val="99"/>
        </w:rPr>
        <w:t> </w:t>
      </w:r>
      <w:r>
        <w:rPr>
          <w:spacing w:val="-5"/>
        </w:rPr>
        <w:t>年期间，按</w:t>
      </w:r>
      <w:r>
        <w:rPr>
          <w:spacing w:val="-51"/>
        </w:rPr>
        <w:t> </w:t>
      </w:r>
      <w:r>
        <w:rPr>
          <w:rFonts w:ascii="Century Gothic" w:hAnsi="Century Gothic" w:cs="Century Gothic" w:eastAsia="Century Gothic" w:hint="default"/>
          <w:spacing w:val="-1"/>
          <w:w w:val="99"/>
        </w:rPr>
        <w:t>15%</w:t>
      </w:r>
      <w:r>
        <w:rPr>
          <w:spacing w:val="-1"/>
          <w:w w:val="99"/>
        </w:rPr>
        <w:t>的税率计缴</w:t>
      </w:r>
      <w:r>
        <w:rPr/>
        <w:t> 企业所得税。</w:t>
      </w:r>
    </w:p>
    <w:p>
      <w:pPr>
        <w:pStyle w:val="BodyText"/>
        <w:spacing w:line="343" w:lineRule="auto" w:before="40"/>
        <w:ind w:right="127" w:firstLine="420"/>
        <w:jc w:val="left"/>
      </w:pPr>
      <w:r>
        <w:rPr/>
        <w:t>子公司杭州中盛仪器仪表有限公司、重庆华虹仪表有限公司系民政福利企业，根据财政部、国家 税务总局财税</w:t>
      </w:r>
      <w:r>
        <w:rPr>
          <w:rFonts w:ascii="Century Gothic" w:hAnsi="Century Gothic" w:cs="Century Gothic" w:eastAsia="Century Gothic" w:hint="default"/>
        </w:rPr>
        <w:t>[2006]111</w:t>
      </w:r>
      <w:r>
        <w:rPr>
          <w:rFonts w:ascii="Century Gothic" w:hAnsi="Century Gothic" w:cs="Century Gothic" w:eastAsia="Century Gothic" w:hint="default"/>
          <w:spacing w:val="-15"/>
        </w:rPr>
        <w:t> </w:t>
      </w:r>
      <w:r>
        <w:rPr/>
        <w:t>号《关于调整完善现行福利企业税收优惠政策试点工作的通知》的规定，从 </w:t>
      </w:r>
      <w:r>
        <w:rPr>
          <w:rFonts w:ascii="Century Gothic" w:hAnsi="Century Gothic" w:cs="Century Gothic" w:eastAsia="Century Gothic" w:hint="default"/>
        </w:rPr>
        <w:t>2006</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10</w:t>
      </w:r>
      <w:r>
        <w:rPr>
          <w:rFonts w:ascii="Century Gothic" w:hAnsi="Century Gothic" w:cs="Century Gothic" w:eastAsia="Century Gothic" w:hint="default"/>
          <w:spacing w:val="-8"/>
        </w:rPr>
        <w:t> </w:t>
      </w:r>
      <w:r>
        <w:rPr/>
        <w:t>月</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日起，实行成本加计扣除办法，即支付给残疾职工工资可全额在计算所得税前扣除， 并可</w:t>
      </w:r>
      <w:r>
        <w:rPr>
          <w:spacing w:val="-56"/>
        </w:rPr>
        <w:t> </w:t>
      </w:r>
      <w:r>
        <w:rPr>
          <w:rFonts w:ascii="Century Gothic" w:hAnsi="Century Gothic" w:cs="Century Gothic" w:eastAsia="Century Gothic" w:hint="default"/>
        </w:rPr>
        <w:t>100%</w:t>
      </w:r>
      <w:r>
        <w:rPr/>
        <w:t>加计扣除。</w:t>
      </w:r>
    </w:p>
    <w:p>
      <w:pPr>
        <w:spacing w:line="240" w:lineRule="auto" w:before="6"/>
        <w:rPr>
          <w:rFonts w:ascii="宋体" w:hAnsi="宋体" w:cs="宋体" w:eastAsia="宋体" w:hint="default"/>
          <w:sz w:val="13"/>
          <w:szCs w:val="13"/>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60</w:t>
      </w:r>
    </w:p>
    <w:p>
      <w:pPr>
        <w:spacing w:after="0"/>
        <w:jc w:val="center"/>
        <w:rPr>
          <w:rFonts w:ascii="Times New Roman" w:hAnsi="Times New Roman" w:cs="Times New Roman" w:eastAsia="Times New Roman" w:hint="default"/>
          <w:sz w:val="18"/>
          <w:szCs w:val="18"/>
        </w:rPr>
        <w:sectPr>
          <w:pgSz w:w="11910" w:h="16840"/>
          <w:pgMar w:top="780" w:bottom="280" w:left="1160" w:right="120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70.860001pt;margin-top:-9.926001pt;width:84.0pt;height:23.94pt;mso-position-horizontal-relative:page;mso-position-vertical-relative:paragraph;z-index:4576"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336" w:lineRule="auto" w:before="0"/>
        <w:ind w:right="200" w:firstLine="420"/>
        <w:jc w:val="left"/>
      </w:pPr>
      <w:r>
        <w:rPr/>
        <w:t>子公司杭州子蜂软件有限公司于</w:t>
      </w:r>
      <w:r>
        <w:rPr>
          <w:spacing w:val="-54"/>
        </w:rPr>
        <w:t> </w:t>
      </w:r>
      <w:r>
        <w:rPr>
          <w:rFonts w:ascii="Century Gothic" w:hAnsi="Century Gothic" w:cs="Century Gothic" w:eastAsia="Century Gothic" w:hint="default"/>
        </w:rPr>
        <w:t>2009</w:t>
      </w:r>
      <w:r>
        <w:rPr>
          <w:rFonts w:ascii="Century Gothic" w:hAnsi="Century Gothic" w:cs="Century Gothic" w:eastAsia="Century Gothic" w:hint="default"/>
          <w:spacing w:val="-7"/>
        </w:rPr>
        <w:t> </w:t>
      </w:r>
      <w:r>
        <w:rPr/>
        <w:t>年被认定为高新技术企业，有效期为</w:t>
      </w:r>
      <w:r>
        <w:rPr>
          <w:spacing w:val="-54"/>
        </w:rPr>
        <w:t> </w:t>
      </w:r>
      <w:r>
        <w:rPr>
          <w:rFonts w:ascii="Century Gothic" w:hAnsi="Century Gothic" w:cs="Century Gothic" w:eastAsia="Century Gothic" w:hint="default"/>
        </w:rPr>
        <w:t>3</w:t>
      </w:r>
      <w:r>
        <w:rPr>
          <w:rFonts w:ascii="Century Gothic" w:hAnsi="Century Gothic" w:cs="Century Gothic" w:eastAsia="Century Gothic" w:hint="default"/>
          <w:spacing w:val="-7"/>
        </w:rPr>
        <w:t> </w:t>
      </w:r>
      <w:r>
        <w:rPr/>
        <w:t>年，在该有效期内 可享受</w:t>
      </w:r>
      <w:r>
        <w:rPr>
          <w:spacing w:val="-55"/>
        </w:rPr>
        <w:t> </w:t>
      </w:r>
      <w:r>
        <w:rPr>
          <w:rFonts w:ascii="Century Gothic" w:hAnsi="Century Gothic" w:cs="Century Gothic" w:eastAsia="Century Gothic" w:hint="default"/>
        </w:rPr>
        <w:t>15%</w:t>
      </w:r>
      <w:r>
        <w:rPr/>
        <w:t>的所得税优惠税率。</w:t>
      </w:r>
    </w:p>
    <w:p>
      <w:pPr>
        <w:pStyle w:val="BodyText"/>
        <w:spacing w:line="343" w:lineRule="auto" w:before="17"/>
        <w:ind w:right="213" w:firstLine="420"/>
        <w:jc w:val="both"/>
      </w:pPr>
      <w:r>
        <w:rPr>
          <w:spacing w:val="-2"/>
        </w:rPr>
        <w:t>子公司重庆华立武陵山制药有限公司系设立在重庆市少数民族地区的内资企业，根据重庆市地方</w:t>
      </w:r>
      <w:r>
        <w:rPr/>
        <w:t> 税务局渝地税发</w:t>
      </w:r>
      <w:r>
        <w:rPr>
          <w:rFonts w:ascii="Century Gothic" w:hAnsi="Century Gothic" w:cs="Century Gothic" w:eastAsia="Century Gothic" w:hint="default"/>
        </w:rPr>
        <w:t>[2002]163</w:t>
      </w:r>
      <w:r>
        <w:rPr>
          <w:rFonts w:ascii="Century Gothic" w:hAnsi="Century Gothic" w:cs="Century Gothic" w:eastAsia="Century Gothic" w:hint="default"/>
          <w:spacing w:val="-18"/>
        </w:rPr>
        <w:t> </w:t>
      </w:r>
      <w:r>
        <w:rPr/>
        <w:t>号《重庆市地方税务局转发国家税务总局关于落实西部大开发有关税收政 </w:t>
      </w:r>
      <w:r>
        <w:rPr>
          <w:spacing w:val="-8"/>
        </w:rPr>
        <w:t>策具体实施意见的通知》文件精神，在报经区县地方税务局批准后，在</w:t>
      </w:r>
      <w:r>
        <w:rPr>
          <w:spacing w:val="-50"/>
        </w:rPr>
        <w:t> </w:t>
      </w:r>
      <w:r>
        <w:rPr>
          <w:rFonts w:ascii="Century Gothic" w:hAnsi="Century Gothic" w:cs="Century Gothic" w:eastAsia="Century Gothic" w:hint="default"/>
        </w:rPr>
        <w:t>2001</w:t>
      </w:r>
      <w:r>
        <w:rPr>
          <w:rFonts w:ascii="Century Gothic" w:hAnsi="Century Gothic" w:cs="Century Gothic" w:eastAsia="Century Gothic" w:hint="default"/>
          <w:spacing w:val="-3"/>
        </w:rPr>
        <w:t> </w:t>
      </w:r>
      <w:r>
        <w:rPr/>
        <w:t>年至</w:t>
      </w:r>
      <w:r>
        <w:rPr>
          <w:spacing w:val="-50"/>
        </w:rPr>
        <w:t> </w:t>
      </w:r>
      <w:r>
        <w:rPr>
          <w:rFonts w:ascii="Century Gothic" w:hAnsi="Century Gothic" w:cs="Century Gothic" w:eastAsia="Century Gothic" w:hint="default"/>
        </w:rPr>
        <w:t>2010</w:t>
      </w:r>
      <w:r>
        <w:rPr>
          <w:rFonts w:ascii="Century Gothic" w:hAnsi="Century Gothic" w:cs="Century Gothic" w:eastAsia="Century Gothic" w:hint="default"/>
          <w:spacing w:val="-4"/>
        </w:rPr>
        <w:t> </w:t>
      </w:r>
      <w:r>
        <w:rPr/>
        <w:t>年期间按</w:t>
      </w:r>
      <w:r>
        <w:rPr>
          <w:spacing w:val="-50"/>
        </w:rPr>
        <w:t> </w:t>
      </w:r>
      <w:r>
        <w:rPr>
          <w:rFonts w:ascii="Century Gothic" w:hAnsi="Century Gothic" w:cs="Century Gothic" w:eastAsia="Century Gothic" w:hint="default"/>
        </w:rPr>
        <w:t>7.5% </w:t>
      </w:r>
      <w:r>
        <w:rPr/>
        <w:t>的税率计缴企业所得税。</w:t>
      </w:r>
    </w:p>
    <w:p>
      <w:pPr>
        <w:pStyle w:val="BodyText"/>
        <w:spacing w:line="338" w:lineRule="auto" w:before="44"/>
        <w:ind w:right="213" w:firstLine="420"/>
        <w:jc w:val="both"/>
      </w:pPr>
      <w:r>
        <w:rPr/>
        <w:t>子公司重庆美联制药有限公司系外商投资企业，根据重庆市国家税务局渝国税函</w:t>
      </w:r>
      <w:r>
        <w:rPr>
          <w:rFonts w:ascii="Century Gothic" w:hAnsi="Century Gothic" w:cs="Century Gothic" w:eastAsia="Century Gothic" w:hint="default"/>
        </w:rPr>
        <w:t>[2002]488</w:t>
      </w:r>
      <w:r>
        <w:rPr>
          <w:rFonts w:ascii="Century Gothic" w:hAnsi="Century Gothic" w:cs="Century Gothic" w:eastAsia="Century Gothic" w:hint="default"/>
          <w:spacing w:val="-24"/>
        </w:rPr>
        <w:t> </w:t>
      </w:r>
      <w:r>
        <w:rPr/>
        <w:t>号文 批复，在</w:t>
      </w:r>
      <w:r>
        <w:rPr>
          <w:spacing w:val="-45"/>
        </w:rPr>
        <w:t> </w:t>
      </w:r>
      <w:r>
        <w:rPr>
          <w:rFonts w:ascii="Century Gothic" w:hAnsi="Century Gothic" w:cs="Century Gothic" w:eastAsia="Century Gothic" w:hint="default"/>
        </w:rPr>
        <w:t>2001</w:t>
      </w:r>
      <w:r>
        <w:rPr>
          <w:rFonts w:ascii="Century Gothic" w:hAnsi="Century Gothic" w:cs="Century Gothic" w:eastAsia="Century Gothic" w:hint="default"/>
          <w:spacing w:val="2"/>
        </w:rPr>
        <w:t> </w:t>
      </w:r>
      <w:r>
        <w:rPr/>
        <w:t>年至</w:t>
      </w:r>
      <w:r>
        <w:rPr>
          <w:spacing w:val="-45"/>
        </w:rPr>
        <w:t> </w:t>
      </w:r>
      <w:r>
        <w:rPr>
          <w:rFonts w:ascii="Century Gothic" w:hAnsi="Century Gothic" w:cs="Century Gothic" w:eastAsia="Century Gothic" w:hint="default"/>
        </w:rPr>
        <w:t>2010</w:t>
      </w:r>
      <w:r>
        <w:rPr>
          <w:rFonts w:ascii="Century Gothic" w:hAnsi="Century Gothic" w:cs="Century Gothic" w:eastAsia="Century Gothic" w:hint="default"/>
          <w:spacing w:val="2"/>
        </w:rPr>
        <w:t> </w:t>
      </w:r>
      <w:r>
        <w:rPr/>
        <w:t>年期间享受西部大开发企业所得税税收优惠政策，按</w:t>
      </w:r>
      <w:r>
        <w:rPr>
          <w:spacing w:val="-45"/>
        </w:rPr>
        <w:t> </w:t>
      </w:r>
      <w:r>
        <w:rPr>
          <w:rFonts w:ascii="Century Gothic" w:hAnsi="Century Gothic" w:cs="Century Gothic" w:eastAsia="Century Gothic" w:hint="default"/>
        </w:rPr>
        <w:t>15%</w:t>
      </w:r>
      <w:r>
        <w:rPr/>
        <w:t>的税率计缴企业 所得税。</w:t>
      </w:r>
    </w:p>
    <w:p>
      <w:pPr>
        <w:pStyle w:val="BodyText"/>
        <w:spacing w:line="348" w:lineRule="auto" w:before="48"/>
        <w:ind w:right="102" w:firstLine="420"/>
        <w:jc w:val="left"/>
      </w:pPr>
      <w:r>
        <w:rPr/>
        <w:t>子公司洪雅美联曼地亚红豆杉种植有限公司系林木种植加工企业，根据财政部、国家税务总局财 税字</w:t>
      </w:r>
      <w:r>
        <w:rPr>
          <w:rFonts w:ascii="Century Gothic" w:hAnsi="Century Gothic" w:cs="Century Gothic" w:eastAsia="Century Gothic" w:hint="default"/>
        </w:rPr>
        <w:t>[2001]171</w:t>
      </w:r>
      <w:r>
        <w:rPr>
          <w:rFonts w:ascii="Century Gothic" w:hAnsi="Century Gothic" w:cs="Century Gothic" w:eastAsia="Century Gothic" w:hint="default"/>
          <w:spacing w:val="16"/>
        </w:rPr>
        <w:t> </w:t>
      </w:r>
      <w:r>
        <w:rPr>
          <w:spacing w:val="-4"/>
        </w:rPr>
        <w:t>号文件规定，其种植林木、林木种子和苗木作物以及从事林木产品初加工取得的所得，</w:t>
      </w:r>
      <w:r>
        <w:rPr>
          <w:spacing w:val="-100"/>
        </w:rPr>
        <w:t> </w:t>
      </w:r>
      <w:r>
        <w:rPr>
          <w:spacing w:val="-100"/>
        </w:rPr>
      </w:r>
      <w:r>
        <w:rPr/>
        <w:t>暂免缴纳企业所得税。</w:t>
      </w:r>
    </w:p>
    <w:p>
      <w:pPr>
        <w:spacing w:line="336" w:lineRule="auto" w:before="40"/>
        <w:ind w:left="138" w:right="1799" w:firstLine="420"/>
        <w:jc w:val="left"/>
        <w:rPr>
          <w:rFonts w:ascii="宋体" w:hAnsi="宋体" w:cs="宋体" w:eastAsia="宋体" w:hint="default"/>
          <w:sz w:val="21"/>
          <w:szCs w:val="21"/>
        </w:rPr>
      </w:pPr>
      <w:r>
        <w:rPr>
          <w:rFonts w:ascii="宋体" w:hAnsi="宋体" w:cs="宋体" w:eastAsia="宋体" w:hint="default"/>
          <w:sz w:val="21"/>
          <w:szCs w:val="21"/>
        </w:rPr>
        <w:t>除上述享受所得税减免税收优惠的公司外，其余公司企业所得税税率为</w:t>
      </w:r>
      <w:r>
        <w:rPr>
          <w:rFonts w:ascii="宋体" w:hAnsi="宋体" w:cs="宋体" w:eastAsia="宋体" w:hint="default"/>
          <w:spacing w:val="-54"/>
          <w:sz w:val="21"/>
          <w:szCs w:val="21"/>
        </w:rPr>
        <w:t> </w:t>
      </w:r>
      <w:r>
        <w:rPr>
          <w:rFonts w:ascii="Century Gothic" w:hAnsi="Century Gothic" w:cs="Century Gothic" w:eastAsia="Century Gothic" w:hint="default"/>
          <w:sz w:val="21"/>
          <w:szCs w:val="21"/>
        </w:rPr>
        <w:t>25%</w:t>
      </w:r>
      <w:r>
        <w:rPr>
          <w:rFonts w:ascii="宋体" w:hAnsi="宋体" w:cs="宋体" w:eastAsia="宋体" w:hint="default"/>
          <w:sz w:val="21"/>
          <w:szCs w:val="21"/>
        </w:rPr>
        <w:t>。 </w:t>
      </w:r>
      <w:r>
        <w:rPr>
          <w:rFonts w:ascii="宋体" w:hAnsi="宋体" w:cs="宋体" w:eastAsia="宋体" w:hint="default"/>
          <w:b/>
          <w:bCs/>
          <w:sz w:val="21"/>
          <w:szCs w:val="21"/>
        </w:rPr>
        <w:t>四、</w:t>
      </w:r>
      <w:r>
        <w:rPr>
          <w:rFonts w:ascii="宋体" w:hAnsi="宋体" w:cs="宋体" w:eastAsia="宋体" w:hint="default"/>
          <w:b/>
          <w:bCs/>
          <w:spacing w:val="-55"/>
          <w:sz w:val="21"/>
          <w:szCs w:val="21"/>
        </w:rPr>
        <w:t> </w:t>
      </w:r>
      <w:r>
        <w:rPr>
          <w:rFonts w:ascii="宋体" w:hAnsi="宋体" w:cs="宋体" w:eastAsia="宋体" w:hint="default"/>
          <w:b/>
          <w:bCs/>
          <w:sz w:val="21"/>
          <w:szCs w:val="21"/>
        </w:rPr>
        <w:t>企业合并及合并财务报表</w:t>
      </w:r>
      <w:r>
        <w:rPr>
          <w:rFonts w:ascii="宋体" w:hAnsi="宋体" w:cs="宋体" w:eastAsia="宋体" w:hint="default"/>
          <w:sz w:val="21"/>
          <w:szCs w:val="21"/>
        </w:rPr>
      </w:r>
    </w:p>
    <w:p>
      <w:pPr>
        <w:pStyle w:val="Heading4"/>
        <w:spacing w:line="240" w:lineRule="auto" w:before="50"/>
        <w:ind w:right="152"/>
        <w:jc w:val="left"/>
        <w:rPr>
          <w:rFonts w:ascii="宋体" w:hAnsi="宋体" w:cs="宋体" w:eastAsia="宋体" w:hint="default"/>
          <w:b w:val="0"/>
          <w:bCs w:val="0"/>
        </w:rPr>
      </w:pPr>
      <w:r>
        <w:rPr>
          <w:rFonts w:ascii="宋体" w:hAnsi="宋体" w:cs="宋体" w:eastAsia="宋体" w:hint="default"/>
        </w:rPr>
        <w:t>（一）</w:t>
      </w:r>
      <w:r>
        <w:rPr>
          <w:rFonts w:ascii="宋体" w:hAnsi="宋体" w:cs="宋体" w:eastAsia="宋体" w:hint="default"/>
          <w:spacing w:val="-82"/>
        </w:rPr>
        <w:t> </w:t>
      </w:r>
      <w:r>
        <w:rPr>
          <w:rFonts w:ascii="宋体" w:hAnsi="宋体" w:cs="宋体" w:eastAsia="宋体" w:hint="default"/>
        </w:rPr>
        <w:t>子公司情况</w:t>
      </w:r>
      <w:r>
        <w:rPr>
          <w:rFonts w:ascii="宋体" w:hAnsi="宋体" w:cs="宋体" w:eastAsia="宋体" w:hint="default"/>
          <w:b w:val="0"/>
          <w:bCs w:val="0"/>
        </w:rPr>
      </w:r>
    </w:p>
    <w:p>
      <w:pPr>
        <w:pStyle w:val="Heading4"/>
        <w:spacing w:line="240" w:lineRule="auto" w:before="135"/>
        <w:ind w:right="152"/>
        <w:jc w:val="left"/>
        <w:rPr>
          <w:rFonts w:ascii="宋体" w:hAnsi="宋体" w:cs="宋体" w:eastAsia="宋体" w:hint="default"/>
          <w:b w:val="0"/>
          <w:bCs w:val="0"/>
        </w:rPr>
      </w:pPr>
      <w:r>
        <w:rPr>
          <w:rFonts w:ascii="Century Gothic" w:hAnsi="Century Gothic" w:cs="Century Gothic" w:eastAsia="Century Gothic" w:hint="default"/>
        </w:rPr>
        <w:t>1.</w:t>
      </w:r>
      <w:r>
        <w:rPr>
          <w:rFonts w:ascii="Century Gothic" w:hAnsi="Century Gothic" w:cs="Century Gothic" w:eastAsia="Century Gothic" w:hint="default"/>
          <w:spacing w:val="4"/>
        </w:rPr>
        <w:t> </w:t>
      </w:r>
      <w:r>
        <w:rPr>
          <w:rFonts w:ascii="宋体" w:hAnsi="宋体" w:cs="宋体" w:eastAsia="宋体" w:hint="default"/>
        </w:rPr>
        <w:t>通过投资设立或投资等方式取得的子公司</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tbl>
      <w:tblPr>
        <w:tblW w:w="0" w:type="auto"/>
        <w:jc w:val="left"/>
        <w:tblInd w:w="191" w:type="dxa"/>
        <w:tblLayout w:type="fixed"/>
        <w:tblCellMar>
          <w:top w:w="0" w:type="dxa"/>
          <w:left w:w="0" w:type="dxa"/>
          <w:bottom w:w="0" w:type="dxa"/>
          <w:right w:w="0" w:type="dxa"/>
        </w:tblCellMar>
        <w:tblLook w:val="01E0"/>
      </w:tblPr>
      <w:tblGrid>
        <w:gridCol w:w="1352"/>
        <w:gridCol w:w="610"/>
        <w:gridCol w:w="764"/>
        <w:gridCol w:w="1576"/>
        <w:gridCol w:w="1177"/>
        <w:gridCol w:w="1236"/>
        <w:gridCol w:w="852"/>
        <w:gridCol w:w="1470"/>
      </w:tblGrid>
      <w:tr>
        <w:trPr>
          <w:trHeight w:val="679" w:hRule="exact"/>
        </w:trPr>
        <w:tc>
          <w:tcPr>
            <w:tcW w:w="1352" w:type="dxa"/>
            <w:tcBorders>
              <w:top w:val="single" w:sz="12" w:space="0" w:color="000000"/>
              <w:left w:val="nil" w:sz="6" w:space="0" w:color="auto"/>
              <w:bottom w:val="single" w:sz="6" w:space="0" w:color="000000"/>
              <w:right w:val="single" w:sz="6" w:space="0" w:color="000000"/>
            </w:tcBorders>
          </w:tcPr>
          <w:p>
            <w:pPr>
              <w:pStyle w:val="TableParagraph"/>
              <w:spacing w:line="235" w:lineRule="exact" w:before="49"/>
              <w:ind w:left="232"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35" w:lineRule="exact"/>
              <w:ind w:left="322"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7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5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left="328" w:right="146"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147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716" w:hRule="exact"/>
        </w:trPr>
        <w:tc>
          <w:tcPr>
            <w:tcW w:w="13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90"/>
              <w:jc w:val="left"/>
              <w:rPr>
                <w:rFonts w:ascii="宋体" w:hAnsi="宋体" w:cs="宋体" w:eastAsia="宋体" w:hint="default"/>
                <w:sz w:val="18"/>
                <w:szCs w:val="18"/>
              </w:rPr>
            </w:pPr>
            <w:r>
              <w:rPr>
                <w:rFonts w:ascii="宋体" w:hAnsi="宋体" w:cs="宋体" w:eastAsia="宋体" w:hint="default"/>
                <w:spacing w:val="8"/>
                <w:sz w:val="18"/>
                <w:szCs w:val="18"/>
              </w:rPr>
              <w:t>杭州蓝创电力 </w:t>
            </w:r>
            <w:r>
              <w:rPr>
                <w:rFonts w:ascii="宋体" w:hAnsi="宋体" w:cs="宋体" w:eastAsia="宋体" w:hint="default"/>
                <w:sz w:val="18"/>
                <w:szCs w:val="18"/>
              </w:rPr>
              <w:t>科技有限公司</w:t>
            </w:r>
          </w:p>
        </w:tc>
        <w:tc>
          <w:tcPr>
            <w:tcW w:w="13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09" w:right="138"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杭州余杭区五常</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36"/>
                <w:sz w:val="18"/>
                <w:szCs w:val="18"/>
              </w:rPr>
              <w:t>街道五</w:t>
            </w:r>
            <w:r>
              <w:rPr>
                <w:rFonts w:ascii="宋体" w:hAnsi="宋体" w:cs="宋体" w:eastAsia="宋体" w:hint="default"/>
                <w:spacing w:val="-33"/>
                <w:sz w:val="18"/>
                <w:szCs w:val="18"/>
              </w:rPr>
              <w:t> </w:t>
            </w:r>
            <w:r>
              <w:rPr>
                <w:rFonts w:ascii="宋体" w:hAnsi="宋体" w:cs="宋体" w:eastAsia="宋体" w:hint="default"/>
                <w:spacing w:val="27"/>
                <w:sz w:val="18"/>
                <w:szCs w:val="18"/>
              </w:rPr>
              <w:t>常街</w:t>
            </w:r>
            <w:r>
              <w:rPr>
                <w:rFonts w:ascii="宋体" w:hAnsi="宋体" w:cs="宋体" w:eastAsia="宋体" w:hint="default"/>
                <w:spacing w:val="-33"/>
                <w:sz w:val="18"/>
                <w:szCs w:val="18"/>
              </w:rPr>
              <w:t> </w:t>
            </w:r>
            <w:r>
              <w:rPr>
                <w:rFonts w:ascii="宋体" w:hAnsi="宋体" w:cs="宋体" w:eastAsia="宋体" w:hint="default"/>
                <w:sz w:val="18"/>
                <w:szCs w:val="18"/>
              </w:rPr>
              <w:t>道</w:t>
            </w:r>
          </w:p>
          <w:p>
            <w:pPr>
              <w:pStyle w:val="TableParagraph"/>
              <w:spacing w:line="249" w:lineRule="exact"/>
              <w:ind w:left="100" w:right="0"/>
              <w:jc w:val="left"/>
              <w:rPr>
                <w:rFonts w:ascii="宋体" w:hAnsi="宋体" w:cs="宋体" w:eastAsia="宋体" w:hint="default"/>
                <w:sz w:val="18"/>
                <w:szCs w:val="18"/>
              </w:rPr>
            </w:pPr>
            <w:r>
              <w:rPr>
                <w:rFonts w:ascii="Century Gothic" w:hAnsi="Century Gothic" w:cs="Century Gothic" w:eastAsia="Century Gothic" w:hint="default"/>
                <w:sz w:val="18"/>
                <w:szCs w:val="18"/>
              </w:rPr>
              <w:t>181</w:t>
            </w:r>
            <w:r>
              <w:rPr>
                <w:rFonts w:ascii="Century Gothic" w:hAnsi="Century Gothic" w:cs="Century Gothic" w:eastAsia="Century Gothic" w:hint="default"/>
                <w:spacing w:val="-7"/>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Century Gothic" w:hAnsi="Century Gothic" w:cs="Century Gothic" w:eastAsia="Century Gothic" w:hint="default"/>
                <w:sz w:val="18"/>
                <w:szCs w:val="18"/>
              </w:rPr>
              <w:t>1</w:t>
            </w:r>
            <w:r>
              <w:rPr>
                <w:rFonts w:ascii="Century Gothic" w:hAnsi="Century Gothic" w:cs="Century Gothic" w:eastAsia="Century Gothic" w:hint="default"/>
                <w:spacing w:val="-7"/>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Century Gothic" w:hAnsi="Century Gothic" w:cs="Century Gothic" w:eastAsia="Century Gothic" w:hint="default"/>
                <w:sz w:val="18"/>
                <w:szCs w:val="18"/>
              </w:rPr>
              <w:t>3</w:t>
            </w:r>
            <w:r>
              <w:rPr>
                <w:rFonts w:ascii="Century Gothic" w:hAnsi="Century Gothic" w:cs="Century Gothic" w:eastAsia="Century Gothic" w:hint="default"/>
                <w:spacing w:val="-6"/>
                <w:sz w:val="18"/>
                <w:szCs w:val="18"/>
              </w:rPr>
              <w:t> </w:t>
            </w:r>
            <w:r>
              <w:rPr>
                <w:rFonts w:ascii="宋体" w:hAnsi="宋体" w:cs="宋体" w:eastAsia="宋体" w:hint="default"/>
                <w:sz w:val="18"/>
                <w:szCs w:val="18"/>
              </w:rPr>
              <w:t>号</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30.00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彭建华</w:t>
            </w:r>
          </w:p>
        </w:tc>
        <w:tc>
          <w:tcPr>
            <w:tcW w:w="1470"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8"/>
                <w:sz w:val="18"/>
                <w:szCs w:val="18"/>
              </w:rPr>
              <w:t>电力系统软件</w:t>
            </w:r>
            <w:r>
              <w:rPr>
                <w:rFonts w:ascii="宋体" w:hAnsi="宋体" w:cs="宋体" w:eastAsia="宋体" w:hint="default"/>
                <w:spacing w:val="-56"/>
                <w:sz w:val="18"/>
                <w:szCs w:val="18"/>
              </w:rPr>
              <w:t> </w:t>
            </w:r>
            <w:r>
              <w:rPr>
                <w:rFonts w:ascii="宋体" w:hAnsi="宋体" w:cs="宋体" w:eastAsia="宋体" w:hint="default"/>
                <w:sz w:val="18"/>
                <w:szCs w:val="18"/>
              </w:rPr>
            </w:r>
          </w:p>
          <w:p>
            <w:pPr>
              <w:pStyle w:val="TableParagraph"/>
              <w:spacing w:line="240" w:lineRule="auto"/>
              <w:ind w:left="100" w:right="105"/>
              <w:jc w:val="left"/>
              <w:rPr>
                <w:rFonts w:ascii="宋体" w:hAnsi="宋体" w:cs="宋体" w:eastAsia="宋体" w:hint="default"/>
                <w:sz w:val="18"/>
                <w:szCs w:val="18"/>
              </w:rPr>
            </w:pPr>
            <w:r>
              <w:rPr>
                <w:rFonts w:ascii="宋体" w:hAnsi="宋体" w:cs="宋体" w:eastAsia="宋体" w:hint="default"/>
                <w:sz w:val="18"/>
                <w:szCs w:val="18"/>
              </w:rPr>
              <w:t>开发、技术咨询 等</w:t>
            </w:r>
          </w:p>
        </w:tc>
      </w:tr>
      <w:tr>
        <w:trPr>
          <w:trHeight w:val="718" w:hRule="exact"/>
        </w:trPr>
        <w:tc>
          <w:tcPr>
            <w:tcW w:w="13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90"/>
              <w:jc w:val="left"/>
              <w:rPr>
                <w:rFonts w:ascii="宋体" w:hAnsi="宋体" w:cs="宋体" w:eastAsia="宋体" w:hint="default"/>
                <w:sz w:val="18"/>
                <w:szCs w:val="18"/>
              </w:rPr>
            </w:pPr>
            <w:r>
              <w:rPr>
                <w:rFonts w:ascii="宋体" w:hAnsi="宋体" w:cs="宋体" w:eastAsia="宋体" w:hint="default"/>
                <w:spacing w:val="8"/>
                <w:sz w:val="18"/>
                <w:szCs w:val="18"/>
              </w:rPr>
              <w:t>重庆华尊生物 </w:t>
            </w:r>
            <w:r>
              <w:rPr>
                <w:rFonts w:ascii="宋体" w:hAnsi="宋体" w:cs="宋体" w:eastAsia="宋体" w:hint="default"/>
                <w:sz w:val="18"/>
                <w:szCs w:val="18"/>
              </w:rPr>
              <w:t>化学有限公司</w:t>
            </w:r>
          </w:p>
        </w:tc>
        <w:tc>
          <w:tcPr>
            <w:tcW w:w="13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09" w:right="138"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重庆北部新区经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36"/>
                <w:sz w:val="18"/>
                <w:szCs w:val="18"/>
              </w:rPr>
              <w:t>开园金</w:t>
            </w:r>
            <w:r>
              <w:rPr>
                <w:rFonts w:ascii="宋体" w:hAnsi="宋体" w:cs="宋体" w:eastAsia="宋体" w:hint="default"/>
                <w:spacing w:val="-33"/>
                <w:sz w:val="18"/>
                <w:szCs w:val="18"/>
              </w:rPr>
              <w:t> </w:t>
            </w:r>
            <w:r>
              <w:rPr>
                <w:rFonts w:ascii="宋体" w:hAnsi="宋体" w:cs="宋体" w:eastAsia="宋体" w:hint="default"/>
                <w:spacing w:val="27"/>
                <w:sz w:val="18"/>
                <w:szCs w:val="18"/>
              </w:rPr>
              <w:t>渝大</w:t>
            </w:r>
            <w:r>
              <w:rPr>
                <w:rFonts w:ascii="宋体" w:hAnsi="宋体" w:cs="宋体" w:eastAsia="宋体" w:hint="default"/>
                <w:spacing w:val="-33"/>
                <w:sz w:val="18"/>
                <w:szCs w:val="18"/>
              </w:rPr>
              <w:t> </w:t>
            </w:r>
            <w:r>
              <w:rPr>
                <w:rFonts w:ascii="宋体" w:hAnsi="宋体" w:cs="宋体" w:eastAsia="宋体" w:hint="default"/>
                <w:sz w:val="18"/>
                <w:szCs w:val="18"/>
              </w:rPr>
              <w:t>道</w:t>
            </w:r>
          </w:p>
          <w:p>
            <w:pPr>
              <w:pStyle w:val="TableParagraph"/>
              <w:spacing w:line="249" w:lineRule="exact"/>
              <w:ind w:left="100" w:right="0"/>
              <w:jc w:val="left"/>
              <w:rPr>
                <w:rFonts w:ascii="宋体" w:hAnsi="宋体" w:cs="宋体" w:eastAsia="宋体" w:hint="default"/>
                <w:sz w:val="18"/>
                <w:szCs w:val="18"/>
              </w:rPr>
            </w:pPr>
            <w:r>
              <w:rPr>
                <w:rFonts w:ascii="Century Gothic" w:hAnsi="Century Gothic" w:cs="Century Gothic" w:eastAsia="Century Gothic" w:hint="default"/>
                <w:sz w:val="18"/>
                <w:szCs w:val="18"/>
              </w:rPr>
              <w:t>102</w:t>
            </w:r>
            <w:r>
              <w:rPr>
                <w:rFonts w:ascii="Century Gothic" w:hAnsi="Century Gothic" w:cs="Century Gothic" w:eastAsia="Century Gothic" w:hint="default"/>
                <w:spacing w:val="-7"/>
                <w:sz w:val="18"/>
                <w:szCs w:val="18"/>
              </w:rPr>
              <w:t> </w:t>
            </w:r>
            <w:r>
              <w:rPr>
                <w:rFonts w:ascii="宋体" w:hAnsi="宋体" w:cs="宋体" w:eastAsia="宋体" w:hint="default"/>
                <w:sz w:val="18"/>
                <w:szCs w:val="18"/>
              </w:rPr>
              <w:t>号附</w:t>
            </w:r>
            <w:r>
              <w:rPr>
                <w:rFonts w:ascii="宋体" w:hAnsi="宋体" w:cs="宋体" w:eastAsia="宋体" w:hint="default"/>
                <w:spacing w:val="-46"/>
                <w:sz w:val="18"/>
                <w:szCs w:val="18"/>
              </w:rPr>
              <w:t> </w:t>
            </w:r>
            <w:r>
              <w:rPr>
                <w:rFonts w:ascii="Century Gothic" w:hAnsi="Century Gothic" w:cs="Century Gothic" w:eastAsia="Century Gothic" w:hint="default"/>
                <w:sz w:val="18"/>
                <w:szCs w:val="18"/>
              </w:rPr>
              <w:t>2</w:t>
            </w:r>
            <w:r>
              <w:rPr>
                <w:rFonts w:ascii="Century Gothic" w:hAnsi="Century Gothic" w:cs="Century Gothic" w:eastAsia="Century Gothic" w:hint="default"/>
                <w:spacing w:val="-7"/>
                <w:sz w:val="18"/>
                <w:szCs w:val="18"/>
              </w:rPr>
              <w:t> </w:t>
            </w:r>
            <w:r>
              <w:rPr>
                <w:rFonts w:ascii="宋体" w:hAnsi="宋体" w:cs="宋体" w:eastAsia="宋体" w:hint="default"/>
                <w:sz w:val="18"/>
                <w:szCs w:val="18"/>
              </w:rPr>
              <w:t>号</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100.00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刘永源</w:t>
            </w:r>
          </w:p>
        </w:tc>
        <w:tc>
          <w:tcPr>
            <w:tcW w:w="1470"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研发、生产、销</w:t>
            </w:r>
          </w:p>
          <w:p>
            <w:pPr>
              <w:pStyle w:val="TableParagraph"/>
              <w:spacing w:line="240" w:lineRule="auto"/>
              <w:ind w:left="100" w:right="101"/>
              <w:jc w:val="left"/>
              <w:rPr>
                <w:rFonts w:ascii="宋体" w:hAnsi="宋体" w:cs="宋体" w:eastAsia="宋体" w:hint="default"/>
                <w:sz w:val="18"/>
                <w:szCs w:val="18"/>
              </w:rPr>
            </w:pPr>
            <w:r>
              <w:rPr>
                <w:rFonts w:ascii="宋体" w:hAnsi="宋体" w:cs="宋体" w:eastAsia="宋体" w:hint="default"/>
                <w:sz w:val="18"/>
                <w:szCs w:val="18"/>
              </w:rPr>
              <w:t>售化学中间体、 植物中间体</w:t>
            </w:r>
          </w:p>
        </w:tc>
      </w:tr>
      <w:tr>
        <w:trPr>
          <w:trHeight w:val="299" w:hRule="exact"/>
        </w:trPr>
        <w:tc>
          <w:tcPr>
            <w:tcW w:w="1352" w:type="dxa"/>
            <w:vMerge w:val="restart"/>
            <w:tcBorders>
              <w:top w:val="single" w:sz="6" w:space="0" w:color="000000"/>
              <w:left w:val="nil" w:sz="6" w:space="0" w:color="auto"/>
              <w:right w:val="single" w:sz="6" w:space="0" w:color="000000"/>
            </w:tcBorders>
          </w:tcPr>
          <w:p>
            <w:pPr>
              <w:pStyle w:val="TableParagraph"/>
              <w:spacing w:line="235" w:lineRule="exact" w:before="20"/>
              <w:ind w:left="232"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35" w:lineRule="exact"/>
              <w:ind w:left="322"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Century Gothic" w:hAnsi="Century Gothic" w:cs="Century Gothic" w:eastAsia="Century Gothic" w:hint="default"/>
                <w:sz w:val="18"/>
                <w:szCs w:val="18"/>
              </w:rPr>
              <w:t>%</w:t>
            </w:r>
            <w:r>
              <w:rPr>
                <w:rFonts w:ascii="宋体" w:hAnsi="宋体" w:cs="宋体" w:eastAsia="宋体" w:hint="default"/>
                <w:sz w:val="18"/>
                <w:szCs w:val="18"/>
              </w:rPr>
              <w:t>）</w:t>
            </w:r>
          </w:p>
        </w:tc>
        <w:tc>
          <w:tcPr>
            <w:tcW w:w="1576" w:type="dxa"/>
            <w:vMerge w:val="restart"/>
            <w:tcBorders>
              <w:top w:val="single" w:sz="6" w:space="0" w:color="000000"/>
              <w:left w:val="single" w:sz="6" w:space="0" w:color="000000"/>
              <w:right w:val="single" w:sz="6" w:space="0" w:color="000000"/>
            </w:tcBorders>
          </w:tcPr>
          <w:p>
            <w:pPr>
              <w:pStyle w:val="TableParagraph"/>
              <w:spacing w:line="240" w:lineRule="auto" w:before="137"/>
              <w:ind w:left="100" w:right="0"/>
              <w:jc w:val="left"/>
              <w:rPr>
                <w:rFonts w:ascii="宋体" w:hAnsi="宋体" w:cs="宋体" w:eastAsia="宋体" w:hint="default"/>
                <w:sz w:val="18"/>
                <w:szCs w:val="18"/>
              </w:rPr>
            </w:pPr>
            <w:r>
              <w:rPr>
                <w:rFonts w:ascii="宋体" w:hAnsi="宋体" w:cs="宋体" w:eastAsia="宋体" w:hint="default"/>
                <w:sz w:val="18"/>
                <w:szCs w:val="18"/>
              </w:rPr>
              <w:t>表决权比例（</w:t>
            </w:r>
            <w:r>
              <w:rPr>
                <w:rFonts w:ascii="Century Gothic" w:hAnsi="Century Gothic" w:cs="Century Gothic" w:eastAsia="Century Gothic" w:hint="default"/>
                <w:sz w:val="18"/>
                <w:szCs w:val="18"/>
              </w:rPr>
              <w:t>%</w:t>
            </w:r>
            <w:r>
              <w:rPr>
                <w:rFonts w:ascii="宋体" w:hAnsi="宋体" w:cs="宋体" w:eastAsia="宋体" w:hint="default"/>
                <w:sz w:val="18"/>
                <w:szCs w:val="18"/>
              </w:rPr>
              <w:t>）</w:t>
            </w:r>
          </w:p>
        </w:tc>
        <w:tc>
          <w:tcPr>
            <w:tcW w:w="1177" w:type="dxa"/>
            <w:vMerge w:val="restart"/>
            <w:tcBorders>
              <w:top w:val="single" w:sz="6" w:space="0" w:color="000000"/>
              <w:left w:val="single" w:sz="6" w:space="0" w:color="000000"/>
              <w:right w:val="single" w:sz="6" w:space="0" w:color="000000"/>
            </w:tcBorders>
          </w:tcPr>
          <w:p>
            <w:pPr>
              <w:pStyle w:val="TableParagraph"/>
              <w:spacing w:line="240" w:lineRule="auto" w:before="20"/>
              <w:ind w:left="400" w:right="131" w:hanging="270"/>
              <w:jc w:val="left"/>
              <w:rPr>
                <w:rFonts w:ascii="宋体" w:hAnsi="宋体" w:cs="宋体" w:eastAsia="宋体" w:hint="default"/>
                <w:sz w:val="18"/>
                <w:szCs w:val="18"/>
              </w:rPr>
            </w:pPr>
            <w:r>
              <w:rPr>
                <w:rFonts w:ascii="宋体" w:hAnsi="宋体" w:cs="宋体" w:eastAsia="宋体" w:hint="default"/>
                <w:sz w:val="18"/>
                <w:szCs w:val="18"/>
              </w:rPr>
              <w:t>年末实际出 资额</w:t>
            </w:r>
          </w:p>
        </w:tc>
        <w:tc>
          <w:tcPr>
            <w:tcW w:w="2088" w:type="dxa"/>
            <w:gridSpan w:val="2"/>
            <w:vMerge w:val="restart"/>
            <w:tcBorders>
              <w:top w:val="single" w:sz="6" w:space="0" w:color="000000"/>
              <w:left w:val="single" w:sz="6" w:space="0" w:color="000000"/>
              <w:right w:val="single" w:sz="6" w:space="0" w:color="000000"/>
            </w:tcBorders>
          </w:tcPr>
          <w:p>
            <w:pPr>
              <w:pStyle w:val="TableParagraph"/>
              <w:spacing w:line="240" w:lineRule="auto" w:before="20"/>
              <w:ind w:left="226" w:right="134" w:hanging="90"/>
              <w:jc w:val="left"/>
              <w:rPr>
                <w:rFonts w:ascii="宋体" w:hAnsi="宋体" w:cs="宋体" w:eastAsia="宋体" w:hint="default"/>
                <w:sz w:val="18"/>
                <w:szCs w:val="18"/>
              </w:rPr>
            </w:pPr>
            <w:r>
              <w:rPr>
                <w:rFonts w:ascii="宋体" w:hAnsi="宋体" w:cs="宋体" w:eastAsia="宋体" w:hint="default"/>
                <w:sz w:val="18"/>
                <w:szCs w:val="18"/>
              </w:rPr>
              <w:t>实质上构成对子公司净 投资的其他项目余额</w:t>
            </w:r>
          </w:p>
        </w:tc>
        <w:tc>
          <w:tcPr>
            <w:tcW w:w="1470" w:type="dxa"/>
            <w:vMerge w:val="restart"/>
            <w:tcBorders>
              <w:top w:val="single" w:sz="6" w:space="0" w:color="000000"/>
              <w:left w:val="single" w:sz="6" w:space="0" w:color="000000"/>
              <w:right w:val="nil" w:sz="6" w:space="0" w:color="auto"/>
            </w:tcBorders>
          </w:tcPr>
          <w:p>
            <w:pPr>
              <w:pStyle w:val="TableParagraph"/>
              <w:spacing w:line="240" w:lineRule="auto" w:before="20"/>
              <w:ind w:left="547" w:right="553"/>
              <w:jc w:val="center"/>
              <w:rPr>
                <w:rFonts w:ascii="宋体" w:hAnsi="宋体" w:cs="宋体" w:eastAsia="宋体" w:hint="default"/>
                <w:sz w:val="18"/>
                <w:szCs w:val="18"/>
              </w:rPr>
            </w:pPr>
            <w:r>
              <w:rPr>
                <w:rFonts w:ascii="宋体" w:hAnsi="宋体" w:cs="宋体" w:eastAsia="宋体" w:hint="default"/>
                <w:sz w:val="18"/>
                <w:szCs w:val="18"/>
              </w:rPr>
              <w:t>是否 合并</w:t>
            </w:r>
          </w:p>
        </w:tc>
      </w:tr>
      <w:tr>
        <w:trPr>
          <w:trHeight w:val="299" w:hRule="exact"/>
        </w:trPr>
        <w:tc>
          <w:tcPr>
            <w:tcW w:w="1352" w:type="dxa"/>
            <w:vMerge/>
            <w:tcBorders>
              <w:left w:val="nil" w:sz="6" w:space="0" w:color="auto"/>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4" w:space="0" w:color="000000"/>
            </w:tcBorders>
          </w:tcPr>
          <w:p>
            <w:pPr>
              <w:pStyle w:val="TableParagraph"/>
              <w:spacing w:line="231" w:lineRule="exact"/>
              <w:ind w:left="116"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64" w:type="dxa"/>
            <w:tcBorders>
              <w:top w:val="single" w:sz="6" w:space="0" w:color="000000"/>
              <w:left w:val="single" w:sz="4" w:space="0" w:color="000000"/>
              <w:bottom w:val="single" w:sz="6" w:space="0" w:color="000000"/>
              <w:right w:val="single" w:sz="6"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576" w:type="dxa"/>
            <w:vMerge/>
            <w:tcBorders>
              <w:left w:val="single" w:sz="6" w:space="0" w:color="000000"/>
              <w:bottom w:val="single" w:sz="6" w:space="0" w:color="000000"/>
              <w:right w:val="single" w:sz="6" w:space="0" w:color="000000"/>
            </w:tcBorders>
          </w:tcPr>
          <w:p>
            <w:pPr/>
          </w:p>
        </w:tc>
        <w:tc>
          <w:tcPr>
            <w:tcW w:w="1177" w:type="dxa"/>
            <w:vMerge/>
            <w:tcBorders>
              <w:left w:val="single" w:sz="6" w:space="0" w:color="000000"/>
              <w:bottom w:val="single" w:sz="6" w:space="0" w:color="000000"/>
              <w:right w:val="single" w:sz="6" w:space="0" w:color="000000"/>
            </w:tcBorders>
          </w:tcPr>
          <w:p>
            <w:pPr/>
          </w:p>
        </w:tc>
        <w:tc>
          <w:tcPr>
            <w:tcW w:w="2088" w:type="dxa"/>
            <w:gridSpan w:val="2"/>
            <w:vMerge/>
            <w:tcBorders>
              <w:left w:val="single" w:sz="6" w:space="0" w:color="000000"/>
              <w:bottom w:val="single" w:sz="6" w:space="0" w:color="000000"/>
              <w:right w:val="single" w:sz="6" w:space="0" w:color="000000"/>
            </w:tcBorders>
          </w:tcPr>
          <w:p>
            <w:pPr/>
          </w:p>
        </w:tc>
        <w:tc>
          <w:tcPr>
            <w:tcW w:w="1470" w:type="dxa"/>
            <w:vMerge/>
            <w:tcBorders>
              <w:left w:val="single" w:sz="6" w:space="0" w:color="000000"/>
              <w:bottom w:val="single" w:sz="6" w:space="0" w:color="000000"/>
              <w:right w:val="nil" w:sz="6" w:space="0" w:color="auto"/>
            </w:tcBorders>
          </w:tcPr>
          <w:p>
            <w:pPr/>
          </w:p>
        </w:tc>
      </w:tr>
      <w:tr>
        <w:trPr>
          <w:trHeight w:val="482" w:hRule="exact"/>
        </w:trPr>
        <w:tc>
          <w:tcPr>
            <w:tcW w:w="135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42" w:right="0"/>
              <w:jc w:val="left"/>
              <w:rPr>
                <w:rFonts w:ascii="宋体" w:hAnsi="宋体" w:cs="宋体" w:eastAsia="宋体" w:hint="default"/>
                <w:sz w:val="18"/>
                <w:szCs w:val="18"/>
              </w:rPr>
            </w:pPr>
            <w:r>
              <w:rPr>
                <w:rFonts w:ascii="宋体" w:hAnsi="宋体" w:cs="宋体" w:eastAsia="宋体" w:hint="default"/>
                <w:sz w:val="18"/>
                <w:szCs w:val="18"/>
              </w:rPr>
              <w:t>杭州蓝创电力</w:t>
            </w:r>
          </w:p>
          <w:p>
            <w:pPr>
              <w:pStyle w:val="TableParagraph"/>
              <w:spacing w:line="235" w:lineRule="exact"/>
              <w:ind w:left="14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610" w:type="dxa"/>
            <w:tcBorders>
              <w:top w:val="single" w:sz="6" w:space="0" w:color="000000"/>
              <w:left w:val="single" w:sz="6" w:space="0" w:color="000000"/>
              <w:bottom w:val="single" w:sz="6" w:space="0" w:color="000000"/>
              <w:right w:val="single" w:sz="4" w:space="0" w:color="000000"/>
            </w:tcBorders>
          </w:tcPr>
          <w:p>
            <w:pPr/>
          </w:p>
        </w:tc>
        <w:tc>
          <w:tcPr>
            <w:tcW w:w="7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5"/>
              <w:ind w:left="1" w:right="0"/>
              <w:jc w:val="center"/>
              <w:rPr>
                <w:rFonts w:ascii="Century Gothic" w:hAnsi="Century Gothic" w:cs="Century Gothic" w:eastAsia="Century Gothic" w:hint="default"/>
                <w:sz w:val="18"/>
                <w:szCs w:val="18"/>
              </w:rPr>
            </w:pPr>
            <w:r>
              <w:rPr>
                <w:rFonts w:ascii="Century Gothic"/>
                <w:sz w:val="18"/>
              </w:rPr>
              <w:t>100.00</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100.00</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357" w:right="0"/>
              <w:jc w:val="left"/>
              <w:rPr>
                <w:rFonts w:ascii="Century Gothic" w:hAnsi="Century Gothic" w:cs="Century Gothic" w:eastAsia="Century Gothic" w:hint="default"/>
                <w:sz w:val="18"/>
                <w:szCs w:val="18"/>
              </w:rPr>
            </w:pPr>
            <w:r>
              <w:rPr>
                <w:rFonts w:ascii="Century Gothic"/>
                <w:sz w:val="18"/>
              </w:rPr>
              <w:t>30.00</w:t>
            </w:r>
          </w:p>
        </w:tc>
        <w:tc>
          <w:tcPr>
            <w:tcW w:w="2088" w:type="dxa"/>
            <w:gridSpan w:val="2"/>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4" w:hRule="exact"/>
        </w:trPr>
        <w:tc>
          <w:tcPr>
            <w:tcW w:w="135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42" w:right="0"/>
              <w:jc w:val="left"/>
              <w:rPr>
                <w:rFonts w:ascii="宋体" w:hAnsi="宋体" w:cs="宋体" w:eastAsia="宋体" w:hint="default"/>
                <w:sz w:val="18"/>
                <w:szCs w:val="18"/>
              </w:rPr>
            </w:pPr>
            <w:r>
              <w:rPr>
                <w:rFonts w:ascii="宋体" w:hAnsi="宋体" w:cs="宋体" w:eastAsia="宋体" w:hint="default"/>
                <w:sz w:val="18"/>
                <w:szCs w:val="18"/>
              </w:rPr>
              <w:t>重庆华尊生物</w:t>
            </w:r>
          </w:p>
          <w:p>
            <w:pPr>
              <w:pStyle w:val="TableParagraph"/>
              <w:spacing w:line="235" w:lineRule="exact"/>
              <w:ind w:left="142" w:right="0"/>
              <w:jc w:val="left"/>
              <w:rPr>
                <w:rFonts w:ascii="宋体" w:hAnsi="宋体" w:cs="宋体" w:eastAsia="宋体" w:hint="default"/>
                <w:sz w:val="18"/>
                <w:szCs w:val="18"/>
              </w:rPr>
            </w:pPr>
            <w:r>
              <w:rPr>
                <w:rFonts w:ascii="宋体" w:hAnsi="宋体" w:cs="宋体" w:eastAsia="宋体" w:hint="default"/>
                <w:sz w:val="18"/>
                <w:szCs w:val="18"/>
              </w:rPr>
              <w:t>化学有限公司</w:t>
            </w:r>
          </w:p>
        </w:tc>
        <w:tc>
          <w:tcPr>
            <w:tcW w:w="610" w:type="dxa"/>
            <w:tcBorders>
              <w:top w:val="single" w:sz="6" w:space="0" w:color="000000"/>
              <w:left w:val="single" w:sz="6" w:space="0" w:color="000000"/>
              <w:bottom w:val="single" w:sz="6" w:space="0" w:color="000000"/>
              <w:right w:val="single" w:sz="4" w:space="0" w:color="000000"/>
            </w:tcBorders>
          </w:tcPr>
          <w:p>
            <w:pPr/>
          </w:p>
        </w:tc>
        <w:tc>
          <w:tcPr>
            <w:tcW w:w="76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25"/>
              <w:ind w:left="1" w:right="0"/>
              <w:jc w:val="center"/>
              <w:rPr>
                <w:rFonts w:ascii="Century Gothic" w:hAnsi="Century Gothic" w:cs="Century Gothic" w:eastAsia="Century Gothic" w:hint="default"/>
                <w:sz w:val="18"/>
                <w:szCs w:val="18"/>
              </w:rPr>
            </w:pPr>
            <w:r>
              <w:rPr>
                <w:rFonts w:ascii="Century Gothic"/>
                <w:sz w:val="18"/>
              </w:rPr>
              <w:t>100.00</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100.00</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306" w:right="0"/>
              <w:jc w:val="left"/>
              <w:rPr>
                <w:rFonts w:ascii="Century Gothic" w:hAnsi="Century Gothic" w:cs="Century Gothic" w:eastAsia="Century Gothic" w:hint="default"/>
                <w:sz w:val="18"/>
                <w:szCs w:val="18"/>
              </w:rPr>
            </w:pPr>
            <w:r>
              <w:rPr>
                <w:rFonts w:ascii="Century Gothic"/>
                <w:sz w:val="18"/>
              </w:rPr>
              <w:t>100.00</w:t>
            </w:r>
          </w:p>
        </w:tc>
        <w:tc>
          <w:tcPr>
            <w:tcW w:w="2088" w:type="dxa"/>
            <w:gridSpan w:val="2"/>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184" w:hRule="exact"/>
        </w:trPr>
        <w:tc>
          <w:tcPr>
            <w:tcW w:w="13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35" w:lineRule="exact"/>
              <w:ind w:left="232"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35" w:lineRule="exact"/>
              <w:ind w:left="322"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3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490" w:right="130"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0" w:right="158"/>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2322" w:type="dxa"/>
            <w:gridSpan w:val="2"/>
            <w:tcBorders>
              <w:top w:val="single" w:sz="6" w:space="0" w:color="000000"/>
              <w:left w:val="single" w:sz="6" w:space="0" w:color="000000"/>
              <w:bottom w:val="single" w:sz="6" w:space="0" w:color="000000"/>
              <w:right w:val="nil" w:sz="6" w:space="0" w:color="auto"/>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从母公司所有者权益冲减</w:t>
            </w:r>
          </w:p>
          <w:p>
            <w:pPr>
              <w:pStyle w:val="TableParagraph"/>
              <w:spacing w:line="240" w:lineRule="auto"/>
              <w:ind w:left="164" w:right="168"/>
              <w:jc w:val="center"/>
              <w:rPr>
                <w:rFonts w:ascii="宋体" w:hAnsi="宋体" w:cs="宋体" w:eastAsia="宋体" w:hint="default"/>
                <w:sz w:val="18"/>
                <w:szCs w:val="18"/>
              </w:rPr>
            </w:pPr>
            <w:r>
              <w:rPr>
                <w:rFonts w:ascii="宋体" w:hAnsi="宋体" w:cs="宋体" w:eastAsia="宋体" w:hint="default"/>
                <w:sz w:val="18"/>
                <w:szCs w:val="18"/>
              </w:rPr>
              <w:t>子公司少数股东分担的本 期亏损超过少数股东在该 子公司期初所有者权益中 所享有份额后的余额</w:t>
            </w:r>
          </w:p>
        </w:tc>
      </w:tr>
      <w:tr>
        <w:trPr>
          <w:trHeight w:val="484" w:hRule="exact"/>
        </w:trPr>
        <w:tc>
          <w:tcPr>
            <w:tcW w:w="135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42" w:right="0"/>
              <w:jc w:val="left"/>
              <w:rPr>
                <w:rFonts w:ascii="宋体" w:hAnsi="宋体" w:cs="宋体" w:eastAsia="宋体" w:hint="default"/>
                <w:sz w:val="18"/>
                <w:szCs w:val="18"/>
              </w:rPr>
            </w:pPr>
            <w:r>
              <w:rPr>
                <w:rFonts w:ascii="宋体" w:hAnsi="宋体" w:cs="宋体" w:eastAsia="宋体" w:hint="default"/>
                <w:sz w:val="18"/>
                <w:szCs w:val="18"/>
              </w:rPr>
              <w:t>杭州蓝创电力</w:t>
            </w:r>
          </w:p>
          <w:p>
            <w:pPr>
              <w:pStyle w:val="TableParagraph"/>
              <w:spacing w:line="235" w:lineRule="exact"/>
              <w:ind w:left="142"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3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69459331-3</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64" w:right="0"/>
              <w:jc w:val="left"/>
              <w:rPr>
                <w:rFonts w:ascii="Century Gothic" w:hAnsi="Century Gothic" w:cs="Century Gothic" w:eastAsia="Century Gothic" w:hint="default"/>
                <w:sz w:val="18"/>
                <w:szCs w:val="18"/>
              </w:rPr>
            </w:pPr>
            <w:r>
              <w:rPr>
                <w:rFonts w:ascii="Century Gothic"/>
                <w:sz w:val="18"/>
              </w:rPr>
              <w:t>127,565.78</w:t>
            </w:r>
          </w:p>
        </w:tc>
        <w:tc>
          <w:tcPr>
            <w:tcW w:w="1236" w:type="dxa"/>
            <w:tcBorders>
              <w:top w:val="single" w:sz="6" w:space="0" w:color="000000"/>
              <w:left w:val="single" w:sz="6" w:space="0" w:color="000000"/>
              <w:bottom w:val="single" w:sz="6" w:space="0" w:color="000000"/>
              <w:right w:val="single" w:sz="6" w:space="0" w:color="000000"/>
            </w:tcBorders>
          </w:tcPr>
          <w:p>
            <w:pPr/>
          </w:p>
        </w:tc>
        <w:tc>
          <w:tcPr>
            <w:tcW w:w="2322" w:type="dxa"/>
            <w:gridSpan w:val="2"/>
            <w:tcBorders>
              <w:top w:val="single" w:sz="6" w:space="0" w:color="000000"/>
              <w:left w:val="single" w:sz="6" w:space="0" w:color="000000"/>
              <w:bottom w:val="single" w:sz="6" w:space="0" w:color="000000"/>
              <w:right w:val="nil" w:sz="6" w:space="0" w:color="auto"/>
            </w:tcBorders>
          </w:tcPr>
          <w:p>
            <w:pPr/>
          </w:p>
        </w:tc>
      </w:tr>
      <w:tr>
        <w:trPr>
          <w:trHeight w:val="490" w:hRule="exact"/>
        </w:trPr>
        <w:tc>
          <w:tcPr>
            <w:tcW w:w="1352"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42" w:right="0"/>
              <w:jc w:val="left"/>
              <w:rPr>
                <w:rFonts w:ascii="宋体" w:hAnsi="宋体" w:cs="宋体" w:eastAsia="宋体" w:hint="default"/>
                <w:sz w:val="18"/>
                <w:szCs w:val="18"/>
              </w:rPr>
            </w:pPr>
            <w:r>
              <w:rPr>
                <w:rFonts w:ascii="宋体" w:hAnsi="宋体" w:cs="宋体" w:eastAsia="宋体" w:hint="default"/>
                <w:sz w:val="18"/>
                <w:szCs w:val="18"/>
              </w:rPr>
              <w:t>重庆华尊生物</w:t>
            </w:r>
          </w:p>
          <w:p>
            <w:pPr>
              <w:pStyle w:val="TableParagraph"/>
              <w:spacing w:line="235" w:lineRule="exact"/>
              <w:ind w:left="142" w:right="0"/>
              <w:jc w:val="left"/>
              <w:rPr>
                <w:rFonts w:ascii="宋体" w:hAnsi="宋体" w:cs="宋体" w:eastAsia="宋体" w:hint="default"/>
                <w:sz w:val="18"/>
                <w:szCs w:val="18"/>
              </w:rPr>
            </w:pPr>
            <w:r>
              <w:rPr>
                <w:rFonts w:ascii="宋体" w:hAnsi="宋体" w:cs="宋体" w:eastAsia="宋体" w:hint="default"/>
                <w:sz w:val="18"/>
                <w:szCs w:val="18"/>
              </w:rPr>
              <w:t>化学有限公司</w:t>
            </w:r>
          </w:p>
        </w:tc>
        <w:tc>
          <w:tcPr>
            <w:tcW w:w="137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31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67869750-X</w:t>
            </w:r>
          </w:p>
        </w:tc>
        <w:tc>
          <w:tcPr>
            <w:tcW w:w="1177" w:type="dxa"/>
            <w:tcBorders>
              <w:top w:val="single" w:sz="6" w:space="0" w:color="000000"/>
              <w:left w:val="single" w:sz="6" w:space="0" w:color="000000"/>
              <w:bottom w:val="single" w:sz="12" w:space="0" w:color="000000"/>
              <w:right w:val="single" w:sz="6" w:space="0" w:color="000000"/>
            </w:tcBorders>
          </w:tcPr>
          <w:p>
            <w:pPr/>
          </w:p>
        </w:tc>
        <w:tc>
          <w:tcPr>
            <w:tcW w:w="1236" w:type="dxa"/>
            <w:tcBorders>
              <w:top w:val="single" w:sz="6" w:space="0" w:color="000000"/>
              <w:left w:val="single" w:sz="6" w:space="0" w:color="000000"/>
              <w:bottom w:val="single" w:sz="12" w:space="0" w:color="000000"/>
              <w:right w:val="single" w:sz="6" w:space="0" w:color="000000"/>
            </w:tcBorders>
          </w:tcPr>
          <w:p>
            <w:pPr/>
          </w:p>
        </w:tc>
        <w:tc>
          <w:tcPr>
            <w:tcW w:w="2322" w:type="dxa"/>
            <w:gridSpan w:val="2"/>
            <w:tcBorders>
              <w:top w:val="single" w:sz="6" w:space="0" w:color="000000"/>
              <w:left w:val="single" w:sz="6" w:space="0" w:color="000000"/>
              <w:bottom w:val="single" w:sz="12" w:space="0" w:color="000000"/>
              <w:right w:val="nil" w:sz="6" w:space="0" w:color="auto"/>
            </w:tcBorders>
          </w:tcPr>
          <w:p>
            <w:pPr/>
          </w:p>
        </w:tc>
      </w:tr>
    </w:tbl>
    <w:p>
      <w:pPr>
        <w:pStyle w:val="Heading4"/>
        <w:spacing w:line="240" w:lineRule="auto" w:before="86"/>
        <w:ind w:right="152"/>
        <w:jc w:val="left"/>
        <w:rPr>
          <w:rFonts w:ascii="宋体" w:hAnsi="宋体" w:cs="宋体" w:eastAsia="宋体" w:hint="default"/>
          <w:b w:val="0"/>
          <w:bCs w:val="0"/>
        </w:rPr>
      </w:pPr>
      <w:r>
        <w:rPr>
          <w:rFonts w:ascii="Century Gothic" w:hAnsi="Century Gothic" w:cs="Century Gothic" w:eastAsia="Century Gothic" w:hint="default"/>
        </w:rPr>
        <w:t>2.</w:t>
      </w:r>
      <w:r>
        <w:rPr>
          <w:rFonts w:ascii="Century Gothic" w:hAnsi="Century Gothic" w:cs="Century Gothic" w:eastAsia="Century Gothic" w:hint="default"/>
          <w:spacing w:val="4"/>
        </w:rPr>
        <w:t> </w:t>
      </w:r>
      <w:r>
        <w:rPr>
          <w:rFonts w:ascii="宋体" w:hAnsi="宋体" w:cs="宋体" w:eastAsia="宋体" w:hint="default"/>
        </w:rPr>
        <w:t>同一控制下的企业合并取得的子公司</w:t>
      </w:r>
      <w:r>
        <w:rPr>
          <w:rFonts w:ascii="宋体" w:hAnsi="宋体" w:cs="宋体" w:eastAsia="宋体" w:hint="default"/>
          <w:b w:val="0"/>
          <w:bCs w:val="0"/>
        </w:rPr>
      </w:r>
    </w:p>
    <w:p>
      <w:pPr>
        <w:spacing w:line="240" w:lineRule="auto" w:before="9"/>
        <w:rPr>
          <w:rFonts w:ascii="宋体" w:hAnsi="宋体" w:cs="宋体" w:eastAsia="宋体" w:hint="default"/>
          <w:b/>
          <w:bCs/>
          <w:sz w:val="11"/>
          <w:szCs w:val="11"/>
        </w:rPr>
      </w:pPr>
    </w:p>
    <w:tbl>
      <w:tblPr>
        <w:tblW w:w="0" w:type="auto"/>
        <w:jc w:val="left"/>
        <w:tblInd w:w="184" w:type="dxa"/>
        <w:tblLayout w:type="fixed"/>
        <w:tblCellMar>
          <w:top w:w="0" w:type="dxa"/>
          <w:left w:w="0" w:type="dxa"/>
          <w:bottom w:w="0" w:type="dxa"/>
          <w:right w:w="0" w:type="dxa"/>
        </w:tblCellMar>
        <w:tblLook w:val="01E0"/>
      </w:tblPr>
      <w:tblGrid>
        <w:gridCol w:w="1250"/>
        <w:gridCol w:w="1484"/>
        <w:gridCol w:w="1223"/>
        <w:gridCol w:w="1463"/>
        <w:gridCol w:w="1342"/>
        <w:gridCol w:w="680"/>
        <w:gridCol w:w="1625"/>
      </w:tblGrid>
      <w:tr>
        <w:trPr>
          <w:trHeight w:val="613" w:hRule="exact"/>
        </w:trPr>
        <w:tc>
          <w:tcPr>
            <w:tcW w:w="1250" w:type="dxa"/>
            <w:tcBorders>
              <w:top w:val="single" w:sz="12" w:space="0" w:color="000000"/>
              <w:left w:val="nil" w:sz="6" w:space="0" w:color="auto"/>
              <w:bottom w:val="single" w:sz="12" w:space="0" w:color="000000"/>
              <w:right w:val="single" w:sz="6" w:space="0" w:color="000000"/>
            </w:tcBorders>
          </w:tcPr>
          <w:p>
            <w:pPr>
              <w:pStyle w:val="TableParagraph"/>
              <w:spacing w:line="235" w:lineRule="exact" w:before="11"/>
              <w:ind w:left="171"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35" w:lineRule="exact"/>
              <w:ind w:left="261"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4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left="284"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2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left="33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4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left="36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9"/>
              <w:ind w:left="30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68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153" w:right="150"/>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162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29"/>
              <w:ind w:left="447" w:right="0"/>
              <w:jc w:val="left"/>
              <w:rPr>
                <w:rFonts w:ascii="宋体" w:hAnsi="宋体" w:cs="宋体" w:eastAsia="宋体" w:hint="default"/>
                <w:sz w:val="18"/>
                <w:szCs w:val="18"/>
              </w:rPr>
            </w:pPr>
            <w:r>
              <w:rPr>
                <w:rFonts w:ascii="宋体" w:hAnsi="宋体" w:cs="宋体" w:eastAsia="宋体" w:hint="default"/>
                <w:sz w:val="18"/>
                <w:szCs w:val="18"/>
              </w:rPr>
              <w:t>经营范围</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61</w:t>
      </w:r>
    </w:p>
    <w:p>
      <w:pPr>
        <w:spacing w:after="0"/>
        <w:jc w:val="center"/>
        <w:rPr>
          <w:rFonts w:ascii="Times New Roman" w:hAnsi="Times New Roman" w:cs="Times New Roman" w:eastAsia="Times New Roman" w:hint="default"/>
          <w:sz w:val="18"/>
          <w:szCs w:val="18"/>
        </w:rPr>
        <w:sectPr>
          <w:pgSz w:w="11910" w:h="16840"/>
          <w:pgMar w:top="780" w:bottom="280" w:left="1280" w:right="10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4624"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162" w:type="dxa"/>
        <w:tblLayout w:type="fixed"/>
        <w:tblCellMar>
          <w:top w:w="0" w:type="dxa"/>
          <w:left w:w="0" w:type="dxa"/>
          <w:bottom w:w="0" w:type="dxa"/>
          <w:right w:w="0" w:type="dxa"/>
        </w:tblCellMar>
        <w:tblLook w:val="01E0"/>
      </w:tblPr>
      <w:tblGrid>
        <w:gridCol w:w="1272"/>
        <w:gridCol w:w="720"/>
        <w:gridCol w:w="764"/>
        <w:gridCol w:w="1223"/>
        <w:gridCol w:w="1463"/>
        <w:gridCol w:w="1342"/>
        <w:gridCol w:w="680"/>
        <w:gridCol w:w="1632"/>
      </w:tblGrid>
      <w:tr>
        <w:trPr>
          <w:trHeight w:val="958" w:hRule="exact"/>
        </w:trPr>
        <w:tc>
          <w:tcPr>
            <w:tcW w:w="12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6"/>
              <w:ind w:left="122" w:right="61"/>
              <w:jc w:val="both"/>
              <w:rPr>
                <w:rFonts w:ascii="宋体" w:hAnsi="宋体" w:cs="宋体" w:eastAsia="宋体" w:hint="default"/>
                <w:sz w:val="18"/>
                <w:szCs w:val="18"/>
              </w:rPr>
            </w:pPr>
            <w:r>
              <w:rPr>
                <w:rFonts w:ascii="宋体" w:hAnsi="宋体" w:cs="宋体" w:eastAsia="宋体" w:hint="default"/>
                <w:spacing w:val="24"/>
                <w:sz w:val="18"/>
                <w:szCs w:val="18"/>
              </w:rPr>
              <w:t>华立仪</w:t>
            </w:r>
            <w:r>
              <w:rPr>
                <w:rFonts w:ascii="宋体" w:hAnsi="宋体" w:cs="宋体" w:eastAsia="宋体" w:hint="default"/>
                <w:spacing w:val="-56"/>
                <w:sz w:val="18"/>
                <w:szCs w:val="18"/>
              </w:rPr>
              <w:t> </w:t>
            </w:r>
            <w:r>
              <w:rPr>
                <w:rFonts w:ascii="宋体" w:hAnsi="宋体" w:cs="宋体" w:eastAsia="宋体" w:hint="default"/>
                <w:spacing w:val="18"/>
                <w:sz w:val="18"/>
                <w:szCs w:val="18"/>
              </w:rPr>
              <w:t>表集</w:t>
            </w:r>
            <w:r>
              <w:rPr>
                <w:rFonts w:ascii="宋体" w:hAnsi="宋体" w:cs="宋体" w:eastAsia="宋体" w:hint="default"/>
                <w:spacing w:val="-54"/>
                <w:sz w:val="18"/>
                <w:szCs w:val="18"/>
              </w:rPr>
              <w:t> </w:t>
            </w:r>
            <w:r>
              <w:rPr>
                <w:rFonts w:ascii="宋体" w:hAnsi="宋体" w:cs="宋体" w:eastAsia="宋体" w:hint="default"/>
                <w:spacing w:val="24"/>
                <w:sz w:val="18"/>
                <w:szCs w:val="18"/>
              </w:rPr>
              <w:t>团股份</w:t>
            </w:r>
            <w:r>
              <w:rPr>
                <w:rFonts w:ascii="宋体" w:hAnsi="宋体" w:cs="宋体" w:eastAsia="宋体" w:hint="default"/>
                <w:spacing w:val="-56"/>
                <w:sz w:val="18"/>
                <w:szCs w:val="18"/>
              </w:rPr>
              <w:t> </w:t>
            </w:r>
            <w:r>
              <w:rPr>
                <w:rFonts w:ascii="宋体" w:hAnsi="宋体" w:cs="宋体" w:eastAsia="宋体" w:hint="default"/>
                <w:spacing w:val="18"/>
                <w:sz w:val="18"/>
                <w:szCs w:val="18"/>
              </w:rPr>
              <w:t>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148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b/>
                <w:bCs/>
                <w:sz w:val="24"/>
                <w:szCs w:val="24"/>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223"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20"/>
                <w:sz w:val="18"/>
                <w:szCs w:val="18"/>
              </w:rPr>
              <w:t>浙江省杭州</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00" w:right="73"/>
              <w:jc w:val="both"/>
              <w:rPr>
                <w:rFonts w:ascii="宋体" w:hAnsi="宋体" w:cs="宋体" w:eastAsia="宋体" w:hint="default"/>
                <w:sz w:val="18"/>
                <w:szCs w:val="18"/>
              </w:rPr>
            </w:pPr>
            <w:r>
              <w:rPr>
                <w:rFonts w:ascii="宋体" w:hAnsi="宋体" w:cs="宋体" w:eastAsia="宋体" w:hint="default"/>
                <w:spacing w:val="20"/>
                <w:sz w:val="18"/>
                <w:szCs w:val="18"/>
              </w:rPr>
              <w:t>市余杭区五</w:t>
            </w:r>
            <w:r>
              <w:rPr>
                <w:rFonts w:ascii="宋体" w:hAnsi="宋体" w:cs="宋体" w:eastAsia="宋体" w:hint="default"/>
                <w:spacing w:val="-86"/>
                <w:sz w:val="18"/>
                <w:szCs w:val="18"/>
              </w:rPr>
              <w:t> </w:t>
            </w:r>
            <w:r>
              <w:rPr>
                <w:rFonts w:ascii="宋体" w:hAnsi="宋体" w:cs="宋体" w:eastAsia="宋体" w:hint="default"/>
                <w:spacing w:val="20"/>
                <w:sz w:val="18"/>
                <w:szCs w:val="18"/>
              </w:rPr>
              <w:t>常街道五常</w:t>
            </w:r>
            <w:r>
              <w:rPr>
                <w:rFonts w:ascii="宋体" w:hAnsi="宋体" w:cs="宋体" w:eastAsia="宋体" w:hint="default"/>
                <w:spacing w:val="-86"/>
                <w:sz w:val="18"/>
                <w:szCs w:val="18"/>
              </w:rPr>
              <w:t> </w:t>
            </w:r>
            <w:r>
              <w:rPr>
                <w:rFonts w:ascii="宋体" w:hAnsi="宋体" w:cs="宋体" w:eastAsia="宋体" w:hint="default"/>
                <w:sz w:val="18"/>
                <w:szCs w:val="18"/>
              </w:rPr>
              <w:t>大道</w:t>
            </w:r>
            <w:r>
              <w:rPr>
                <w:rFonts w:ascii="宋体" w:hAnsi="宋体" w:cs="宋体" w:eastAsia="宋体" w:hint="default"/>
                <w:spacing w:val="-48"/>
                <w:sz w:val="18"/>
                <w:szCs w:val="18"/>
              </w:rPr>
              <w:t> </w:t>
            </w:r>
            <w:r>
              <w:rPr>
                <w:rFonts w:ascii="Century Gothic" w:hAnsi="Century Gothic" w:cs="Century Gothic" w:eastAsia="Century Gothic" w:hint="default"/>
                <w:sz w:val="18"/>
                <w:szCs w:val="18"/>
              </w:rPr>
              <w:t>181</w:t>
            </w:r>
            <w:r>
              <w:rPr>
                <w:rFonts w:ascii="Century Gothic" w:hAnsi="Century Gothic" w:cs="Century Gothic" w:eastAsia="Century Gothic" w:hint="default"/>
                <w:spacing w:val="-8"/>
                <w:sz w:val="18"/>
                <w:szCs w:val="18"/>
              </w:rPr>
              <w:t> </w:t>
            </w:r>
            <w:r>
              <w:rPr>
                <w:rFonts w:ascii="宋体" w:hAnsi="宋体" w:cs="宋体" w:eastAsia="宋体" w:hint="default"/>
                <w:sz w:val="18"/>
                <w:szCs w:val="18"/>
              </w:rPr>
              <w:t>号</w:t>
            </w:r>
          </w:p>
        </w:tc>
        <w:tc>
          <w:tcPr>
            <w:tcW w:w="14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3"/>
              <w:ind w:left="265" w:right="0"/>
              <w:jc w:val="left"/>
              <w:rPr>
                <w:rFonts w:ascii="Century Gothic" w:hAnsi="Century Gothic" w:cs="Century Gothic" w:eastAsia="Century Gothic" w:hint="default"/>
                <w:sz w:val="18"/>
                <w:szCs w:val="18"/>
              </w:rPr>
            </w:pPr>
            <w:r>
              <w:rPr>
                <w:rFonts w:ascii="Century Gothic"/>
                <w:sz w:val="18"/>
              </w:rPr>
              <w:t>18,155.28</w:t>
            </w:r>
          </w:p>
        </w:tc>
        <w:tc>
          <w:tcPr>
            <w:tcW w:w="68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243" w:right="150" w:hanging="90"/>
              <w:jc w:val="left"/>
              <w:rPr>
                <w:rFonts w:ascii="宋体" w:hAnsi="宋体" w:cs="宋体" w:eastAsia="宋体" w:hint="default"/>
                <w:sz w:val="18"/>
                <w:szCs w:val="18"/>
              </w:rPr>
            </w:pPr>
            <w:r>
              <w:rPr>
                <w:rFonts w:ascii="宋体" w:hAnsi="宋体" w:cs="宋体" w:eastAsia="宋体" w:hint="default"/>
                <w:sz w:val="18"/>
                <w:szCs w:val="18"/>
              </w:rPr>
              <w:t>刘浩 军</w:t>
            </w:r>
          </w:p>
        </w:tc>
        <w:tc>
          <w:tcPr>
            <w:tcW w:w="163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6"/>
              <w:ind w:left="100" w:right="79"/>
              <w:jc w:val="both"/>
              <w:rPr>
                <w:rFonts w:ascii="宋体" w:hAnsi="宋体" w:cs="宋体" w:eastAsia="宋体" w:hint="default"/>
                <w:sz w:val="18"/>
                <w:szCs w:val="18"/>
              </w:rPr>
            </w:pPr>
            <w:r>
              <w:rPr>
                <w:rFonts w:ascii="宋体" w:hAnsi="宋体" w:cs="宋体" w:eastAsia="宋体" w:hint="default"/>
                <w:spacing w:val="17"/>
                <w:sz w:val="18"/>
                <w:szCs w:val="18"/>
              </w:rPr>
              <w:t>电力仪</w:t>
            </w:r>
            <w:r>
              <w:rPr>
                <w:rFonts w:ascii="宋体" w:hAnsi="宋体" w:cs="宋体" w:eastAsia="宋体" w:hint="default"/>
                <w:spacing w:val="-65"/>
                <w:sz w:val="18"/>
                <w:szCs w:val="18"/>
              </w:rPr>
              <w:t> </w:t>
            </w:r>
            <w:r>
              <w:rPr>
                <w:rFonts w:ascii="宋体" w:hAnsi="宋体" w:cs="宋体" w:eastAsia="宋体" w:hint="default"/>
                <w:spacing w:val="13"/>
                <w:sz w:val="18"/>
                <w:szCs w:val="18"/>
              </w:rPr>
              <w:t>器仪</w:t>
            </w:r>
            <w:r>
              <w:rPr>
                <w:rFonts w:ascii="宋体" w:hAnsi="宋体" w:cs="宋体" w:eastAsia="宋体" w:hint="default"/>
                <w:spacing w:val="-65"/>
                <w:sz w:val="18"/>
                <w:szCs w:val="18"/>
              </w:rPr>
              <w:t> </w:t>
            </w:r>
            <w:r>
              <w:rPr>
                <w:rFonts w:ascii="宋体" w:hAnsi="宋体" w:cs="宋体" w:eastAsia="宋体" w:hint="default"/>
                <w:spacing w:val="13"/>
                <w:sz w:val="18"/>
                <w:szCs w:val="18"/>
              </w:rPr>
              <w:t>表及</w:t>
            </w:r>
            <w:r>
              <w:rPr>
                <w:rFonts w:ascii="宋体" w:hAnsi="宋体" w:cs="宋体" w:eastAsia="宋体" w:hint="default"/>
                <w:spacing w:val="-64"/>
                <w:sz w:val="18"/>
                <w:szCs w:val="18"/>
              </w:rPr>
              <w:t> </w:t>
            </w:r>
            <w:r>
              <w:rPr>
                <w:rFonts w:ascii="宋体" w:hAnsi="宋体" w:cs="宋体" w:eastAsia="宋体" w:hint="default"/>
                <w:spacing w:val="17"/>
                <w:sz w:val="18"/>
                <w:szCs w:val="18"/>
              </w:rPr>
              <w:t>元器件</w:t>
            </w:r>
            <w:r>
              <w:rPr>
                <w:rFonts w:ascii="宋体" w:hAnsi="宋体" w:cs="宋体" w:eastAsia="宋体" w:hint="default"/>
                <w:spacing w:val="-65"/>
                <w:sz w:val="18"/>
                <w:szCs w:val="18"/>
              </w:rPr>
              <w:t> </w:t>
            </w:r>
            <w:r>
              <w:rPr>
                <w:rFonts w:ascii="宋体" w:hAnsi="宋体" w:cs="宋体" w:eastAsia="宋体" w:hint="default"/>
                <w:spacing w:val="13"/>
                <w:sz w:val="18"/>
                <w:szCs w:val="18"/>
              </w:rPr>
              <w:t>的制</w:t>
            </w:r>
            <w:r>
              <w:rPr>
                <w:rFonts w:ascii="宋体" w:hAnsi="宋体" w:cs="宋体" w:eastAsia="宋体" w:hint="default"/>
                <w:spacing w:val="-65"/>
                <w:sz w:val="18"/>
                <w:szCs w:val="18"/>
              </w:rPr>
              <w:t> </w:t>
            </w:r>
            <w:r>
              <w:rPr>
                <w:rFonts w:ascii="宋体" w:hAnsi="宋体" w:cs="宋体" w:eastAsia="宋体" w:hint="default"/>
                <w:spacing w:val="13"/>
                <w:sz w:val="18"/>
                <w:szCs w:val="18"/>
              </w:rPr>
              <w:t>造销</w:t>
            </w:r>
            <w:r>
              <w:rPr>
                <w:rFonts w:ascii="宋体" w:hAnsi="宋体" w:cs="宋体" w:eastAsia="宋体" w:hint="default"/>
                <w:spacing w:val="-64"/>
                <w:sz w:val="18"/>
                <w:szCs w:val="18"/>
              </w:rPr>
              <w:t> </w:t>
            </w:r>
            <w:r>
              <w:rPr>
                <w:rFonts w:ascii="宋体" w:hAnsi="宋体" w:cs="宋体" w:eastAsia="宋体" w:hint="default"/>
                <w:sz w:val="18"/>
                <w:szCs w:val="18"/>
              </w:rPr>
              <w:t>售等</w:t>
            </w:r>
          </w:p>
        </w:tc>
      </w:tr>
      <w:tr>
        <w:trPr>
          <w:trHeight w:val="950"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61"/>
              <w:jc w:val="both"/>
              <w:rPr>
                <w:rFonts w:ascii="宋体" w:hAnsi="宋体" w:cs="宋体" w:eastAsia="宋体" w:hint="default"/>
                <w:sz w:val="18"/>
                <w:szCs w:val="18"/>
              </w:rPr>
            </w:pPr>
            <w:r>
              <w:rPr>
                <w:rFonts w:ascii="宋体" w:hAnsi="宋体" w:cs="宋体" w:eastAsia="宋体" w:hint="default"/>
                <w:spacing w:val="24"/>
                <w:sz w:val="18"/>
                <w:szCs w:val="18"/>
              </w:rPr>
              <w:t>杭州中</w:t>
            </w:r>
            <w:r>
              <w:rPr>
                <w:rFonts w:ascii="宋体" w:hAnsi="宋体" w:cs="宋体" w:eastAsia="宋体" w:hint="default"/>
                <w:spacing w:val="-56"/>
                <w:sz w:val="18"/>
                <w:szCs w:val="18"/>
              </w:rPr>
              <w:t> </w:t>
            </w:r>
            <w:r>
              <w:rPr>
                <w:rFonts w:ascii="宋体" w:hAnsi="宋体" w:cs="宋体" w:eastAsia="宋体" w:hint="default"/>
                <w:spacing w:val="18"/>
                <w:sz w:val="18"/>
                <w:szCs w:val="18"/>
              </w:rPr>
              <w:t>盛仪</w:t>
            </w:r>
            <w:r>
              <w:rPr>
                <w:rFonts w:ascii="宋体" w:hAnsi="宋体" w:cs="宋体" w:eastAsia="宋体" w:hint="default"/>
                <w:spacing w:val="-54"/>
                <w:sz w:val="18"/>
                <w:szCs w:val="18"/>
              </w:rPr>
              <w:t> </w:t>
            </w:r>
            <w:r>
              <w:rPr>
                <w:rFonts w:ascii="宋体" w:hAnsi="宋体" w:cs="宋体" w:eastAsia="宋体" w:hint="default"/>
                <w:spacing w:val="24"/>
                <w:sz w:val="18"/>
                <w:szCs w:val="18"/>
              </w:rPr>
              <w:t>器仪表</w:t>
            </w:r>
            <w:r>
              <w:rPr>
                <w:rFonts w:ascii="宋体" w:hAnsi="宋体" w:cs="宋体" w:eastAsia="宋体" w:hint="default"/>
                <w:spacing w:val="-56"/>
                <w:sz w:val="18"/>
                <w:szCs w:val="18"/>
              </w:rPr>
              <w:t> </w:t>
            </w:r>
            <w:r>
              <w:rPr>
                <w:rFonts w:ascii="宋体" w:hAnsi="宋体" w:cs="宋体" w:eastAsia="宋体" w:hint="default"/>
                <w:spacing w:val="18"/>
                <w:sz w:val="18"/>
                <w:szCs w:val="18"/>
              </w:rPr>
              <w:t>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554" w:right="103" w:hanging="450"/>
              <w:jc w:val="left"/>
              <w:rPr>
                <w:rFonts w:ascii="宋体" w:hAnsi="宋体" w:cs="宋体" w:eastAsia="宋体" w:hint="default"/>
                <w:sz w:val="18"/>
                <w:szCs w:val="18"/>
              </w:rPr>
            </w:pPr>
            <w:r>
              <w:rPr>
                <w:rFonts w:ascii="宋体" w:hAnsi="宋体" w:cs="宋体" w:eastAsia="宋体" w:hint="default"/>
                <w:sz w:val="18"/>
                <w:szCs w:val="18"/>
              </w:rPr>
              <w:t>控股子公司的子 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20"/>
                <w:sz w:val="18"/>
                <w:szCs w:val="18"/>
              </w:rPr>
              <w:t>浙江省杭州</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00" w:right="73"/>
              <w:jc w:val="both"/>
              <w:rPr>
                <w:rFonts w:ascii="宋体" w:hAnsi="宋体" w:cs="宋体" w:eastAsia="宋体" w:hint="default"/>
                <w:sz w:val="18"/>
                <w:szCs w:val="18"/>
              </w:rPr>
            </w:pPr>
            <w:r>
              <w:rPr>
                <w:rFonts w:ascii="宋体" w:hAnsi="宋体" w:cs="宋体" w:eastAsia="宋体" w:hint="default"/>
                <w:spacing w:val="20"/>
                <w:sz w:val="18"/>
                <w:szCs w:val="18"/>
              </w:rPr>
              <w:t>余杭区余杭</w:t>
            </w:r>
            <w:r>
              <w:rPr>
                <w:rFonts w:ascii="宋体" w:hAnsi="宋体" w:cs="宋体" w:eastAsia="宋体" w:hint="default"/>
                <w:spacing w:val="-86"/>
                <w:sz w:val="18"/>
                <w:szCs w:val="18"/>
              </w:rPr>
              <w:t> </w:t>
            </w:r>
            <w:r>
              <w:rPr>
                <w:rFonts w:ascii="宋体" w:hAnsi="宋体" w:cs="宋体" w:eastAsia="宋体" w:hint="default"/>
                <w:spacing w:val="20"/>
                <w:sz w:val="18"/>
                <w:szCs w:val="18"/>
              </w:rPr>
              <w:t>镇宝塔工业</w:t>
            </w:r>
            <w:r>
              <w:rPr>
                <w:rFonts w:ascii="宋体" w:hAnsi="宋体" w:cs="宋体" w:eastAsia="宋体" w:hint="default"/>
                <w:spacing w:val="-86"/>
                <w:sz w:val="18"/>
                <w:szCs w:val="18"/>
              </w:rPr>
              <w:t> </w:t>
            </w: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Century Gothic" w:hAnsi="Century Gothic" w:cs="Century Gothic" w:eastAsia="Century Gothic" w:hint="default"/>
                <w:sz w:val="18"/>
                <w:szCs w:val="18"/>
              </w:rPr>
              <w:t>8</w:t>
            </w:r>
            <w:r>
              <w:rPr>
                <w:rFonts w:ascii="Century Gothic" w:hAnsi="Century Gothic" w:cs="Century Gothic" w:eastAsia="Century Gothic" w:hint="default"/>
                <w:spacing w:val="-6"/>
                <w:sz w:val="18"/>
                <w:szCs w:val="18"/>
              </w:rPr>
              <w:t> </w:t>
            </w:r>
            <w:r>
              <w:rPr>
                <w:rFonts w:ascii="宋体" w:hAnsi="宋体" w:cs="宋体" w:eastAsia="宋体" w:hint="default"/>
                <w:sz w:val="18"/>
                <w:szCs w:val="18"/>
              </w:rPr>
              <w:t>号</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3"/>
              <w:ind w:left="314" w:right="0"/>
              <w:jc w:val="left"/>
              <w:rPr>
                <w:rFonts w:ascii="Century Gothic" w:hAnsi="Century Gothic" w:cs="Century Gothic" w:eastAsia="Century Gothic" w:hint="default"/>
                <w:sz w:val="18"/>
                <w:szCs w:val="18"/>
              </w:rPr>
            </w:pPr>
            <w:r>
              <w:rPr>
                <w:rFonts w:ascii="Century Gothic"/>
                <w:sz w:val="18"/>
              </w:rPr>
              <w:t>1,000.00</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243" w:right="150" w:hanging="90"/>
              <w:jc w:val="left"/>
              <w:rPr>
                <w:rFonts w:ascii="宋体" w:hAnsi="宋体" w:cs="宋体" w:eastAsia="宋体" w:hint="default"/>
                <w:sz w:val="18"/>
                <w:szCs w:val="18"/>
              </w:rPr>
            </w:pPr>
            <w:r>
              <w:rPr>
                <w:rFonts w:ascii="宋体" w:hAnsi="宋体" w:cs="宋体" w:eastAsia="宋体" w:hint="default"/>
                <w:sz w:val="18"/>
                <w:szCs w:val="18"/>
              </w:rPr>
              <w:t>王宝 全</w:t>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仪器仪表及配件、</w:t>
            </w:r>
          </w:p>
          <w:p>
            <w:pPr>
              <w:pStyle w:val="TableParagraph"/>
              <w:spacing w:line="240" w:lineRule="auto"/>
              <w:ind w:left="100" w:right="107"/>
              <w:jc w:val="both"/>
              <w:rPr>
                <w:rFonts w:ascii="宋体" w:hAnsi="宋体" w:cs="宋体" w:eastAsia="宋体" w:hint="default"/>
                <w:sz w:val="18"/>
                <w:szCs w:val="18"/>
              </w:rPr>
            </w:pPr>
            <w:r>
              <w:rPr>
                <w:rFonts w:ascii="宋体" w:hAnsi="宋体" w:cs="宋体" w:eastAsia="宋体" w:hint="default"/>
                <w:spacing w:val="-4"/>
                <w:sz w:val="18"/>
                <w:szCs w:val="18"/>
              </w:rPr>
              <w:t>五金冲压件、塑料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制品、铝合金、塑</w:t>
            </w:r>
            <w:r>
              <w:rPr>
                <w:rFonts w:ascii="宋体" w:hAnsi="宋体" w:cs="宋体" w:eastAsia="宋体" w:hint="default"/>
                <w:sz w:val="18"/>
                <w:szCs w:val="18"/>
              </w:rPr>
              <w:t> 钢门窗生产等</w:t>
            </w:r>
          </w:p>
        </w:tc>
      </w:tr>
      <w:tr>
        <w:trPr>
          <w:trHeight w:val="718"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杭州华</w:t>
            </w:r>
            <w:r>
              <w:rPr>
                <w:rFonts w:ascii="宋体" w:hAnsi="宋体" w:cs="宋体" w:eastAsia="宋体" w:hint="default"/>
                <w:spacing w:val="-56"/>
                <w:sz w:val="18"/>
                <w:szCs w:val="18"/>
              </w:rPr>
              <w:t> </w:t>
            </w:r>
            <w:r>
              <w:rPr>
                <w:rFonts w:ascii="宋体" w:hAnsi="宋体" w:cs="宋体" w:eastAsia="宋体" w:hint="default"/>
                <w:spacing w:val="18"/>
                <w:sz w:val="18"/>
                <w:szCs w:val="18"/>
              </w:rPr>
              <w:t>立科</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22" w:right="61"/>
              <w:jc w:val="left"/>
              <w:rPr>
                <w:rFonts w:ascii="宋体" w:hAnsi="宋体" w:cs="宋体" w:eastAsia="宋体" w:hint="default"/>
                <w:sz w:val="18"/>
                <w:szCs w:val="18"/>
              </w:rPr>
            </w:pPr>
            <w:r>
              <w:rPr>
                <w:rFonts w:ascii="宋体" w:hAnsi="宋体" w:cs="宋体" w:eastAsia="宋体" w:hint="default"/>
                <w:spacing w:val="24"/>
                <w:sz w:val="18"/>
                <w:szCs w:val="18"/>
              </w:rPr>
              <w:t>技园有</w:t>
            </w:r>
            <w:r>
              <w:rPr>
                <w:rFonts w:ascii="宋体" w:hAnsi="宋体" w:cs="宋体" w:eastAsia="宋体" w:hint="default"/>
                <w:spacing w:val="-56"/>
                <w:sz w:val="18"/>
                <w:szCs w:val="18"/>
              </w:rPr>
              <w:t> </w:t>
            </w:r>
            <w:r>
              <w:rPr>
                <w:rFonts w:ascii="宋体" w:hAnsi="宋体" w:cs="宋体" w:eastAsia="宋体" w:hint="default"/>
                <w:spacing w:val="18"/>
                <w:sz w:val="18"/>
                <w:szCs w:val="18"/>
              </w:rPr>
              <w:t>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54" w:right="103" w:hanging="450"/>
              <w:jc w:val="left"/>
              <w:rPr>
                <w:rFonts w:ascii="宋体" w:hAnsi="宋体" w:cs="宋体" w:eastAsia="宋体" w:hint="default"/>
                <w:sz w:val="18"/>
                <w:szCs w:val="18"/>
              </w:rPr>
            </w:pPr>
            <w:r>
              <w:rPr>
                <w:rFonts w:ascii="宋体" w:hAnsi="宋体" w:cs="宋体" w:eastAsia="宋体" w:hint="default"/>
                <w:sz w:val="18"/>
                <w:szCs w:val="18"/>
              </w:rPr>
              <w:t>控股子公司的子 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杭州余杭区</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00" w:right="73"/>
              <w:jc w:val="left"/>
              <w:rPr>
                <w:rFonts w:ascii="宋体" w:hAnsi="宋体" w:cs="宋体" w:eastAsia="宋体" w:hint="default"/>
                <w:sz w:val="18"/>
                <w:szCs w:val="18"/>
              </w:rPr>
            </w:pPr>
            <w:r>
              <w:rPr>
                <w:rFonts w:ascii="宋体" w:hAnsi="宋体" w:cs="宋体" w:eastAsia="宋体" w:hint="default"/>
                <w:spacing w:val="20"/>
                <w:sz w:val="18"/>
                <w:szCs w:val="18"/>
              </w:rPr>
              <w:t>五常经济开</w:t>
            </w:r>
            <w:r>
              <w:rPr>
                <w:rFonts w:ascii="宋体" w:hAnsi="宋体" w:cs="宋体" w:eastAsia="宋体" w:hint="default"/>
                <w:spacing w:val="-86"/>
                <w:sz w:val="18"/>
                <w:szCs w:val="18"/>
              </w:rPr>
              <w:t> </w:t>
            </w:r>
            <w:r>
              <w:rPr>
                <w:rFonts w:ascii="宋体" w:hAnsi="宋体" w:cs="宋体" w:eastAsia="宋体" w:hint="default"/>
                <w:sz w:val="18"/>
                <w:szCs w:val="18"/>
              </w:rPr>
              <w:t>发区</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left="314" w:right="0"/>
              <w:jc w:val="left"/>
              <w:rPr>
                <w:rFonts w:ascii="Century Gothic" w:hAnsi="Century Gothic" w:cs="Century Gothic" w:eastAsia="Century Gothic" w:hint="default"/>
                <w:sz w:val="18"/>
                <w:szCs w:val="18"/>
              </w:rPr>
            </w:pPr>
            <w:r>
              <w:rPr>
                <w:rFonts w:ascii="Century Gothic"/>
                <w:sz w:val="18"/>
              </w:rPr>
              <w:t>2,000.00</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3" w:right="150" w:hanging="90"/>
              <w:jc w:val="left"/>
              <w:rPr>
                <w:rFonts w:ascii="宋体" w:hAnsi="宋体" w:cs="宋体" w:eastAsia="宋体" w:hint="default"/>
                <w:sz w:val="18"/>
                <w:szCs w:val="18"/>
              </w:rPr>
            </w:pPr>
            <w:r>
              <w:rPr>
                <w:rFonts w:ascii="宋体" w:hAnsi="宋体" w:cs="宋体" w:eastAsia="宋体" w:hint="default"/>
                <w:sz w:val="18"/>
                <w:szCs w:val="18"/>
              </w:rPr>
              <w:t>赵忠 华</w:t>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房屋租赁、资产经</w:t>
            </w:r>
          </w:p>
          <w:p>
            <w:pPr>
              <w:pStyle w:val="TableParagraph"/>
              <w:spacing w:line="240" w:lineRule="auto"/>
              <w:ind w:left="100" w:right="107"/>
              <w:jc w:val="left"/>
              <w:rPr>
                <w:rFonts w:ascii="宋体" w:hAnsi="宋体" w:cs="宋体" w:eastAsia="宋体" w:hint="default"/>
                <w:sz w:val="18"/>
                <w:szCs w:val="18"/>
              </w:rPr>
            </w:pPr>
            <w:r>
              <w:rPr>
                <w:rFonts w:ascii="宋体" w:hAnsi="宋体" w:cs="宋体" w:eastAsia="宋体" w:hint="default"/>
                <w:spacing w:val="-4"/>
                <w:sz w:val="18"/>
                <w:szCs w:val="18"/>
              </w:rPr>
              <w:t>营及物业管理、仪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表销售等</w:t>
            </w:r>
          </w:p>
        </w:tc>
      </w:tr>
      <w:tr>
        <w:trPr>
          <w:trHeight w:val="716"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华立仪</w:t>
            </w:r>
            <w:r>
              <w:rPr>
                <w:rFonts w:ascii="宋体" w:hAnsi="宋体" w:cs="宋体" w:eastAsia="宋体" w:hint="default"/>
                <w:spacing w:val="-56"/>
                <w:sz w:val="18"/>
                <w:szCs w:val="18"/>
              </w:rPr>
              <w:t> </w:t>
            </w:r>
            <w:r>
              <w:rPr>
                <w:rFonts w:ascii="宋体" w:hAnsi="宋体" w:cs="宋体" w:eastAsia="宋体" w:hint="default"/>
                <w:spacing w:val="18"/>
                <w:sz w:val="18"/>
                <w:szCs w:val="18"/>
              </w:rPr>
              <w:t>表集</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22" w:right="61"/>
              <w:jc w:val="left"/>
              <w:rPr>
                <w:rFonts w:ascii="宋体" w:hAnsi="宋体" w:cs="宋体" w:eastAsia="宋体" w:hint="default"/>
                <w:sz w:val="18"/>
                <w:szCs w:val="18"/>
              </w:rPr>
            </w:pPr>
            <w:r>
              <w:rPr>
                <w:rFonts w:ascii="宋体" w:hAnsi="宋体" w:cs="宋体" w:eastAsia="宋体" w:hint="default"/>
                <w:spacing w:val="24"/>
                <w:sz w:val="18"/>
                <w:szCs w:val="18"/>
              </w:rPr>
              <w:t>团重庆</w:t>
            </w:r>
            <w:r>
              <w:rPr>
                <w:rFonts w:ascii="宋体" w:hAnsi="宋体" w:cs="宋体" w:eastAsia="宋体" w:hint="default"/>
                <w:spacing w:val="-56"/>
                <w:sz w:val="18"/>
                <w:szCs w:val="18"/>
              </w:rPr>
              <w:t> </w:t>
            </w:r>
            <w:r>
              <w:rPr>
                <w:rFonts w:ascii="宋体" w:hAnsi="宋体" w:cs="宋体" w:eastAsia="宋体" w:hint="default"/>
                <w:spacing w:val="18"/>
                <w:sz w:val="18"/>
                <w:szCs w:val="18"/>
              </w:rPr>
              <w:t>仪表</w:t>
            </w:r>
            <w:r>
              <w:rPr>
                <w:rFonts w:ascii="宋体" w:hAnsi="宋体" w:cs="宋体" w:eastAsia="宋体" w:hint="default"/>
                <w:spacing w:val="-54"/>
                <w:sz w:val="18"/>
                <w:szCs w:val="18"/>
              </w:rPr>
              <w:t> </w:t>
            </w:r>
            <w:r>
              <w:rPr>
                <w:rFonts w:ascii="宋体" w:hAnsi="宋体" w:cs="宋体" w:eastAsia="宋体" w:hint="default"/>
                <w:sz w:val="18"/>
                <w:szCs w:val="18"/>
              </w:rPr>
              <w:t>有限公司</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54" w:right="103" w:hanging="450"/>
              <w:jc w:val="left"/>
              <w:rPr>
                <w:rFonts w:ascii="宋体" w:hAnsi="宋体" w:cs="宋体" w:eastAsia="宋体" w:hint="default"/>
                <w:sz w:val="18"/>
                <w:szCs w:val="18"/>
              </w:rPr>
            </w:pPr>
            <w:r>
              <w:rPr>
                <w:rFonts w:ascii="宋体" w:hAnsi="宋体" w:cs="宋体" w:eastAsia="宋体" w:hint="default"/>
                <w:sz w:val="18"/>
                <w:szCs w:val="18"/>
              </w:rPr>
              <w:t>控股子公司的子 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重庆市北碚</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区 龙 凤</w:t>
            </w:r>
            <w:r>
              <w:rPr>
                <w:rFonts w:ascii="宋体" w:hAnsi="宋体" w:cs="宋体" w:eastAsia="宋体" w:hint="default"/>
                <w:spacing w:val="-12"/>
                <w:sz w:val="18"/>
                <w:szCs w:val="18"/>
              </w:rPr>
              <w:t> </w:t>
            </w:r>
            <w:r>
              <w:rPr>
                <w:rFonts w:ascii="宋体" w:hAnsi="宋体" w:cs="宋体" w:eastAsia="宋体" w:hint="default"/>
                <w:sz w:val="18"/>
                <w:szCs w:val="18"/>
              </w:rPr>
              <w:t>桥</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49" w:lineRule="exact"/>
              <w:ind w:left="100" w:right="0"/>
              <w:jc w:val="left"/>
              <w:rPr>
                <w:rFonts w:ascii="宋体" w:hAnsi="宋体" w:cs="宋体" w:eastAsia="宋体" w:hint="default"/>
                <w:sz w:val="18"/>
                <w:szCs w:val="18"/>
              </w:rPr>
            </w:pPr>
            <w:r>
              <w:rPr>
                <w:rFonts w:ascii="Century Gothic" w:hAnsi="Century Gothic" w:cs="Century Gothic" w:eastAsia="Century Gothic" w:hint="default"/>
                <w:sz w:val="18"/>
                <w:szCs w:val="18"/>
              </w:rPr>
              <w:t>258</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号</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left="314" w:right="0"/>
              <w:jc w:val="left"/>
              <w:rPr>
                <w:rFonts w:ascii="Century Gothic" w:hAnsi="Century Gothic" w:cs="Century Gothic" w:eastAsia="Century Gothic" w:hint="default"/>
                <w:sz w:val="18"/>
                <w:szCs w:val="18"/>
              </w:rPr>
            </w:pPr>
            <w:r>
              <w:rPr>
                <w:rFonts w:ascii="Century Gothic"/>
                <w:sz w:val="18"/>
              </w:rPr>
              <w:t>2,000.00</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3" w:right="150" w:hanging="90"/>
              <w:jc w:val="left"/>
              <w:rPr>
                <w:rFonts w:ascii="宋体" w:hAnsi="宋体" w:cs="宋体" w:eastAsia="宋体" w:hint="default"/>
                <w:sz w:val="18"/>
                <w:szCs w:val="18"/>
              </w:rPr>
            </w:pPr>
            <w:r>
              <w:rPr>
                <w:rFonts w:ascii="宋体" w:hAnsi="宋体" w:cs="宋体" w:eastAsia="宋体" w:hint="default"/>
                <w:sz w:val="18"/>
                <w:szCs w:val="18"/>
              </w:rPr>
              <w:t>王治 刚</w:t>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107"/>
              <w:jc w:val="left"/>
              <w:rPr>
                <w:rFonts w:ascii="宋体" w:hAnsi="宋体" w:cs="宋体" w:eastAsia="宋体" w:hint="default"/>
                <w:sz w:val="18"/>
                <w:szCs w:val="18"/>
              </w:rPr>
            </w:pPr>
            <w:r>
              <w:rPr>
                <w:rFonts w:ascii="宋体" w:hAnsi="宋体" w:cs="宋体" w:eastAsia="宋体" w:hint="default"/>
                <w:spacing w:val="-4"/>
                <w:sz w:val="18"/>
                <w:szCs w:val="18"/>
              </w:rPr>
              <w:t>制造、销售仪器仪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表及原材料</w:t>
            </w:r>
          </w:p>
        </w:tc>
      </w:tr>
      <w:tr>
        <w:trPr>
          <w:trHeight w:val="718"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61"/>
              <w:jc w:val="left"/>
              <w:rPr>
                <w:rFonts w:ascii="宋体" w:hAnsi="宋体" w:cs="宋体" w:eastAsia="宋体" w:hint="default"/>
                <w:sz w:val="18"/>
                <w:szCs w:val="18"/>
              </w:rPr>
            </w:pPr>
            <w:r>
              <w:rPr>
                <w:rFonts w:ascii="宋体" w:hAnsi="宋体" w:cs="宋体" w:eastAsia="宋体" w:hint="default"/>
                <w:spacing w:val="24"/>
                <w:sz w:val="18"/>
                <w:szCs w:val="18"/>
              </w:rPr>
              <w:t>重庆华</w:t>
            </w:r>
            <w:r>
              <w:rPr>
                <w:rFonts w:ascii="宋体" w:hAnsi="宋体" w:cs="宋体" w:eastAsia="宋体" w:hint="default"/>
                <w:spacing w:val="-56"/>
                <w:sz w:val="18"/>
                <w:szCs w:val="18"/>
              </w:rPr>
              <w:t> </w:t>
            </w:r>
            <w:r>
              <w:rPr>
                <w:rFonts w:ascii="宋体" w:hAnsi="宋体" w:cs="宋体" w:eastAsia="宋体" w:hint="default"/>
                <w:spacing w:val="18"/>
                <w:sz w:val="18"/>
                <w:szCs w:val="18"/>
              </w:rPr>
              <w:t>虹仪</w:t>
            </w:r>
            <w:r>
              <w:rPr>
                <w:rFonts w:ascii="宋体" w:hAnsi="宋体" w:cs="宋体" w:eastAsia="宋体" w:hint="default"/>
                <w:spacing w:val="-54"/>
                <w:sz w:val="18"/>
                <w:szCs w:val="18"/>
              </w:rPr>
              <w:t> </w:t>
            </w:r>
            <w:r>
              <w:rPr>
                <w:rFonts w:ascii="宋体" w:hAnsi="宋体" w:cs="宋体" w:eastAsia="宋体" w:hint="default"/>
                <w:sz w:val="18"/>
                <w:szCs w:val="18"/>
              </w:rPr>
              <w:t>表有限公司</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54" w:right="103" w:hanging="450"/>
              <w:jc w:val="left"/>
              <w:rPr>
                <w:rFonts w:ascii="宋体" w:hAnsi="宋体" w:cs="宋体" w:eastAsia="宋体" w:hint="default"/>
                <w:sz w:val="18"/>
                <w:szCs w:val="18"/>
              </w:rPr>
            </w:pPr>
            <w:r>
              <w:rPr>
                <w:rFonts w:ascii="宋体" w:hAnsi="宋体" w:cs="宋体" w:eastAsia="宋体" w:hint="default"/>
                <w:sz w:val="18"/>
                <w:szCs w:val="18"/>
              </w:rPr>
              <w:t>控股子公司的子 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0"/>
                <w:sz w:val="18"/>
                <w:szCs w:val="18"/>
              </w:rPr>
              <w:t>重庆市北碚</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区 龙 凤</w:t>
            </w:r>
            <w:r>
              <w:rPr>
                <w:rFonts w:ascii="宋体" w:hAnsi="宋体" w:cs="宋体" w:eastAsia="宋体" w:hint="default"/>
                <w:spacing w:val="-12"/>
                <w:sz w:val="18"/>
                <w:szCs w:val="18"/>
              </w:rPr>
              <w:t> </w:t>
            </w:r>
            <w:r>
              <w:rPr>
                <w:rFonts w:ascii="宋体" w:hAnsi="宋体" w:cs="宋体" w:eastAsia="宋体" w:hint="default"/>
                <w:sz w:val="18"/>
                <w:szCs w:val="18"/>
              </w:rPr>
              <w:t>桥</w:t>
            </w:r>
            <w:r>
              <w:rPr>
                <w:rFonts w:ascii="宋体" w:hAnsi="宋体" w:cs="宋体" w:eastAsia="宋体" w:hint="default"/>
                <w:spacing w:val="6"/>
                <w:sz w:val="18"/>
                <w:szCs w:val="18"/>
              </w:rPr>
              <w:t> </w:t>
            </w:r>
            <w:r>
              <w:rPr>
                <w:rFonts w:ascii="宋体" w:hAnsi="宋体" w:cs="宋体" w:eastAsia="宋体" w:hint="default"/>
                <w:sz w:val="18"/>
                <w:szCs w:val="18"/>
              </w:rPr>
            </w:r>
          </w:p>
          <w:p>
            <w:pPr>
              <w:pStyle w:val="TableParagraph"/>
              <w:spacing w:line="249" w:lineRule="exact"/>
              <w:ind w:left="100" w:right="0"/>
              <w:jc w:val="left"/>
              <w:rPr>
                <w:rFonts w:ascii="宋体" w:hAnsi="宋体" w:cs="宋体" w:eastAsia="宋体" w:hint="default"/>
                <w:sz w:val="18"/>
                <w:szCs w:val="18"/>
              </w:rPr>
            </w:pPr>
            <w:r>
              <w:rPr>
                <w:rFonts w:ascii="Century Gothic" w:hAnsi="Century Gothic" w:cs="Century Gothic" w:eastAsia="Century Gothic" w:hint="default"/>
                <w:sz w:val="18"/>
                <w:szCs w:val="18"/>
              </w:rPr>
              <w:t>258</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号</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left="314" w:right="0"/>
              <w:jc w:val="left"/>
              <w:rPr>
                <w:rFonts w:ascii="Century Gothic" w:hAnsi="Century Gothic" w:cs="Century Gothic" w:eastAsia="Century Gothic" w:hint="default"/>
                <w:sz w:val="18"/>
                <w:szCs w:val="18"/>
              </w:rPr>
            </w:pPr>
            <w:r>
              <w:rPr>
                <w:rFonts w:ascii="Century Gothic"/>
                <w:sz w:val="18"/>
              </w:rPr>
              <w:t>1,000.00</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胡波</w:t>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79"/>
              <w:jc w:val="left"/>
              <w:rPr>
                <w:rFonts w:ascii="宋体" w:hAnsi="宋体" w:cs="宋体" w:eastAsia="宋体" w:hint="default"/>
                <w:sz w:val="18"/>
                <w:szCs w:val="18"/>
              </w:rPr>
            </w:pPr>
            <w:r>
              <w:rPr>
                <w:rFonts w:ascii="宋体" w:hAnsi="宋体" w:cs="宋体" w:eastAsia="宋体" w:hint="default"/>
                <w:spacing w:val="17"/>
                <w:sz w:val="18"/>
                <w:szCs w:val="18"/>
              </w:rPr>
              <w:t>生产销</w:t>
            </w:r>
            <w:r>
              <w:rPr>
                <w:rFonts w:ascii="宋体" w:hAnsi="宋体" w:cs="宋体" w:eastAsia="宋体" w:hint="default"/>
                <w:spacing w:val="-65"/>
                <w:sz w:val="18"/>
                <w:szCs w:val="18"/>
              </w:rPr>
              <w:t> </w:t>
            </w:r>
            <w:r>
              <w:rPr>
                <w:rFonts w:ascii="宋体" w:hAnsi="宋体" w:cs="宋体" w:eastAsia="宋体" w:hint="default"/>
                <w:spacing w:val="13"/>
                <w:sz w:val="18"/>
                <w:szCs w:val="18"/>
              </w:rPr>
              <w:t>售仪</w:t>
            </w:r>
            <w:r>
              <w:rPr>
                <w:rFonts w:ascii="宋体" w:hAnsi="宋体" w:cs="宋体" w:eastAsia="宋体" w:hint="default"/>
                <w:spacing w:val="-65"/>
                <w:sz w:val="18"/>
                <w:szCs w:val="18"/>
              </w:rPr>
              <w:t> </w:t>
            </w:r>
            <w:r>
              <w:rPr>
                <w:rFonts w:ascii="宋体" w:hAnsi="宋体" w:cs="宋体" w:eastAsia="宋体" w:hint="default"/>
                <w:spacing w:val="13"/>
                <w:sz w:val="18"/>
                <w:szCs w:val="18"/>
              </w:rPr>
              <w:t>器仪</w:t>
            </w:r>
            <w:r>
              <w:rPr>
                <w:rFonts w:ascii="宋体" w:hAnsi="宋体" w:cs="宋体" w:eastAsia="宋体" w:hint="default"/>
                <w:spacing w:val="-64"/>
                <w:sz w:val="18"/>
                <w:szCs w:val="18"/>
              </w:rPr>
              <w:t> </w:t>
            </w:r>
            <w:r>
              <w:rPr>
                <w:rFonts w:ascii="宋体" w:hAnsi="宋体" w:cs="宋体" w:eastAsia="宋体" w:hint="default"/>
                <w:sz w:val="18"/>
                <w:szCs w:val="18"/>
              </w:rPr>
              <w:t>表及其元器件</w:t>
            </w:r>
          </w:p>
        </w:tc>
      </w:tr>
      <w:tr>
        <w:trPr>
          <w:trHeight w:val="950"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61"/>
              <w:jc w:val="both"/>
              <w:rPr>
                <w:rFonts w:ascii="宋体" w:hAnsi="宋体" w:cs="宋体" w:eastAsia="宋体" w:hint="default"/>
                <w:sz w:val="18"/>
                <w:szCs w:val="18"/>
              </w:rPr>
            </w:pPr>
            <w:r>
              <w:rPr>
                <w:rFonts w:ascii="宋体" w:hAnsi="宋体" w:cs="宋体" w:eastAsia="宋体" w:hint="default"/>
                <w:spacing w:val="24"/>
                <w:sz w:val="18"/>
                <w:szCs w:val="18"/>
              </w:rPr>
              <w:t>浙江华</w:t>
            </w:r>
            <w:r>
              <w:rPr>
                <w:rFonts w:ascii="宋体" w:hAnsi="宋体" w:cs="宋体" w:eastAsia="宋体" w:hint="default"/>
                <w:spacing w:val="-56"/>
                <w:sz w:val="18"/>
                <w:szCs w:val="18"/>
              </w:rPr>
              <w:t> </w:t>
            </w:r>
            <w:r>
              <w:rPr>
                <w:rFonts w:ascii="宋体" w:hAnsi="宋体" w:cs="宋体" w:eastAsia="宋体" w:hint="default"/>
                <w:spacing w:val="18"/>
                <w:sz w:val="18"/>
                <w:szCs w:val="18"/>
              </w:rPr>
              <w:t>立利</w:t>
            </w:r>
            <w:r>
              <w:rPr>
                <w:rFonts w:ascii="宋体" w:hAnsi="宋体" w:cs="宋体" w:eastAsia="宋体" w:hint="default"/>
                <w:spacing w:val="-54"/>
                <w:sz w:val="18"/>
                <w:szCs w:val="18"/>
              </w:rPr>
              <w:t> </w:t>
            </w:r>
            <w:r>
              <w:rPr>
                <w:rFonts w:ascii="宋体" w:hAnsi="宋体" w:cs="宋体" w:eastAsia="宋体" w:hint="default"/>
                <w:spacing w:val="24"/>
                <w:sz w:val="18"/>
                <w:szCs w:val="18"/>
              </w:rPr>
              <w:t>源仪表</w:t>
            </w:r>
            <w:r>
              <w:rPr>
                <w:rFonts w:ascii="宋体" w:hAnsi="宋体" w:cs="宋体" w:eastAsia="宋体" w:hint="default"/>
                <w:spacing w:val="-56"/>
                <w:sz w:val="18"/>
                <w:szCs w:val="18"/>
              </w:rPr>
              <w:t> </w:t>
            </w:r>
            <w:r>
              <w:rPr>
                <w:rFonts w:ascii="宋体" w:hAnsi="宋体" w:cs="宋体" w:eastAsia="宋体" w:hint="default"/>
                <w:spacing w:val="18"/>
                <w:sz w:val="18"/>
                <w:szCs w:val="18"/>
              </w:rPr>
              <w:t>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554" w:right="103" w:hanging="450"/>
              <w:jc w:val="left"/>
              <w:rPr>
                <w:rFonts w:ascii="宋体" w:hAnsi="宋体" w:cs="宋体" w:eastAsia="宋体" w:hint="default"/>
                <w:sz w:val="18"/>
                <w:szCs w:val="18"/>
              </w:rPr>
            </w:pPr>
            <w:r>
              <w:rPr>
                <w:rFonts w:ascii="宋体" w:hAnsi="宋体" w:cs="宋体" w:eastAsia="宋体" w:hint="default"/>
                <w:sz w:val="18"/>
                <w:szCs w:val="18"/>
              </w:rPr>
              <w:t>控股子公司的子 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20"/>
                <w:sz w:val="18"/>
                <w:szCs w:val="18"/>
              </w:rPr>
              <w:t>杭州余杭区</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before="22"/>
              <w:ind w:left="100" w:right="73"/>
              <w:jc w:val="both"/>
              <w:rPr>
                <w:rFonts w:ascii="宋体" w:hAnsi="宋体" w:cs="宋体" w:eastAsia="宋体" w:hint="default"/>
                <w:sz w:val="18"/>
                <w:szCs w:val="18"/>
              </w:rPr>
            </w:pPr>
            <w:r>
              <w:rPr>
                <w:rFonts w:ascii="宋体" w:hAnsi="宋体" w:cs="宋体" w:eastAsia="宋体" w:hint="default"/>
                <w:spacing w:val="20"/>
                <w:sz w:val="18"/>
                <w:szCs w:val="18"/>
              </w:rPr>
              <w:t>五常街道五</w:t>
            </w:r>
            <w:r>
              <w:rPr>
                <w:rFonts w:ascii="宋体" w:hAnsi="宋体" w:cs="宋体" w:eastAsia="宋体" w:hint="default"/>
                <w:spacing w:val="-86"/>
                <w:sz w:val="18"/>
                <w:szCs w:val="18"/>
              </w:rPr>
              <w:t> </w:t>
            </w:r>
            <w:r>
              <w:rPr>
                <w:rFonts w:ascii="宋体" w:hAnsi="宋体" w:cs="宋体" w:eastAsia="宋体" w:hint="default"/>
                <w:spacing w:val="17"/>
                <w:sz w:val="18"/>
                <w:szCs w:val="18"/>
              </w:rPr>
              <w:t>常大道</w:t>
            </w:r>
            <w:r>
              <w:rPr>
                <w:rFonts w:ascii="宋体" w:hAnsi="宋体" w:cs="宋体" w:eastAsia="宋体" w:hint="default"/>
                <w:spacing w:val="24"/>
                <w:sz w:val="18"/>
                <w:szCs w:val="18"/>
              </w:rPr>
              <w:t> </w:t>
            </w:r>
            <w:r>
              <w:rPr>
                <w:rFonts w:ascii="Century Gothic" w:hAnsi="Century Gothic" w:cs="Century Gothic" w:eastAsia="Century Gothic" w:hint="default"/>
                <w:sz w:val="18"/>
                <w:szCs w:val="18"/>
              </w:rPr>
              <w:t>181</w:t>
            </w:r>
            <w:r>
              <w:rPr>
                <w:rFonts w:ascii="Century Gothic" w:hAnsi="Century Gothic" w:cs="Century Gothic" w:eastAsia="Century Gothic" w:hint="default"/>
                <w:spacing w:val="-1"/>
                <w:w w:val="99"/>
                <w:sz w:val="18"/>
                <w:szCs w:val="18"/>
              </w:rPr>
              <w:t> </w:t>
            </w:r>
            <w:r>
              <w:rPr>
                <w:rFonts w:ascii="宋体" w:hAnsi="宋体" w:cs="宋体" w:eastAsia="宋体" w:hint="default"/>
                <w:sz w:val="18"/>
                <w:szCs w:val="18"/>
              </w:rPr>
              <w:t>号</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3"/>
              <w:ind w:left="390" w:right="0"/>
              <w:jc w:val="left"/>
              <w:rPr>
                <w:rFonts w:ascii="Century Gothic" w:hAnsi="Century Gothic" w:cs="Century Gothic" w:eastAsia="Century Gothic" w:hint="default"/>
                <w:sz w:val="18"/>
                <w:szCs w:val="18"/>
              </w:rPr>
            </w:pPr>
            <w:r>
              <w:rPr>
                <w:rFonts w:ascii="Century Gothic"/>
                <w:sz w:val="18"/>
              </w:rPr>
              <w:t>500.00</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243" w:right="150" w:hanging="90"/>
              <w:jc w:val="left"/>
              <w:rPr>
                <w:rFonts w:ascii="宋体" w:hAnsi="宋体" w:cs="宋体" w:eastAsia="宋体" w:hint="default"/>
                <w:sz w:val="18"/>
                <w:szCs w:val="18"/>
              </w:rPr>
            </w:pPr>
            <w:r>
              <w:rPr>
                <w:rFonts w:ascii="宋体" w:hAnsi="宋体" w:cs="宋体" w:eastAsia="宋体" w:hint="default"/>
                <w:sz w:val="18"/>
                <w:szCs w:val="18"/>
              </w:rPr>
              <w:t>金美 星</w:t>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13" w:lineRule="exact"/>
              <w:ind w:left="100" w:right="0"/>
              <w:jc w:val="both"/>
              <w:rPr>
                <w:rFonts w:ascii="宋体" w:hAnsi="宋体" w:cs="宋体" w:eastAsia="宋体" w:hint="default"/>
                <w:sz w:val="18"/>
                <w:szCs w:val="18"/>
              </w:rPr>
            </w:pPr>
            <w:r>
              <w:rPr>
                <w:rFonts w:ascii="宋体" w:hAnsi="宋体" w:cs="宋体" w:eastAsia="宋体" w:hint="default"/>
                <w:sz w:val="18"/>
                <w:szCs w:val="18"/>
              </w:rPr>
              <w:t>智能 </w:t>
            </w:r>
            <w:r>
              <w:rPr>
                <w:rFonts w:ascii="Century Gothic" w:hAnsi="Century Gothic" w:cs="Century Gothic" w:eastAsia="Century Gothic" w:hint="default"/>
                <w:sz w:val="18"/>
                <w:szCs w:val="18"/>
              </w:rPr>
              <w:t>IC</w:t>
            </w:r>
            <w:r>
              <w:rPr>
                <w:rFonts w:ascii="Century Gothic" w:hAnsi="Century Gothic" w:cs="Century Gothic" w:eastAsia="Century Gothic" w:hint="default"/>
                <w:spacing w:val="6"/>
                <w:sz w:val="18"/>
                <w:szCs w:val="18"/>
              </w:rPr>
              <w:t> </w:t>
            </w:r>
            <w:r>
              <w:rPr>
                <w:rFonts w:ascii="宋体" w:hAnsi="宋体" w:cs="宋体" w:eastAsia="宋体" w:hint="default"/>
                <w:sz w:val="18"/>
                <w:szCs w:val="18"/>
              </w:rPr>
              <w:t>卡水表、</w:t>
            </w:r>
          </w:p>
          <w:p>
            <w:pPr>
              <w:pStyle w:val="TableParagraph"/>
              <w:spacing w:line="234" w:lineRule="exact" w:before="15"/>
              <w:ind w:left="100" w:right="79"/>
              <w:jc w:val="both"/>
              <w:rPr>
                <w:rFonts w:ascii="宋体" w:hAnsi="宋体" w:cs="宋体" w:eastAsia="宋体" w:hint="default"/>
                <w:sz w:val="18"/>
                <w:szCs w:val="18"/>
              </w:rPr>
            </w:pPr>
            <w:r>
              <w:rPr>
                <w:rFonts w:ascii="宋体" w:hAnsi="宋体" w:cs="宋体" w:eastAsia="宋体" w:hint="default"/>
                <w:spacing w:val="-4"/>
                <w:sz w:val="18"/>
                <w:szCs w:val="18"/>
              </w:rPr>
              <w:t>电能表及系统、远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7"/>
                <w:sz w:val="18"/>
                <w:szCs w:val="18"/>
              </w:rPr>
              <w:t>传水表</w:t>
            </w:r>
            <w:r>
              <w:rPr>
                <w:rFonts w:ascii="宋体" w:hAnsi="宋体" w:cs="宋体" w:eastAsia="宋体" w:hint="default"/>
                <w:spacing w:val="-65"/>
                <w:sz w:val="18"/>
                <w:szCs w:val="18"/>
              </w:rPr>
              <w:t> </w:t>
            </w:r>
            <w:r>
              <w:rPr>
                <w:rFonts w:ascii="宋体" w:hAnsi="宋体" w:cs="宋体" w:eastAsia="宋体" w:hint="default"/>
                <w:spacing w:val="13"/>
                <w:sz w:val="18"/>
                <w:szCs w:val="18"/>
              </w:rPr>
              <w:t>及普</w:t>
            </w:r>
            <w:r>
              <w:rPr>
                <w:rFonts w:ascii="宋体" w:hAnsi="宋体" w:cs="宋体" w:eastAsia="宋体" w:hint="default"/>
                <w:spacing w:val="-65"/>
                <w:sz w:val="18"/>
                <w:szCs w:val="18"/>
              </w:rPr>
              <w:t> </w:t>
            </w:r>
            <w:r>
              <w:rPr>
                <w:rFonts w:ascii="宋体" w:hAnsi="宋体" w:cs="宋体" w:eastAsia="宋体" w:hint="default"/>
                <w:spacing w:val="13"/>
                <w:sz w:val="18"/>
                <w:szCs w:val="18"/>
              </w:rPr>
              <w:t>通水</w:t>
            </w:r>
            <w:r>
              <w:rPr>
                <w:rFonts w:ascii="宋体" w:hAnsi="宋体" w:cs="宋体" w:eastAsia="宋体" w:hint="default"/>
                <w:spacing w:val="-64"/>
                <w:sz w:val="18"/>
                <w:szCs w:val="18"/>
              </w:rPr>
              <w:t> </w:t>
            </w:r>
            <w:r>
              <w:rPr>
                <w:rFonts w:ascii="宋体" w:hAnsi="宋体" w:cs="宋体" w:eastAsia="宋体" w:hint="default"/>
                <w:sz w:val="18"/>
                <w:szCs w:val="18"/>
              </w:rPr>
              <w:t>表的生产销售</w:t>
            </w:r>
          </w:p>
        </w:tc>
      </w:tr>
      <w:tr>
        <w:trPr>
          <w:trHeight w:val="952"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122" w:right="61"/>
              <w:jc w:val="left"/>
              <w:rPr>
                <w:rFonts w:ascii="宋体" w:hAnsi="宋体" w:cs="宋体" w:eastAsia="宋体" w:hint="default"/>
                <w:sz w:val="18"/>
                <w:szCs w:val="18"/>
              </w:rPr>
            </w:pPr>
            <w:r>
              <w:rPr>
                <w:rFonts w:ascii="宋体" w:hAnsi="宋体" w:cs="宋体" w:eastAsia="宋体" w:hint="default"/>
                <w:spacing w:val="24"/>
                <w:sz w:val="18"/>
                <w:szCs w:val="18"/>
              </w:rPr>
              <w:t>杭州子</w:t>
            </w:r>
            <w:r>
              <w:rPr>
                <w:rFonts w:ascii="宋体" w:hAnsi="宋体" w:cs="宋体" w:eastAsia="宋体" w:hint="default"/>
                <w:spacing w:val="-56"/>
                <w:sz w:val="18"/>
                <w:szCs w:val="18"/>
              </w:rPr>
              <w:t> </w:t>
            </w:r>
            <w:r>
              <w:rPr>
                <w:rFonts w:ascii="宋体" w:hAnsi="宋体" w:cs="宋体" w:eastAsia="宋体" w:hint="default"/>
                <w:spacing w:val="18"/>
                <w:sz w:val="18"/>
                <w:szCs w:val="18"/>
              </w:rPr>
              <w:t>蜂软</w:t>
            </w:r>
            <w:r>
              <w:rPr>
                <w:rFonts w:ascii="宋体" w:hAnsi="宋体" w:cs="宋体" w:eastAsia="宋体" w:hint="default"/>
                <w:spacing w:val="-54"/>
                <w:sz w:val="18"/>
                <w:szCs w:val="18"/>
              </w:rPr>
              <w:t> </w:t>
            </w:r>
            <w:r>
              <w:rPr>
                <w:rFonts w:ascii="宋体" w:hAnsi="宋体" w:cs="宋体" w:eastAsia="宋体" w:hint="default"/>
                <w:sz w:val="18"/>
                <w:szCs w:val="18"/>
              </w:rPr>
              <w:t>件有限公司</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554" w:right="103" w:hanging="450"/>
              <w:jc w:val="left"/>
              <w:rPr>
                <w:rFonts w:ascii="宋体" w:hAnsi="宋体" w:cs="宋体" w:eastAsia="宋体" w:hint="default"/>
                <w:sz w:val="18"/>
                <w:szCs w:val="18"/>
              </w:rPr>
            </w:pPr>
            <w:r>
              <w:rPr>
                <w:rFonts w:ascii="宋体" w:hAnsi="宋体" w:cs="宋体" w:eastAsia="宋体" w:hint="default"/>
                <w:sz w:val="18"/>
                <w:szCs w:val="18"/>
              </w:rPr>
              <w:t>控股子公司的子 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20"/>
                <w:sz w:val="18"/>
                <w:szCs w:val="18"/>
              </w:rPr>
              <w:t>杭州市西湖</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before="22"/>
              <w:ind w:left="100" w:right="73"/>
              <w:jc w:val="both"/>
              <w:rPr>
                <w:rFonts w:ascii="宋体" w:hAnsi="宋体" w:cs="宋体" w:eastAsia="宋体" w:hint="default"/>
                <w:sz w:val="18"/>
                <w:szCs w:val="18"/>
              </w:rPr>
            </w:pPr>
            <w:r>
              <w:rPr>
                <w:rFonts w:ascii="宋体" w:hAnsi="宋体" w:cs="宋体" w:eastAsia="宋体" w:hint="default"/>
                <w:spacing w:val="20"/>
                <w:sz w:val="18"/>
                <w:szCs w:val="18"/>
              </w:rPr>
              <w:t>区西斗门路</w:t>
            </w:r>
            <w:r>
              <w:rPr>
                <w:rFonts w:ascii="宋体" w:hAnsi="宋体" w:cs="宋体" w:eastAsia="宋体" w:hint="default"/>
                <w:spacing w:val="-86"/>
                <w:sz w:val="18"/>
                <w:szCs w:val="18"/>
              </w:rPr>
              <w:t> </w:t>
            </w:r>
            <w:r>
              <w:rPr>
                <w:rFonts w:ascii="Century Gothic" w:hAnsi="Century Gothic" w:cs="Century Gothic" w:eastAsia="Century Gothic" w:hint="default"/>
                <w:sz w:val="18"/>
                <w:szCs w:val="18"/>
              </w:rPr>
              <w:t>18</w:t>
            </w:r>
            <w:r>
              <w:rPr>
                <w:rFonts w:ascii="Century Gothic" w:hAnsi="Century Gothic" w:cs="Century Gothic" w:eastAsia="Century Gothic" w:hint="default"/>
                <w:spacing w:val="36"/>
                <w:sz w:val="18"/>
                <w:szCs w:val="18"/>
              </w:rPr>
              <w:t> </w:t>
            </w:r>
            <w:r>
              <w:rPr>
                <w:rFonts w:ascii="宋体" w:hAnsi="宋体" w:cs="宋体" w:eastAsia="宋体" w:hint="default"/>
                <w:sz w:val="18"/>
                <w:szCs w:val="18"/>
              </w:rPr>
              <w:t>号三楼东 侧</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3"/>
              <w:ind w:left="390" w:right="0"/>
              <w:jc w:val="left"/>
              <w:rPr>
                <w:rFonts w:ascii="Century Gothic" w:hAnsi="Century Gothic" w:cs="Century Gothic" w:eastAsia="Century Gothic" w:hint="default"/>
                <w:sz w:val="18"/>
                <w:szCs w:val="18"/>
              </w:rPr>
            </w:pPr>
            <w:r>
              <w:rPr>
                <w:rFonts w:ascii="Century Gothic"/>
                <w:sz w:val="18"/>
              </w:rPr>
              <w:t>100.00</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243" w:right="150" w:hanging="90"/>
              <w:jc w:val="left"/>
              <w:rPr>
                <w:rFonts w:ascii="宋体" w:hAnsi="宋体" w:cs="宋体" w:eastAsia="宋体" w:hint="default"/>
                <w:sz w:val="18"/>
                <w:szCs w:val="18"/>
              </w:rPr>
            </w:pPr>
            <w:r>
              <w:rPr>
                <w:rFonts w:ascii="宋体" w:hAnsi="宋体" w:cs="宋体" w:eastAsia="宋体" w:hint="default"/>
                <w:sz w:val="18"/>
                <w:szCs w:val="18"/>
              </w:rPr>
              <w:t>金美 星</w:t>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100" w:right="107"/>
              <w:jc w:val="left"/>
              <w:rPr>
                <w:rFonts w:ascii="宋体" w:hAnsi="宋体" w:cs="宋体" w:eastAsia="宋体" w:hint="default"/>
                <w:sz w:val="18"/>
                <w:szCs w:val="18"/>
              </w:rPr>
            </w:pPr>
            <w:r>
              <w:rPr>
                <w:rFonts w:ascii="宋体" w:hAnsi="宋体" w:cs="宋体" w:eastAsia="宋体" w:hint="default"/>
                <w:spacing w:val="-4"/>
                <w:sz w:val="18"/>
                <w:szCs w:val="18"/>
              </w:rPr>
              <w:t>技术开发、技术服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务、销售</w:t>
            </w:r>
          </w:p>
        </w:tc>
      </w:tr>
      <w:tr>
        <w:trPr>
          <w:trHeight w:val="950"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61"/>
              <w:jc w:val="both"/>
              <w:rPr>
                <w:rFonts w:ascii="宋体" w:hAnsi="宋体" w:cs="宋体" w:eastAsia="宋体" w:hint="default"/>
                <w:sz w:val="18"/>
                <w:szCs w:val="18"/>
              </w:rPr>
            </w:pPr>
            <w:r>
              <w:rPr>
                <w:rFonts w:ascii="宋体" w:hAnsi="宋体" w:cs="宋体" w:eastAsia="宋体" w:hint="default"/>
                <w:spacing w:val="24"/>
                <w:sz w:val="18"/>
                <w:szCs w:val="18"/>
              </w:rPr>
              <w:t>浙江华</w:t>
            </w:r>
            <w:r>
              <w:rPr>
                <w:rFonts w:ascii="宋体" w:hAnsi="宋体" w:cs="宋体" w:eastAsia="宋体" w:hint="default"/>
                <w:spacing w:val="-56"/>
                <w:sz w:val="18"/>
                <w:szCs w:val="18"/>
              </w:rPr>
              <w:t> </w:t>
            </w:r>
            <w:r>
              <w:rPr>
                <w:rFonts w:ascii="宋体" w:hAnsi="宋体" w:cs="宋体" w:eastAsia="宋体" w:hint="default"/>
                <w:spacing w:val="18"/>
                <w:sz w:val="18"/>
                <w:szCs w:val="18"/>
              </w:rPr>
              <w:t>立电</w:t>
            </w:r>
            <w:r>
              <w:rPr>
                <w:rFonts w:ascii="宋体" w:hAnsi="宋体" w:cs="宋体" w:eastAsia="宋体" w:hint="default"/>
                <w:spacing w:val="-54"/>
                <w:sz w:val="18"/>
                <w:szCs w:val="18"/>
              </w:rPr>
              <w:t> </w:t>
            </w:r>
            <w:r>
              <w:rPr>
                <w:rFonts w:ascii="宋体" w:hAnsi="宋体" w:cs="宋体" w:eastAsia="宋体" w:hint="default"/>
                <w:spacing w:val="24"/>
                <w:sz w:val="18"/>
                <w:szCs w:val="18"/>
              </w:rPr>
              <w:t>子技术</w:t>
            </w:r>
            <w:r>
              <w:rPr>
                <w:rFonts w:ascii="宋体" w:hAnsi="宋体" w:cs="宋体" w:eastAsia="宋体" w:hint="default"/>
                <w:spacing w:val="-56"/>
                <w:sz w:val="18"/>
                <w:szCs w:val="18"/>
              </w:rPr>
              <w:t> </w:t>
            </w:r>
            <w:r>
              <w:rPr>
                <w:rFonts w:ascii="宋体" w:hAnsi="宋体" w:cs="宋体" w:eastAsia="宋体" w:hint="default"/>
                <w:spacing w:val="18"/>
                <w:sz w:val="18"/>
                <w:szCs w:val="18"/>
              </w:rPr>
              <w:t>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24"/>
                <w:szCs w:val="24"/>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20"/>
                <w:sz w:val="18"/>
                <w:szCs w:val="18"/>
              </w:rPr>
              <w:t>浙江省杭州</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00" w:right="73"/>
              <w:jc w:val="both"/>
              <w:rPr>
                <w:rFonts w:ascii="宋体" w:hAnsi="宋体" w:cs="宋体" w:eastAsia="宋体" w:hint="default"/>
                <w:sz w:val="18"/>
                <w:szCs w:val="18"/>
              </w:rPr>
            </w:pPr>
            <w:r>
              <w:rPr>
                <w:rFonts w:ascii="宋体" w:hAnsi="宋体" w:cs="宋体" w:eastAsia="宋体" w:hint="default"/>
                <w:spacing w:val="20"/>
                <w:sz w:val="18"/>
                <w:szCs w:val="18"/>
              </w:rPr>
              <w:t>高新技术开</w:t>
            </w:r>
            <w:r>
              <w:rPr>
                <w:rFonts w:ascii="宋体" w:hAnsi="宋体" w:cs="宋体" w:eastAsia="宋体" w:hint="default"/>
                <w:spacing w:val="-86"/>
                <w:sz w:val="18"/>
                <w:szCs w:val="18"/>
              </w:rPr>
              <w:t> </w:t>
            </w:r>
            <w:r>
              <w:rPr>
                <w:rFonts w:ascii="宋体" w:hAnsi="宋体" w:cs="宋体" w:eastAsia="宋体" w:hint="default"/>
                <w:spacing w:val="20"/>
                <w:sz w:val="18"/>
                <w:szCs w:val="18"/>
              </w:rPr>
              <w:t>发区西斗门</w:t>
            </w:r>
            <w:r>
              <w:rPr>
                <w:rFonts w:ascii="宋体" w:hAnsi="宋体" w:cs="宋体" w:eastAsia="宋体" w:hint="default"/>
                <w:spacing w:val="-86"/>
                <w:sz w:val="18"/>
                <w:szCs w:val="18"/>
              </w:rPr>
              <w:t> </w:t>
            </w:r>
            <w:r>
              <w:rPr>
                <w:rFonts w:ascii="宋体" w:hAnsi="宋体" w:cs="宋体" w:eastAsia="宋体" w:hint="default"/>
                <w:sz w:val="18"/>
                <w:szCs w:val="18"/>
              </w:rPr>
              <w:t>工业区</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18"/>
                <w:szCs w:val="18"/>
              </w:rPr>
            </w:pPr>
          </w:p>
          <w:p>
            <w:pPr>
              <w:pStyle w:val="TableParagraph"/>
              <w:spacing w:line="240" w:lineRule="auto"/>
              <w:ind w:left="390" w:right="388" w:firstLine="103"/>
              <w:jc w:val="left"/>
              <w:rPr>
                <w:rFonts w:ascii="Century Gothic" w:hAnsi="Century Gothic" w:cs="Century Gothic" w:eastAsia="Century Gothic" w:hint="default"/>
                <w:sz w:val="18"/>
                <w:szCs w:val="18"/>
              </w:rPr>
            </w:pPr>
            <w:r>
              <w:rPr>
                <w:rFonts w:ascii="Century Gothic"/>
                <w:sz w:val="18"/>
              </w:rPr>
              <w:t>USD</w:t>
            </w:r>
            <w:r>
              <w:rPr>
                <w:rFonts w:ascii="Century Gothic"/>
                <w:w w:val="99"/>
                <w:sz w:val="18"/>
              </w:rPr>
              <w:t> </w:t>
            </w:r>
            <w:r>
              <w:rPr>
                <w:rFonts w:ascii="Century Gothic"/>
                <w:sz w:val="18"/>
              </w:rPr>
              <w:t>150.00</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243" w:right="150" w:hanging="90"/>
              <w:jc w:val="left"/>
              <w:rPr>
                <w:rFonts w:ascii="宋体" w:hAnsi="宋体" w:cs="宋体" w:eastAsia="宋体" w:hint="default"/>
                <w:sz w:val="18"/>
                <w:szCs w:val="18"/>
              </w:rPr>
            </w:pPr>
            <w:r>
              <w:rPr>
                <w:rFonts w:ascii="宋体" w:hAnsi="宋体" w:cs="宋体" w:eastAsia="宋体" w:hint="default"/>
                <w:sz w:val="18"/>
                <w:szCs w:val="18"/>
              </w:rPr>
              <w:t>彭建 华</w:t>
            </w: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79"/>
              <w:jc w:val="both"/>
              <w:rPr>
                <w:rFonts w:ascii="宋体" w:hAnsi="宋体" w:cs="宋体" w:eastAsia="宋体" w:hint="default"/>
                <w:sz w:val="18"/>
                <w:szCs w:val="18"/>
              </w:rPr>
            </w:pPr>
            <w:r>
              <w:rPr>
                <w:rFonts w:ascii="宋体" w:hAnsi="宋体" w:cs="宋体" w:eastAsia="宋体" w:hint="default"/>
                <w:sz w:val="18"/>
                <w:szCs w:val="18"/>
              </w:rPr>
              <w:t>电能计量、检测、 </w:t>
            </w:r>
            <w:r>
              <w:rPr>
                <w:rFonts w:ascii="宋体" w:hAnsi="宋体" w:cs="宋体" w:eastAsia="宋体" w:hint="default"/>
                <w:spacing w:val="17"/>
                <w:sz w:val="18"/>
                <w:szCs w:val="18"/>
              </w:rPr>
              <w:t>收费仪</w:t>
            </w:r>
            <w:r>
              <w:rPr>
                <w:rFonts w:ascii="宋体" w:hAnsi="宋体" w:cs="宋体" w:eastAsia="宋体" w:hint="default"/>
                <w:spacing w:val="-65"/>
                <w:sz w:val="18"/>
                <w:szCs w:val="18"/>
              </w:rPr>
              <w:t> </w:t>
            </w:r>
            <w:r>
              <w:rPr>
                <w:rFonts w:ascii="宋体" w:hAnsi="宋体" w:cs="宋体" w:eastAsia="宋体" w:hint="default"/>
                <w:spacing w:val="13"/>
                <w:sz w:val="18"/>
                <w:szCs w:val="18"/>
              </w:rPr>
              <w:t>表及</w:t>
            </w:r>
            <w:r>
              <w:rPr>
                <w:rFonts w:ascii="宋体" w:hAnsi="宋体" w:cs="宋体" w:eastAsia="宋体" w:hint="default"/>
                <w:spacing w:val="-65"/>
                <w:sz w:val="18"/>
                <w:szCs w:val="18"/>
              </w:rPr>
              <w:t> </w:t>
            </w:r>
            <w:r>
              <w:rPr>
                <w:rFonts w:ascii="宋体" w:hAnsi="宋体" w:cs="宋体" w:eastAsia="宋体" w:hint="default"/>
                <w:spacing w:val="13"/>
                <w:sz w:val="18"/>
                <w:szCs w:val="18"/>
              </w:rPr>
              <w:t>系统</w:t>
            </w:r>
            <w:r>
              <w:rPr>
                <w:rFonts w:ascii="宋体" w:hAnsi="宋体" w:cs="宋体" w:eastAsia="宋体" w:hint="default"/>
                <w:spacing w:val="-64"/>
                <w:sz w:val="18"/>
                <w:szCs w:val="18"/>
              </w:rPr>
              <w:t> </w:t>
            </w:r>
            <w:r>
              <w:rPr>
                <w:rFonts w:ascii="宋体" w:hAnsi="宋体" w:cs="宋体" w:eastAsia="宋体" w:hint="default"/>
                <w:sz w:val="18"/>
                <w:szCs w:val="18"/>
              </w:rPr>
              <w:t>的生产销售</w:t>
            </w:r>
          </w:p>
        </w:tc>
      </w:tr>
      <w:tr>
        <w:trPr>
          <w:trHeight w:val="300" w:hRule="exact"/>
        </w:trPr>
        <w:tc>
          <w:tcPr>
            <w:tcW w:w="1272" w:type="dxa"/>
            <w:vMerge w:val="restart"/>
            <w:tcBorders>
              <w:top w:val="single" w:sz="6" w:space="0" w:color="000000"/>
              <w:left w:val="nil" w:sz="6" w:space="0" w:color="auto"/>
              <w:right w:val="single" w:sz="6" w:space="0" w:color="000000"/>
            </w:tcBorders>
          </w:tcPr>
          <w:p>
            <w:pPr>
              <w:pStyle w:val="TableParagraph"/>
              <w:spacing w:line="235" w:lineRule="exact" w:before="20"/>
              <w:ind w:left="122" w:right="0"/>
              <w:jc w:val="left"/>
              <w:rPr>
                <w:rFonts w:ascii="宋体" w:hAnsi="宋体" w:cs="宋体" w:eastAsia="宋体" w:hint="default"/>
                <w:sz w:val="18"/>
                <w:szCs w:val="18"/>
              </w:rPr>
            </w:pPr>
            <w:r>
              <w:rPr>
                <w:rFonts w:ascii="宋体" w:hAnsi="宋体" w:cs="宋体" w:eastAsia="宋体" w:hint="default"/>
                <w:spacing w:val="24"/>
                <w:sz w:val="18"/>
                <w:szCs w:val="18"/>
              </w:rPr>
              <w:t>子公司</w:t>
            </w:r>
            <w:r>
              <w:rPr>
                <w:rFonts w:ascii="宋体" w:hAnsi="宋体" w:cs="宋体" w:eastAsia="宋体" w:hint="default"/>
                <w:spacing w:val="-56"/>
                <w:sz w:val="18"/>
                <w:szCs w:val="18"/>
              </w:rPr>
              <w:t> </w:t>
            </w:r>
            <w:r>
              <w:rPr>
                <w:rFonts w:ascii="宋体" w:hAnsi="宋体" w:cs="宋体" w:eastAsia="宋体" w:hint="default"/>
                <w:spacing w:val="18"/>
                <w:sz w:val="18"/>
                <w:szCs w:val="18"/>
              </w:rPr>
              <w:t>名称</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24"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Century Gothic" w:hAnsi="Century Gothic" w:cs="Century Gothic" w:eastAsia="Century Gothic" w:hint="default"/>
                <w:sz w:val="18"/>
                <w:szCs w:val="18"/>
              </w:rPr>
              <w:t>%</w:t>
            </w:r>
            <w:r>
              <w:rPr>
                <w:rFonts w:ascii="宋体" w:hAnsi="宋体" w:cs="宋体" w:eastAsia="宋体" w:hint="default"/>
                <w:sz w:val="18"/>
                <w:szCs w:val="18"/>
              </w:rPr>
              <w:t>）</w:t>
            </w:r>
          </w:p>
        </w:tc>
        <w:tc>
          <w:tcPr>
            <w:tcW w:w="1223" w:type="dxa"/>
            <w:vMerge w:val="restart"/>
            <w:tcBorders>
              <w:top w:val="single" w:sz="6" w:space="0" w:color="000000"/>
              <w:left w:val="single" w:sz="6" w:space="0" w:color="000000"/>
              <w:right w:val="single" w:sz="6" w:space="0" w:color="000000"/>
            </w:tcBorders>
          </w:tcPr>
          <w:p>
            <w:pPr>
              <w:pStyle w:val="TableParagraph"/>
              <w:spacing w:line="235" w:lineRule="exact" w:before="20"/>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9"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Century Gothic" w:hAnsi="Century Gothic" w:cs="Century Gothic" w:eastAsia="Century Gothic" w:hint="default"/>
                <w:sz w:val="18"/>
                <w:szCs w:val="18"/>
              </w:rPr>
              <w:t>%</w:t>
            </w:r>
            <w:r>
              <w:rPr>
                <w:rFonts w:ascii="宋体" w:hAnsi="宋体" w:cs="宋体" w:eastAsia="宋体" w:hint="default"/>
                <w:sz w:val="18"/>
                <w:szCs w:val="18"/>
              </w:rPr>
              <w:t>）</w:t>
            </w:r>
          </w:p>
        </w:tc>
        <w:tc>
          <w:tcPr>
            <w:tcW w:w="1463" w:type="dxa"/>
            <w:vMerge w:val="restart"/>
            <w:tcBorders>
              <w:top w:val="single" w:sz="6" w:space="0" w:color="000000"/>
              <w:left w:val="single" w:sz="6" w:space="0" w:color="000000"/>
              <w:right w:val="single" w:sz="6" w:space="0" w:color="000000"/>
            </w:tcBorders>
          </w:tcPr>
          <w:p>
            <w:pPr>
              <w:pStyle w:val="TableParagraph"/>
              <w:spacing w:line="240" w:lineRule="auto" w:before="20"/>
              <w:ind w:left="633" w:right="182" w:hanging="450"/>
              <w:jc w:val="left"/>
              <w:rPr>
                <w:rFonts w:ascii="宋体" w:hAnsi="宋体" w:cs="宋体" w:eastAsia="宋体" w:hint="default"/>
                <w:sz w:val="18"/>
                <w:szCs w:val="18"/>
              </w:rPr>
            </w:pPr>
            <w:r>
              <w:rPr>
                <w:rFonts w:ascii="宋体" w:hAnsi="宋体" w:cs="宋体" w:eastAsia="宋体" w:hint="default"/>
                <w:sz w:val="18"/>
                <w:szCs w:val="18"/>
              </w:rPr>
              <w:t>年末实际出资 额</w:t>
            </w:r>
          </w:p>
        </w:tc>
        <w:tc>
          <w:tcPr>
            <w:tcW w:w="2022" w:type="dxa"/>
            <w:gridSpan w:val="2"/>
            <w:vMerge w:val="restart"/>
            <w:tcBorders>
              <w:top w:val="single" w:sz="6" w:space="0" w:color="000000"/>
              <w:left w:val="single" w:sz="6" w:space="0" w:color="000000"/>
              <w:right w:val="single" w:sz="6" w:space="0" w:color="000000"/>
            </w:tcBorders>
          </w:tcPr>
          <w:p>
            <w:pPr>
              <w:pStyle w:val="TableParagraph"/>
              <w:spacing w:line="240" w:lineRule="auto" w:before="20"/>
              <w:ind w:left="193" w:right="102" w:hanging="90"/>
              <w:jc w:val="left"/>
              <w:rPr>
                <w:rFonts w:ascii="宋体" w:hAnsi="宋体" w:cs="宋体" w:eastAsia="宋体" w:hint="default"/>
                <w:sz w:val="18"/>
                <w:szCs w:val="18"/>
              </w:rPr>
            </w:pPr>
            <w:r>
              <w:rPr>
                <w:rFonts w:ascii="宋体" w:hAnsi="宋体" w:cs="宋体" w:eastAsia="宋体" w:hint="default"/>
                <w:sz w:val="18"/>
                <w:szCs w:val="18"/>
              </w:rPr>
              <w:t>实质上构成对子公司净 投资的其他项目余额</w:t>
            </w:r>
          </w:p>
        </w:tc>
        <w:tc>
          <w:tcPr>
            <w:tcW w:w="1632" w:type="dxa"/>
            <w:vMerge w:val="restart"/>
            <w:tcBorders>
              <w:top w:val="single" w:sz="6" w:space="0" w:color="000000"/>
              <w:left w:val="single" w:sz="6" w:space="0" w:color="000000"/>
              <w:right w:val="nil" w:sz="6" w:space="0" w:color="auto"/>
            </w:tcBorders>
          </w:tcPr>
          <w:p>
            <w:pPr>
              <w:pStyle w:val="TableParagraph"/>
              <w:spacing w:line="240" w:lineRule="auto" w:before="20"/>
              <w:ind w:left="627" w:right="635"/>
              <w:jc w:val="center"/>
              <w:rPr>
                <w:rFonts w:ascii="宋体" w:hAnsi="宋体" w:cs="宋体" w:eastAsia="宋体" w:hint="default"/>
                <w:sz w:val="18"/>
                <w:szCs w:val="18"/>
              </w:rPr>
            </w:pPr>
            <w:r>
              <w:rPr>
                <w:rFonts w:ascii="宋体" w:hAnsi="宋体" w:cs="宋体" w:eastAsia="宋体" w:hint="default"/>
                <w:sz w:val="18"/>
                <w:szCs w:val="18"/>
              </w:rPr>
              <w:t>是否 合并</w:t>
            </w:r>
          </w:p>
        </w:tc>
      </w:tr>
      <w:tr>
        <w:trPr>
          <w:trHeight w:val="299" w:hRule="exact"/>
        </w:trPr>
        <w:tc>
          <w:tcPr>
            <w:tcW w:w="1272" w:type="dxa"/>
            <w:vMerge/>
            <w:tcBorders>
              <w:left w:val="nil" w:sz="6" w:space="0" w:color="auto"/>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7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93"/>
              <w:jc w:val="right"/>
              <w:rPr>
                <w:rFonts w:ascii="宋体" w:hAnsi="宋体" w:cs="宋体" w:eastAsia="宋体" w:hint="default"/>
                <w:sz w:val="18"/>
                <w:szCs w:val="18"/>
              </w:rPr>
            </w:pPr>
            <w:r>
              <w:rPr>
                <w:rFonts w:ascii="宋体" w:hAnsi="宋体" w:cs="宋体" w:eastAsia="宋体" w:hint="default"/>
                <w:sz w:val="18"/>
                <w:szCs w:val="18"/>
              </w:rPr>
              <w:t>间接</w:t>
            </w:r>
          </w:p>
        </w:tc>
        <w:tc>
          <w:tcPr>
            <w:tcW w:w="1223" w:type="dxa"/>
            <w:vMerge/>
            <w:tcBorders>
              <w:left w:val="single" w:sz="6" w:space="0" w:color="000000"/>
              <w:bottom w:val="single" w:sz="6" w:space="0" w:color="000000"/>
              <w:right w:val="single" w:sz="6" w:space="0" w:color="000000"/>
            </w:tcBorders>
          </w:tcPr>
          <w:p>
            <w:pPr/>
          </w:p>
        </w:tc>
        <w:tc>
          <w:tcPr>
            <w:tcW w:w="1463" w:type="dxa"/>
            <w:vMerge/>
            <w:tcBorders>
              <w:left w:val="single" w:sz="6" w:space="0" w:color="000000"/>
              <w:bottom w:val="single" w:sz="6" w:space="0" w:color="000000"/>
              <w:right w:val="single" w:sz="6" w:space="0" w:color="000000"/>
            </w:tcBorders>
          </w:tcPr>
          <w:p>
            <w:pPr/>
          </w:p>
        </w:tc>
        <w:tc>
          <w:tcPr>
            <w:tcW w:w="2022" w:type="dxa"/>
            <w:gridSpan w:val="2"/>
            <w:vMerge/>
            <w:tcBorders>
              <w:left w:val="single" w:sz="6" w:space="0" w:color="000000"/>
              <w:bottom w:val="single" w:sz="6" w:space="0" w:color="000000"/>
              <w:right w:val="single" w:sz="6" w:space="0" w:color="000000"/>
            </w:tcBorders>
          </w:tcPr>
          <w:p>
            <w:pPr/>
          </w:p>
        </w:tc>
        <w:tc>
          <w:tcPr>
            <w:tcW w:w="1632" w:type="dxa"/>
            <w:vMerge/>
            <w:tcBorders>
              <w:left w:val="single" w:sz="6" w:space="0" w:color="000000"/>
              <w:bottom w:val="single" w:sz="6" w:space="0" w:color="000000"/>
              <w:right w:val="nil" w:sz="6" w:space="0" w:color="auto"/>
            </w:tcBorders>
          </w:tcPr>
          <w:p>
            <w:pPr/>
          </w:p>
        </w:tc>
      </w:tr>
      <w:tr>
        <w:trPr>
          <w:trHeight w:val="716"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华立仪</w:t>
            </w:r>
            <w:r>
              <w:rPr>
                <w:rFonts w:ascii="宋体" w:hAnsi="宋体" w:cs="宋体" w:eastAsia="宋体" w:hint="default"/>
                <w:spacing w:val="-56"/>
                <w:sz w:val="18"/>
                <w:szCs w:val="18"/>
              </w:rPr>
              <w:t> </w:t>
            </w:r>
            <w:r>
              <w:rPr>
                <w:rFonts w:ascii="宋体" w:hAnsi="宋体" w:cs="宋体" w:eastAsia="宋体" w:hint="default"/>
                <w:spacing w:val="18"/>
                <w:sz w:val="18"/>
                <w:szCs w:val="18"/>
              </w:rPr>
              <w:t>表集</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22" w:right="61"/>
              <w:jc w:val="left"/>
              <w:rPr>
                <w:rFonts w:ascii="宋体" w:hAnsi="宋体" w:cs="宋体" w:eastAsia="宋体" w:hint="default"/>
                <w:sz w:val="18"/>
                <w:szCs w:val="18"/>
              </w:rPr>
            </w:pPr>
            <w:r>
              <w:rPr>
                <w:rFonts w:ascii="宋体" w:hAnsi="宋体" w:cs="宋体" w:eastAsia="宋体" w:hint="default"/>
                <w:spacing w:val="24"/>
                <w:sz w:val="18"/>
                <w:szCs w:val="18"/>
              </w:rPr>
              <w:t>团股份</w:t>
            </w:r>
            <w:r>
              <w:rPr>
                <w:rFonts w:ascii="宋体" w:hAnsi="宋体" w:cs="宋体" w:eastAsia="宋体" w:hint="default"/>
                <w:spacing w:val="-56"/>
                <w:sz w:val="18"/>
                <w:szCs w:val="18"/>
              </w:rPr>
              <w:t> </w:t>
            </w:r>
            <w:r>
              <w:rPr>
                <w:rFonts w:ascii="宋体" w:hAnsi="宋体" w:cs="宋体" w:eastAsia="宋体" w:hint="default"/>
                <w:spacing w:val="18"/>
                <w:sz w:val="18"/>
                <w:szCs w:val="18"/>
              </w:rPr>
              <w:t>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left="128" w:right="0"/>
              <w:jc w:val="left"/>
              <w:rPr>
                <w:rFonts w:ascii="Century Gothic" w:hAnsi="Century Gothic" w:cs="Century Gothic" w:eastAsia="Century Gothic" w:hint="default"/>
                <w:sz w:val="18"/>
                <w:szCs w:val="18"/>
              </w:rPr>
            </w:pPr>
            <w:r>
              <w:rPr>
                <w:rFonts w:ascii="Century Gothic"/>
                <w:sz w:val="18"/>
              </w:rPr>
              <w:t>57.17</w:t>
            </w:r>
          </w:p>
        </w:tc>
        <w:tc>
          <w:tcPr>
            <w:tcW w:w="764" w:type="dxa"/>
            <w:tcBorders>
              <w:top w:val="single" w:sz="6" w:space="0" w:color="000000"/>
              <w:left w:val="single" w:sz="6" w:space="0" w:color="000000"/>
              <w:bottom w:val="single" w:sz="6" w:space="0" w:color="000000"/>
              <w:right w:val="single" w:sz="6" w:space="0" w:color="000000"/>
            </w:tcBorders>
          </w:tcPr>
          <w:p>
            <w:pP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57.17</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10,379.37</w:t>
            </w:r>
          </w:p>
        </w:tc>
        <w:tc>
          <w:tcPr>
            <w:tcW w:w="2022" w:type="dxa"/>
            <w:gridSpan w:val="2"/>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杭州中</w:t>
            </w:r>
            <w:r>
              <w:rPr>
                <w:rFonts w:ascii="宋体" w:hAnsi="宋体" w:cs="宋体" w:eastAsia="宋体" w:hint="default"/>
                <w:spacing w:val="-56"/>
                <w:sz w:val="18"/>
                <w:szCs w:val="18"/>
              </w:rPr>
              <w:t> </w:t>
            </w:r>
            <w:r>
              <w:rPr>
                <w:rFonts w:ascii="宋体" w:hAnsi="宋体" w:cs="宋体" w:eastAsia="宋体" w:hint="default"/>
                <w:spacing w:val="18"/>
                <w:sz w:val="18"/>
                <w:szCs w:val="18"/>
              </w:rPr>
              <w:t>盛仪</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22" w:right="61"/>
              <w:jc w:val="left"/>
              <w:rPr>
                <w:rFonts w:ascii="宋体" w:hAnsi="宋体" w:cs="宋体" w:eastAsia="宋体" w:hint="default"/>
                <w:sz w:val="18"/>
                <w:szCs w:val="18"/>
              </w:rPr>
            </w:pPr>
            <w:r>
              <w:rPr>
                <w:rFonts w:ascii="宋体" w:hAnsi="宋体" w:cs="宋体" w:eastAsia="宋体" w:hint="default"/>
                <w:spacing w:val="24"/>
                <w:sz w:val="18"/>
                <w:szCs w:val="18"/>
              </w:rPr>
              <w:t>器仪表</w:t>
            </w:r>
            <w:r>
              <w:rPr>
                <w:rFonts w:ascii="宋体" w:hAnsi="宋体" w:cs="宋体" w:eastAsia="宋体" w:hint="default"/>
                <w:spacing w:val="-56"/>
                <w:sz w:val="18"/>
                <w:szCs w:val="18"/>
              </w:rPr>
              <w:t> </w:t>
            </w:r>
            <w:r>
              <w:rPr>
                <w:rFonts w:ascii="宋体" w:hAnsi="宋体" w:cs="宋体" w:eastAsia="宋体" w:hint="default"/>
                <w:spacing w:val="18"/>
                <w:sz w:val="18"/>
                <w:szCs w:val="18"/>
              </w:rPr>
              <w:t>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720"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49"/>
              <w:jc w:val="right"/>
              <w:rPr>
                <w:rFonts w:ascii="Century Gothic" w:hAnsi="Century Gothic" w:cs="Century Gothic" w:eastAsia="Century Gothic" w:hint="default"/>
                <w:sz w:val="18"/>
                <w:szCs w:val="18"/>
              </w:rPr>
            </w:pPr>
            <w:r>
              <w:rPr>
                <w:rFonts w:ascii="Century Gothic"/>
                <w:spacing w:val="-1"/>
                <w:sz w:val="18"/>
              </w:rPr>
              <w:t>75.00</w:t>
            </w:r>
            <w:r>
              <w:rPr>
                <w:rFonts w:ascii="Century Gothic"/>
                <w:sz w:val="18"/>
              </w:rPr>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75.00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750.00</w:t>
            </w:r>
          </w:p>
        </w:tc>
        <w:tc>
          <w:tcPr>
            <w:tcW w:w="2022" w:type="dxa"/>
            <w:gridSpan w:val="2"/>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杭州华</w:t>
            </w:r>
            <w:r>
              <w:rPr>
                <w:rFonts w:ascii="宋体" w:hAnsi="宋体" w:cs="宋体" w:eastAsia="宋体" w:hint="default"/>
                <w:spacing w:val="-56"/>
                <w:sz w:val="18"/>
                <w:szCs w:val="18"/>
              </w:rPr>
              <w:t> </w:t>
            </w:r>
            <w:r>
              <w:rPr>
                <w:rFonts w:ascii="宋体" w:hAnsi="宋体" w:cs="宋体" w:eastAsia="宋体" w:hint="default"/>
                <w:spacing w:val="18"/>
                <w:sz w:val="18"/>
                <w:szCs w:val="18"/>
              </w:rPr>
              <w:t>立科</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22" w:right="61"/>
              <w:jc w:val="left"/>
              <w:rPr>
                <w:rFonts w:ascii="宋体" w:hAnsi="宋体" w:cs="宋体" w:eastAsia="宋体" w:hint="default"/>
                <w:sz w:val="18"/>
                <w:szCs w:val="18"/>
              </w:rPr>
            </w:pPr>
            <w:r>
              <w:rPr>
                <w:rFonts w:ascii="宋体" w:hAnsi="宋体" w:cs="宋体" w:eastAsia="宋体" w:hint="default"/>
                <w:spacing w:val="24"/>
                <w:sz w:val="18"/>
                <w:szCs w:val="18"/>
              </w:rPr>
              <w:t>技园有</w:t>
            </w:r>
            <w:r>
              <w:rPr>
                <w:rFonts w:ascii="宋体" w:hAnsi="宋体" w:cs="宋体" w:eastAsia="宋体" w:hint="default"/>
                <w:spacing w:val="-56"/>
                <w:sz w:val="18"/>
                <w:szCs w:val="18"/>
              </w:rPr>
              <w:t> </w:t>
            </w:r>
            <w:r>
              <w:rPr>
                <w:rFonts w:ascii="宋体" w:hAnsi="宋体" w:cs="宋体" w:eastAsia="宋体" w:hint="default"/>
                <w:spacing w:val="18"/>
                <w:sz w:val="18"/>
                <w:szCs w:val="18"/>
              </w:rPr>
              <w:t>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720"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00"/>
              <w:jc w:val="right"/>
              <w:rPr>
                <w:rFonts w:ascii="Century Gothic" w:hAnsi="Century Gothic" w:cs="Century Gothic" w:eastAsia="Century Gothic" w:hint="default"/>
                <w:sz w:val="18"/>
                <w:szCs w:val="18"/>
              </w:rPr>
            </w:pPr>
            <w:r>
              <w:rPr>
                <w:rFonts w:ascii="Century Gothic"/>
                <w:spacing w:val="-1"/>
                <w:sz w:val="18"/>
              </w:rPr>
              <w:t>100.00</w:t>
            </w:r>
            <w:r>
              <w:rPr>
                <w:rFonts w:ascii="Century Gothic"/>
                <w:sz w:val="18"/>
              </w:rPr>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100.00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2,000.00</w:t>
            </w:r>
          </w:p>
        </w:tc>
        <w:tc>
          <w:tcPr>
            <w:tcW w:w="2022" w:type="dxa"/>
            <w:gridSpan w:val="2"/>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华立仪</w:t>
            </w:r>
            <w:r>
              <w:rPr>
                <w:rFonts w:ascii="宋体" w:hAnsi="宋体" w:cs="宋体" w:eastAsia="宋体" w:hint="default"/>
                <w:spacing w:val="-56"/>
                <w:sz w:val="18"/>
                <w:szCs w:val="18"/>
              </w:rPr>
              <w:t> </w:t>
            </w:r>
            <w:r>
              <w:rPr>
                <w:rFonts w:ascii="宋体" w:hAnsi="宋体" w:cs="宋体" w:eastAsia="宋体" w:hint="default"/>
                <w:spacing w:val="18"/>
                <w:sz w:val="18"/>
                <w:szCs w:val="18"/>
              </w:rPr>
              <w:t>表集</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22" w:right="61"/>
              <w:jc w:val="left"/>
              <w:rPr>
                <w:rFonts w:ascii="宋体" w:hAnsi="宋体" w:cs="宋体" w:eastAsia="宋体" w:hint="default"/>
                <w:sz w:val="18"/>
                <w:szCs w:val="18"/>
              </w:rPr>
            </w:pPr>
            <w:r>
              <w:rPr>
                <w:rFonts w:ascii="宋体" w:hAnsi="宋体" w:cs="宋体" w:eastAsia="宋体" w:hint="default"/>
                <w:spacing w:val="24"/>
                <w:sz w:val="18"/>
                <w:szCs w:val="18"/>
              </w:rPr>
              <w:t>团重庆</w:t>
            </w:r>
            <w:r>
              <w:rPr>
                <w:rFonts w:ascii="宋体" w:hAnsi="宋体" w:cs="宋体" w:eastAsia="宋体" w:hint="default"/>
                <w:spacing w:val="-56"/>
                <w:sz w:val="18"/>
                <w:szCs w:val="18"/>
              </w:rPr>
              <w:t> </w:t>
            </w:r>
            <w:r>
              <w:rPr>
                <w:rFonts w:ascii="宋体" w:hAnsi="宋体" w:cs="宋体" w:eastAsia="宋体" w:hint="default"/>
                <w:spacing w:val="18"/>
                <w:sz w:val="18"/>
                <w:szCs w:val="18"/>
              </w:rPr>
              <w:t>仪表</w:t>
            </w:r>
            <w:r>
              <w:rPr>
                <w:rFonts w:ascii="宋体" w:hAnsi="宋体" w:cs="宋体" w:eastAsia="宋体" w:hint="default"/>
                <w:spacing w:val="-54"/>
                <w:sz w:val="18"/>
                <w:szCs w:val="18"/>
              </w:rPr>
              <w:t> </w:t>
            </w:r>
            <w:r>
              <w:rPr>
                <w:rFonts w:ascii="宋体" w:hAnsi="宋体" w:cs="宋体" w:eastAsia="宋体" w:hint="default"/>
                <w:sz w:val="18"/>
                <w:szCs w:val="18"/>
              </w:rPr>
              <w:t>有限公司</w:t>
            </w:r>
          </w:p>
        </w:tc>
        <w:tc>
          <w:tcPr>
            <w:tcW w:w="720"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00"/>
              <w:jc w:val="right"/>
              <w:rPr>
                <w:rFonts w:ascii="Century Gothic" w:hAnsi="Century Gothic" w:cs="Century Gothic" w:eastAsia="Century Gothic" w:hint="default"/>
                <w:sz w:val="18"/>
                <w:szCs w:val="18"/>
              </w:rPr>
            </w:pPr>
            <w:r>
              <w:rPr>
                <w:rFonts w:ascii="Century Gothic"/>
                <w:spacing w:val="-1"/>
                <w:sz w:val="18"/>
              </w:rPr>
              <w:t>100.00</w:t>
            </w:r>
            <w:r>
              <w:rPr>
                <w:rFonts w:ascii="Century Gothic"/>
                <w:sz w:val="18"/>
              </w:rPr>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100.00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2,000.00</w:t>
            </w:r>
          </w:p>
        </w:tc>
        <w:tc>
          <w:tcPr>
            <w:tcW w:w="2022" w:type="dxa"/>
            <w:gridSpan w:val="2"/>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重庆华</w:t>
            </w:r>
            <w:r>
              <w:rPr>
                <w:rFonts w:ascii="宋体" w:hAnsi="宋体" w:cs="宋体" w:eastAsia="宋体" w:hint="default"/>
                <w:spacing w:val="-56"/>
                <w:sz w:val="18"/>
                <w:szCs w:val="18"/>
              </w:rPr>
              <w:t> </w:t>
            </w:r>
            <w:r>
              <w:rPr>
                <w:rFonts w:ascii="宋体" w:hAnsi="宋体" w:cs="宋体" w:eastAsia="宋体" w:hint="default"/>
                <w:spacing w:val="18"/>
                <w:sz w:val="18"/>
                <w:szCs w:val="18"/>
              </w:rPr>
              <w:t>虹仪</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表有限公司</w:t>
            </w:r>
          </w:p>
        </w:tc>
        <w:tc>
          <w:tcPr>
            <w:tcW w:w="720"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100.00</w:t>
            </w:r>
            <w:r>
              <w:rPr>
                <w:rFonts w:ascii="Century Gothic"/>
                <w:sz w:val="18"/>
              </w:rPr>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100.00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1,000.00</w:t>
            </w:r>
          </w:p>
        </w:tc>
        <w:tc>
          <w:tcPr>
            <w:tcW w:w="2022" w:type="dxa"/>
            <w:gridSpan w:val="2"/>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浙江华</w:t>
            </w:r>
            <w:r>
              <w:rPr>
                <w:rFonts w:ascii="宋体" w:hAnsi="宋体" w:cs="宋体" w:eastAsia="宋体" w:hint="default"/>
                <w:spacing w:val="-56"/>
                <w:sz w:val="18"/>
                <w:szCs w:val="18"/>
              </w:rPr>
              <w:t> </w:t>
            </w:r>
            <w:r>
              <w:rPr>
                <w:rFonts w:ascii="宋体" w:hAnsi="宋体" w:cs="宋体" w:eastAsia="宋体" w:hint="default"/>
                <w:spacing w:val="18"/>
                <w:sz w:val="18"/>
                <w:szCs w:val="18"/>
              </w:rPr>
              <w:t>立利</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22" w:right="61"/>
              <w:jc w:val="left"/>
              <w:rPr>
                <w:rFonts w:ascii="宋体" w:hAnsi="宋体" w:cs="宋体" w:eastAsia="宋体" w:hint="default"/>
                <w:sz w:val="18"/>
                <w:szCs w:val="18"/>
              </w:rPr>
            </w:pPr>
            <w:r>
              <w:rPr>
                <w:rFonts w:ascii="宋体" w:hAnsi="宋体" w:cs="宋体" w:eastAsia="宋体" w:hint="default"/>
                <w:spacing w:val="24"/>
                <w:sz w:val="18"/>
                <w:szCs w:val="18"/>
              </w:rPr>
              <w:t>源仪表</w:t>
            </w:r>
            <w:r>
              <w:rPr>
                <w:rFonts w:ascii="宋体" w:hAnsi="宋体" w:cs="宋体" w:eastAsia="宋体" w:hint="default"/>
                <w:spacing w:val="-56"/>
                <w:sz w:val="18"/>
                <w:szCs w:val="18"/>
              </w:rPr>
              <w:t> </w:t>
            </w:r>
            <w:r>
              <w:rPr>
                <w:rFonts w:ascii="宋体" w:hAnsi="宋体" w:cs="宋体" w:eastAsia="宋体" w:hint="default"/>
                <w:spacing w:val="18"/>
                <w:sz w:val="18"/>
                <w:szCs w:val="18"/>
              </w:rPr>
              <w:t>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720"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49"/>
              <w:jc w:val="right"/>
              <w:rPr>
                <w:rFonts w:ascii="Century Gothic" w:hAnsi="Century Gothic" w:cs="Century Gothic" w:eastAsia="Century Gothic" w:hint="default"/>
                <w:sz w:val="18"/>
                <w:szCs w:val="18"/>
              </w:rPr>
            </w:pPr>
            <w:r>
              <w:rPr>
                <w:rFonts w:ascii="Century Gothic"/>
                <w:spacing w:val="-1"/>
                <w:sz w:val="18"/>
              </w:rPr>
              <w:t>75.00</w:t>
            </w:r>
            <w:r>
              <w:rPr>
                <w:rFonts w:ascii="Century Gothic"/>
                <w:sz w:val="18"/>
              </w:rPr>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75.00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375.00</w:t>
            </w:r>
          </w:p>
        </w:tc>
        <w:tc>
          <w:tcPr>
            <w:tcW w:w="2022" w:type="dxa"/>
            <w:gridSpan w:val="2"/>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杭州子</w:t>
            </w:r>
            <w:r>
              <w:rPr>
                <w:rFonts w:ascii="宋体" w:hAnsi="宋体" w:cs="宋体" w:eastAsia="宋体" w:hint="default"/>
                <w:spacing w:val="-56"/>
                <w:sz w:val="18"/>
                <w:szCs w:val="18"/>
              </w:rPr>
              <w:t> </w:t>
            </w:r>
            <w:r>
              <w:rPr>
                <w:rFonts w:ascii="宋体" w:hAnsi="宋体" w:cs="宋体" w:eastAsia="宋体" w:hint="default"/>
                <w:spacing w:val="18"/>
                <w:sz w:val="18"/>
                <w:szCs w:val="18"/>
              </w:rPr>
              <w:t>蜂软</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720"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100.00</w:t>
            </w:r>
            <w:r>
              <w:rPr>
                <w:rFonts w:ascii="Century Gothic"/>
                <w:sz w:val="18"/>
              </w:rPr>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100.00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100.00</w:t>
            </w:r>
          </w:p>
        </w:tc>
        <w:tc>
          <w:tcPr>
            <w:tcW w:w="2022" w:type="dxa"/>
            <w:gridSpan w:val="2"/>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25" w:hRule="exact"/>
        </w:trPr>
        <w:tc>
          <w:tcPr>
            <w:tcW w:w="1272"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浙江华</w:t>
            </w:r>
            <w:r>
              <w:rPr>
                <w:rFonts w:ascii="宋体" w:hAnsi="宋体" w:cs="宋体" w:eastAsia="宋体" w:hint="default"/>
                <w:spacing w:val="-56"/>
                <w:sz w:val="18"/>
                <w:szCs w:val="18"/>
              </w:rPr>
              <w:t> </w:t>
            </w:r>
            <w:r>
              <w:rPr>
                <w:rFonts w:ascii="宋体" w:hAnsi="宋体" w:cs="宋体" w:eastAsia="宋体" w:hint="default"/>
                <w:spacing w:val="18"/>
                <w:sz w:val="18"/>
                <w:szCs w:val="18"/>
              </w:rPr>
              <w:t>立电</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22" w:right="61"/>
              <w:jc w:val="left"/>
              <w:rPr>
                <w:rFonts w:ascii="宋体" w:hAnsi="宋体" w:cs="宋体" w:eastAsia="宋体" w:hint="default"/>
                <w:sz w:val="18"/>
                <w:szCs w:val="18"/>
              </w:rPr>
            </w:pPr>
            <w:r>
              <w:rPr>
                <w:rFonts w:ascii="宋体" w:hAnsi="宋体" w:cs="宋体" w:eastAsia="宋体" w:hint="default"/>
                <w:spacing w:val="24"/>
                <w:sz w:val="18"/>
                <w:szCs w:val="18"/>
              </w:rPr>
              <w:t>子技术</w:t>
            </w:r>
            <w:r>
              <w:rPr>
                <w:rFonts w:ascii="宋体" w:hAnsi="宋体" w:cs="宋体" w:eastAsia="宋体" w:hint="default"/>
                <w:spacing w:val="-56"/>
                <w:sz w:val="18"/>
                <w:szCs w:val="18"/>
              </w:rPr>
              <w:t> </w:t>
            </w:r>
            <w:r>
              <w:rPr>
                <w:rFonts w:ascii="宋体" w:hAnsi="宋体" w:cs="宋体" w:eastAsia="宋体" w:hint="default"/>
                <w:spacing w:val="18"/>
                <w:sz w:val="18"/>
                <w:szCs w:val="18"/>
              </w:rPr>
              <w:t>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720" w:type="dxa"/>
            <w:tcBorders>
              <w:top w:val="single" w:sz="6" w:space="0" w:color="000000"/>
              <w:left w:val="single" w:sz="6" w:space="0" w:color="000000"/>
              <w:bottom w:val="single" w:sz="12" w:space="0" w:color="000000"/>
              <w:right w:val="single" w:sz="6" w:space="0" w:color="000000"/>
            </w:tcBorders>
          </w:tcPr>
          <w:p>
            <w:pPr/>
          </w:p>
        </w:tc>
        <w:tc>
          <w:tcPr>
            <w:tcW w:w="7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49"/>
              <w:jc w:val="right"/>
              <w:rPr>
                <w:rFonts w:ascii="Century Gothic" w:hAnsi="Century Gothic" w:cs="Century Gothic" w:eastAsia="Century Gothic" w:hint="default"/>
                <w:sz w:val="18"/>
                <w:szCs w:val="18"/>
              </w:rPr>
            </w:pPr>
            <w:r>
              <w:rPr>
                <w:rFonts w:ascii="Century Gothic"/>
                <w:spacing w:val="-1"/>
                <w:sz w:val="18"/>
              </w:rPr>
              <w:t>75.00</w:t>
            </w:r>
            <w:r>
              <w:rPr>
                <w:rFonts w:ascii="Century Gothic"/>
                <w:sz w:val="18"/>
              </w:rPr>
            </w:r>
          </w:p>
        </w:tc>
        <w:tc>
          <w:tcPr>
            <w:tcW w:w="12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75.00</w:t>
            </w:r>
          </w:p>
        </w:tc>
        <w:tc>
          <w:tcPr>
            <w:tcW w:w="14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USD</w:t>
            </w:r>
            <w:r>
              <w:rPr>
                <w:rFonts w:ascii="Century Gothic"/>
                <w:spacing w:val="-8"/>
                <w:sz w:val="18"/>
              </w:rPr>
              <w:t> </w:t>
            </w:r>
            <w:r>
              <w:rPr>
                <w:rFonts w:ascii="Century Gothic"/>
                <w:sz w:val="18"/>
              </w:rPr>
              <w:t>112.50</w:t>
            </w:r>
          </w:p>
        </w:tc>
        <w:tc>
          <w:tcPr>
            <w:tcW w:w="2022" w:type="dxa"/>
            <w:gridSpan w:val="2"/>
            <w:tcBorders>
              <w:top w:val="single" w:sz="6" w:space="0" w:color="000000"/>
              <w:left w:val="single" w:sz="6" w:space="0" w:color="000000"/>
              <w:bottom w:val="single" w:sz="12" w:space="0" w:color="000000"/>
              <w:right w:val="single" w:sz="6" w:space="0" w:color="000000"/>
            </w:tcBorders>
          </w:tcPr>
          <w:p>
            <w:pPr/>
          </w:p>
        </w:tc>
        <w:tc>
          <w:tcPr>
            <w:tcW w:w="16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7"/>
          <w:szCs w:val="17"/>
        </w:rPr>
      </w:pPr>
    </w:p>
    <w:p>
      <w:pPr>
        <w:spacing w:before="76"/>
        <w:ind w:left="4455" w:right="4393" w:firstLine="0"/>
        <w:jc w:val="center"/>
        <w:rPr>
          <w:rFonts w:ascii="Times New Roman" w:hAnsi="Times New Roman" w:cs="Times New Roman" w:eastAsia="Times New Roman" w:hint="default"/>
          <w:sz w:val="18"/>
          <w:szCs w:val="18"/>
        </w:rPr>
      </w:pPr>
      <w:r>
        <w:rPr>
          <w:rFonts w:ascii="Times New Roman"/>
          <w:sz w:val="18"/>
        </w:rPr>
        <w:t>62</w:t>
      </w:r>
    </w:p>
    <w:p>
      <w:pPr>
        <w:spacing w:after="0"/>
        <w:jc w:val="center"/>
        <w:rPr>
          <w:rFonts w:ascii="Times New Roman" w:hAnsi="Times New Roman" w:cs="Times New Roman" w:eastAsia="Times New Roman" w:hint="default"/>
          <w:sz w:val="18"/>
          <w:szCs w:val="18"/>
        </w:rPr>
        <w:sectPr>
          <w:pgSz w:w="11910" w:h="16840"/>
          <w:pgMar w:top="780" w:bottom="280" w:left="1160" w:right="134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70.860001pt;margin-top:-9.926001pt;width:84.0pt;height:23.94pt;mso-position-horizontal-relative:page;mso-position-vertical-relative:paragraph;z-index:4672"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162" w:type="dxa"/>
        <w:tblLayout w:type="fixed"/>
        <w:tblCellMar>
          <w:top w:w="0" w:type="dxa"/>
          <w:left w:w="0" w:type="dxa"/>
          <w:bottom w:w="0" w:type="dxa"/>
          <w:right w:w="0" w:type="dxa"/>
        </w:tblCellMar>
        <w:tblLook w:val="01E0"/>
      </w:tblPr>
      <w:tblGrid>
        <w:gridCol w:w="1272"/>
        <w:gridCol w:w="1484"/>
        <w:gridCol w:w="1223"/>
        <w:gridCol w:w="1463"/>
        <w:gridCol w:w="1342"/>
        <w:gridCol w:w="2312"/>
      </w:tblGrid>
      <w:tr>
        <w:trPr>
          <w:trHeight w:val="1192" w:hRule="exact"/>
        </w:trPr>
        <w:tc>
          <w:tcPr>
            <w:tcW w:w="127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b/>
                <w:bCs/>
                <w:sz w:val="24"/>
                <w:szCs w:val="24"/>
              </w:rPr>
            </w:pPr>
          </w:p>
          <w:p>
            <w:pPr>
              <w:pStyle w:val="TableParagraph"/>
              <w:spacing w:line="235" w:lineRule="exact"/>
              <w:ind w:left="193"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35" w:lineRule="exact"/>
              <w:ind w:left="283"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4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6"/>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企业类型</w:t>
            </w:r>
          </w:p>
        </w:tc>
        <w:tc>
          <w:tcPr>
            <w:tcW w:w="12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b/>
                <w:bCs/>
                <w:sz w:val="24"/>
                <w:szCs w:val="24"/>
              </w:rPr>
            </w:pPr>
          </w:p>
          <w:p>
            <w:pPr>
              <w:pStyle w:val="TableParagraph"/>
              <w:spacing w:line="240" w:lineRule="auto"/>
              <w:ind w:left="513" w:right="152"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14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6"/>
              <w:ind w:right="0"/>
              <w:jc w:val="left"/>
              <w:rPr>
                <w:rFonts w:ascii="黑体" w:hAnsi="黑体" w:cs="黑体" w:eastAsia="黑体" w:hint="default"/>
                <w:b/>
                <w:bCs/>
                <w:sz w:val="15"/>
                <w:szCs w:val="15"/>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123" w:right="121"/>
              <w:jc w:val="center"/>
              <w:rPr>
                <w:rFonts w:ascii="宋体" w:hAnsi="宋体" w:cs="宋体" w:eastAsia="宋体" w:hint="default"/>
                <w:sz w:val="18"/>
                <w:szCs w:val="18"/>
              </w:rPr>
            </w:pPr>
            <w:r>
              <w:rPr>
                <w:rFonts w:ascii="宋体" w:hAnsi="宋体" w:cs="宋体" w:eastAsia="宋体" w:hint="default"/>
                <w:sz w:val="18"/>
                <w:szCs w:val="18"/>
              </w:rPr>
              <w:t>少数股东权益 中用于冲减少 数股东损益的 金额</w:t>
            </w:r>
          </w:p>
        </w:tc>
        <w:tc>
          <w:tcPr>
            <w:tcW w:w="2312" w:type="dxa"/>
            <w:tcBorders>
              <w:top w:val="single" w:sz="12" w:space="0" w:color="000000"/>
              <w:left w:val="single" w:sz="6" w:space="0" w:color="000000"/>
              <w:bottom w:val="single" w:sz="6" w:space="0" w:color="000000"/>
              <w:right w:val="nil" w:sz="6" w:space="0" w:color="auto"/>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sz w:val="18"/>
                <w:szCs w:val="18"/>
              </w:rPr>
              <w:t>从母公司所有者权益冲减</w:t>
            </w:r>
          </w:p>
          <w:p>
            <w:pPr>
              <w:pStyle w:val="TableParagraph"/>
              <w:spacing w:line="240" w:lineRule="auto"/>
              <w:ind w:left="158" w:right="164"/>
              <w:jc w:val="center"/>
              <w:rPr>
                <w:rFonts w:ascii="宋体" w:hAnsi="宋体" w:cs="宋体" w:eastAsia="宋体" w:hint="default"/>
                <w:sz w:val="18"/>
                <w:szCs w:val="18"/>
              </w:rPr>
            </w:pPr>
            <w:r>
              <w:rPr>
                <w:rFonts w:ascii="宋体" w:hAnsi="宋体" w:cs="宋体" w:eastAsia="宋体" w:hint="default"/>
                <w:sz w:val="18"/>
                <w:szCs w:val="18"/>
              </w:rPr>
              <w:t>子公司少数股东分担的本 期亏损超过少数股东在该 子公司期初所有者权益中 所享有份额后的余额</w:t>
            </w:r>
          </w:p>
        </w:tc>
      </w:tr>
      <w:tr>
        <w:trPr>
          <w:trHeight w:val="716"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华立仪</w:t>
            </w:r>
            <w:r>
              <w:rPr>
                <w:rFonts w:ascii="宋体" w:hAnsi="宋体" w:cs="宋体" w:eastAsia="宋体" w:hint="default"/>
                <w:spacing w:val="-56"/>
                <w:sz w:val="18"/>
                <w:szCs w:val="18"/>
              </w:rPr>
              <w:t> </w:t>
            </w:r>
            <w:r>
              <w:rPr>
                <w:rFonts w:ascii="宋体" w:hAnsi="宋体" w:cs="宋体" w:eastAsia="宋体" w:hint="default"/>
                <w:spacing w:val="18"/>
                <w:sz w:val="18"/>
                <w:szCs w:val="18"/>
              </w:rPr>
              <w:t>表集</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22" w:right="61"/>
              <w:jc w:val="left"/>
              <w:rPr>
                <w:rFonts w:ascii="宋体" w:hAnsi="宋体" w:cs="宋体" w:eastAsia="宋体" w:hint="default"/>
                <w:sz w:val="18"/>
                <w:szCs w:val="18"/>
              </w:rPr>
            </w:pPr>
            <w:r>
              <w:rPr>
                <w:rFonts w:ascii="宋体" w:hAnsi="宋体" w:cs="宋体" w:eastAsia="宋体" w:hint="default"/>
                <w:spacing w:val="24"/>
                <w:sz w:val="18"/>
                <w:szCs w:val="18"/>
              </w:rPr>
              <w:t>团股份</w:t>
            </w:r>
            <w:r>
              <w:rPr>
                <w:rFonts w:ascii="宋体" w:hAnsi="宋体" w:cs="宋体" w:eastAsia="宋体" w:hint="default"/>
                <w:spacing w:val="-56"/>
                <w:sz w:val="18"/>
                <w:szCs w:val="18"/>
              </w:rPr>
              <w:t> </w:t>
            </w:r>
            <w:r>
              <w:rPr>
                <w:rFonts w:ascii="宋体" w:hAnsi="宋体" w:cs="宋体" w:eastAsia="宋体" w:hint="default"/>
                <w:spacing w:val="18"/>
                <w:sz w:val="18"/>
                <w:szCs w:val="18"/>
              </w:rPr>
              <w:t>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股份公司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left="126" w:right="0"/>
              <w:jc w:val="left"/>
              <w:rPr>
                <w:rFonts w:ascii="Century Gothic" w:hAnsi="Century Gothic" w:cs="Century Gothic" w:eastAsia="Century Gothic" w:hint="default"/>
                <w:sz w:val="18"/>
                <w:szCs w:val="18"/>
              </w:rPr>
            </w:pPr>
            <w:r>
              <w:rPr>
                <w:rFonts w:ascii="Century Gothic"/>
                <w:sz w:val="18"/>
              </w:rPr>
              <w:t>14292725-8</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99"/>
              <w:jc w:val="right"/>
              <w:rPr>
                <w:rFonts w:ascii="Century Gothic" w:hAnsi="Century Gothic" w:cs="Century Gothic" w:eastAsia="Century Gothic" w:hint="default"/>
                <w:sz w:val="18"/>
                <w:szCs w:val="18"/>
              </w:rPr>
            </w:pPr>
            <w:r>
              <w:rPr>
                <w:rFonts w:ascii="Century Gothic"/>
                <w:spacing w:val="-1"/>
                <w:sz w:val="18"/>
              </w:rPr>
              <w:t>142,870,300.03</w:t>
            </w:r>
          </w:p>
        </w:tc>
        <w:tc>
          <w:tcPr>
            <w:tcW w:w="1342" w:type="dxa"/>
            <w:tcBorders>
              <w:top w:val="single" w:sz="6" w:space="0" w:color="000000"/>
              <w:left w:val="single" w:sz="6" w:space="0" w:color="000000"/>
              <w:bottom w:val="single" w:sz="6" w:space="0" w:color="000000"/>
              <w:right w:val="single" w:sz="6" w:space="0" w:color="000000"/>
            </w:tcBorders>
          </w:tcPr>
          <w:p>
            <w:pPr/>
          </w:p>
        </w:tc>
        <w:tc>
          <w:tcPr>
            <w:tcW w:w="2312" w:type="dxa"/>
            <w:tcBorders>
              <w:top w:val="single" w:sz="6" w:space="0" w:color="000000"/>
              <w:left w:val="single" w:sz="6" w:space="0" w:color="000000"/>
              <w:bottom w:val="single" w:sz="6" w:space="0" w:color="000000"/>
              <w:right w:val="nil" w:sz="6" w:space="0" w:color="auto"/>
            </w:tcBorders>
          </w:tcPr>
          <w:p>
            <w:pPr/>
          </w:p>
        </w:tc>
      </w:tr>
      <w:tr>
        <w:trPr>
          <w:trHeight w:val="718"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杭州中</w:t>
            </w:r>
            <w:r>
              <w:rPr>
                <w:rFonts w:ascii="宋体" w:hAnsi="宋体" w:cs="宋体" w:eastAsia="宋体" w:hint="default"/>
                <w:spacing w:val="-56"/>
                <w:sz w:val="18"/>
                <w:szCs w:val="18"/>
              </w:rPr>
              <w:t> </w:t>
            </w:r>
            <w:r>
              <w:rPr>
                <w:rFonts w:ascii="宋体" w:hAnsi="宋体" w:cs="宋体" w:eastAsia="宋体" w:hint="default"/>
                <w:spacing w:val="18"/>
                <w:sz w:val="18"/>
                <w:szCs w:val="18"/>
              </w:rPr>
              <w:t>盛仪</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22" w:right="61"/>
              <w:jc w:val="left"/>
              <w:rPr>
                <w:rFonts w:ascii="宋体" w:hAnsi="宋体" w:cs="宋体" w:eastAsia="宋体" w:hint="default"/>
                <w:sz w:val="18"/>
                <w:szCs w:val="18"/>
              </w:rPr>
            </w:pPr>
            <w:r>
              <w:rPr>
                <w:rFonts w:ascii="宋体" w:hAnsi="宋体" w:cs="宋体" w:eastAsia="宋体" w:hint="default"/>
                <w:spacing w:val="24"/>
                <w:sz w:val="18"/>
                <w:szCs w:val="18"/>
              </w:rPr>
              <w:t>器仪表</w:t>
            </w:r>
            <w:r>
              <w:rPr>
                <w:rFonts w:ascii="宋体" w:hAnsi="宋体" w:cs="宋体" w:eastAsia="宋体" w:hint="default"/>
                <w:spacing w:val="-56"/>
                <w:sz w:val="18"/>
                <w:szCs w:val="18"/>
              </w:rPr>
              <w:t> </w:t>
            </w:r>
            <w:r>
              <w:rPr>
                <w:rFonts w:ascii="宋体" w:hAnsi="宋体" w:cs="宋体" w:eastAsia="宋体" w:hint="default"/>
                <w:spacing w:val="18"/>
                <w:sz w:val="18"/>
                <w:szCs w:val="18"/>
              </w:rPr>
              <w:t>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left="126" w:right="0"/>
              <w:jc w:val="left"/>
              <w:rPr>
                <w:rFonts w:ascii="Century Gothic" w:hAnsi="Century Gothic" w:cs="Century Gothic" w:eastAsia="Century Gothic" w:hint="default"/>
                <w:sz w:val="18"/>
                <w:szCs w:val="18"/>
              </w:rPr>
            </w:pPr>
            <w:r>
              <w:rPr>
                <w:rFonts w:ascii="Century Gothic"/>
                <w:sz w:val="18"/>
              </w:rPr>
              <w:t>14385361-7</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00"/>
              <w:jc w:val="right"/>
              <w:rPr>
                <w:rFonts w:ascii="Century Gothic" w:hAnsi="Century Gothic" w:cs="Century Gothic" w:eastAsia="Century Gothic" w:hint="default"/>
                <w:sz w:val="18"/>
                <w:szCs w:val="18"/>
              </w:rPr>
            </w:pPr>
            <w:r>
              <w:rPr>
                <w:rFonts w:ascii="Century Gothic"/>
                <w:spacing w:val="-1"/>
                <w:sz w:val="18"/>
              </w:rPr>
              <w:t>38,938,292.48</w:t>
            </w:r>
          </w:p>
        </w:tc>
        <w:tc>
          <w:tcPr>
            <w:tcW w:w="1342" w:type="dxa"/>
            <w:tcBorders>
              <w:top w:val="single" w:sz="6" w:space="0" w:color="000000"/>
              <w:left w:val="single" w:sz="6" w:space="0" w:color="000000"/>
              <w:bottom w:val="single" w:sz="6" w:space="0" w:color="000000"/>
              <w:right w:val="single" w:sz="6" w:space="0" w:color="000000"/>
            </w:tcBorders>
          </w:tcPr>
          <w:p>
            <w:pPr/>
          </w:p>
        </w:tc>
        <w:tc>
          <w:tcPr>
            <w:tcW w:w="2312" w:type="dxa"/>
            <w:tcBorders>
              <w:top w:val="single" w:sz="6" w:space="0" w:color="000000"/>
              <w:left w:val="single" w:sz="6" w:space="0" w:color="000000"/>
              <w:bottom w:val="single" w:sz="6" w:space="0" w:color="000000"/>
              <w:right w:val="nil" w:sz="6" w:space="0" w:color="auto"/>
            </w:tcBorders>
          </w:tcPr>
          <w:p>
            <w:pPr/>
          </w:p>
        </w:tc>
      </w:tr>
      <w:tr>
        <w:trPr>
          <w:trHeight w:val="716"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杭州华</w:t>
            </w:r>
            <w:r>
              <w:rPr>
                <w:rFonts w:ascii="宋体" w:hAnsi="宋体" w:cs="宋体" w:eastAsia="宋体" w:hint="default"/>
                <w:spacing w:val="-56"/>
                <w:sz w:val="18"/>
                <w:szCs w:val="18"/>
              </w:rPr>
              <w:t> </w:t>
            </w:r>
            <w:r>
              <w:rPr>
                <w:rFonts w:ascii="宋体" w:hAnsi="宋体" w:cs="宋体" w:eastAsia="宋体" w:hint="default"/>
                <w:spacing w:val="18"/>
                <w:sz w:val="18"/>
                <w:szCs w:val="18"/>
              </w:rPr>
              <w:t>立科</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22" w:right="61"/>
              <w:jc w:val="left"/>
              <w:rPr>
                <w:rFonts w:ascii="宋体" w:hAnsi="宋体" w:cs="宋体" w:eastAsia="宋体" w:hint="default"/>
                <w:sz w:val="18"/>
                <w:szCs w:val="18"/>
              </w:rPr>
            </w:pPr>
            <w:r>
              <w:rPr>
                <w:rFonts w:ascii="宋体" w:hAnsi="宋体" w:cs="宋体" w:eastAsia="宋体" w:hint="default"/>
                <w:spacing w:val="24"/>
                <w:sz w:val="18"/>
                <w:szCs w:val="18"/>
              </w:rPr>
              <w:t>技园有</w:t>
            </w:r>
            <w:r>
              <w:rPr>
                <w:rFonts w:ascii="宋体" w:hAnsi="宋体" w:cs="宋体" w:eastAsia="宋体" w:hint="default"/>
                <w:spacing w:val="-56"/>
                <w:sz w:val="18"/>
                <w:szCs w:val="18"/>
              </w:rPr>
              <w:t> </w:t>
            </w:r>
            <w:r>
              <w:rPr>
                <w:rFonts w:ascii="宋体" w:hAnsi="宋体" w:cs="宋体" w:eastAsia="宋体" w:hint="default"/>
                <w:spacing w:val="18"/>
                <w:sz w:val="18"/>
                <w:szCs w:val="18"/>
              </w:rPr>
              <w:t>限公</w:t>
            </w:r>
            <w:r>
              <w:rPr>
                <w:rFonts w:ascii="宋体" w:hAnsi="宋体" w:cs="宋体" w:eastAsia="宋体" w:hint="default"/>
                <w:spacing w:val="-54"/>
                <w:sz w:val="18"/>
                <w:szCs w:val="18"/>
              </w:rPr>
              <w:t> </w:t>
            </w:r>
            <w:r>
              <w:rPr>
                <w:rFonts w:ascii="宋体" w:hAnsi="宋体" w:cs="宋体" w:eastAsia="宋体" w:hint="default"/>
                <w:sz w:val="18"/>
                <w:szCs w:val="18"/>
              </w:rPr>
              <w:t>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left="126" w:right="0"/>
              <w:jc w:val="left"/>
              <w:rPr>
                <w:rFonts w:ascii="Century Gothic" w:hAnsi="Century Gothic" w:cs="Century Gothic" w:eastAsia="Century Gothic" w:hint="default"/>
                <w:sz w:val="18"/>
                <w:szCs w:val="18"/>
              </w:rPr>
            </w:pPr>
            <w:r>
              <w:rPr>
                <w:rFonts w:ascii="Century Gothic"/>
                <w:sz w:val="18"/>
              </w:rPr>
              <w:t>74718516-2</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spacing w:val="-1"/>
                <w:sz w:val="18"/>
              </w:rPr>
              <w:t>8,851,859.14</w:t>
            </w:r>
          </w:p>
        </w:tc>
        <w:tc>
          <w:tcPr>
            <w:tcW w:w="1342" w:type="dxa"/>
            <w:tcBorders>
              <w:top w:val="single" w:sz="6" w:space="0" w:color="000000"/>
              <w:left w:val="single" w:sz="6" w:space="0" w:color="000000"/>
              <w:bottom w:val="single" w:sz="6" w:space="0" w:color="000000"/>
              <w:right w:val="single" w:sz="6" w:space="0" w:color="000000"/>
            </w:tcBorders>
          </w:tcPr>
          <w:p>
            <w:pPr/>
          </w:p>
        </w:tc>
        <w:tc>
          <w:tcPr>
            <w:tcW w:w="2312" w:type="dxa"/>
            <w:tcBorders>
              <w:top w:val="single" w:sz="6" w:space="0" w:color="000000"/>
              <w:left w:val="single" w:sz="6" w:space="0" w:color="000000"/>
              <w:bottom w:val="single" w:sz="6" w:space="0" w:color="000000"/>
              <w:right w:val="nil" w:sz="6" w:space="0" w:color="auto"/>
            </w:tcBorders>
          </w:tcPr>
          <w:p>
            <w:pPr/>
          </w:p>
        </w:tc>
      </w:tr>
      <w:tr>
        <w:trPr>
          <w:trHeight w:val="718"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华立仪</w:t>
            </w:r>
            <w:r>
              <w:rPr>
                <w:rFonts w:ascii="宋体" w:hAnsi="宋体" w:cs="宋体" w:eastAsia="宋体" w:hint="default"/>
                <w:spacing w:val="-56"/>
                <w:sz w:val="18"/>
                <w:szCs w:val="18"/>
              </w:rPr>
              <w:t> </w:t>
            </w:r>
            <w:r>
              <w:rPr>
                <w:rFonts w:ascii="宋体" w:hAnsi="宋体" w:cs="宋体" w:eastAsia="宋体" w:hint="default"/>
                <w:spacing w:val="18"/>
                <w:sz w:val="18"/>
                <w:szCs w:val="18"/>
              </w:rPr>
              <w:t>表集</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22" w:right="61"/>
              <w:jc w:val="left"/>
              <w:rPr>
                <w:rFonts w:ascii="宋体" w:hAnsi="宋体" w:cs="宋体" w:eastAsia="宋体" w:hint="default"/>
                <w:sz w:val="18"/>
                <w:szCs w:val="18"/>
              </w:rPr>
            </w:pPr>
            <w:r>
              <w:rPr>
                <w:rFonts w:ascii="宋体" w:hAnsi="宋体" w:cs="宋体" w:eastAsia="宋体" w:hint="default"/>
                <w:spacing w:val="24"/>
                <w:sz w:val="18"/>
                <w:szCs w:val="18"/>
              </w:rPr>
              <w:t>团重庆</w:t>
            </w:r>
            <w:r>
              <w:rPr>
                <w:rFonts w:ascii="宋体" w:hAnsi="宋体" w:cs="宋体" w:eastAsia="宋体" w:hint="default"/>
                <w:spacing w:val="-56"/>
                <w:sz w:val="18"/>
                <w:szCs w:val="18"/>
              </w:rPr>
              <w:t> </w:t>
            </w:r>
            <w:r>
              <w:rPr>
                <w:rFonts w:ascii="宋体" w:hAnsi="宋体" w:cs="宋体" w:eastAsia="宋体" w:hint="default"/>
                <w:spacing w:val="18"/>
                <w:sz w:val="18"/>
                <w:szCs w:val="18"/>
              </w:rPr>
              <w:t>仪表</w:t>
            </w:r>
            <w:r>
              <w:rPr>
                <w:rFonts w:ascii="宋体" w:hAnsi="宋体" w:cs="宋体" w:eastAsia="宋体" w:hint="default"/>
                <w:spacing w:val="-54"/>
                <w:sz w:val="18"/>
                <w:szCs w:val="18"/>
              </w:rPr>
              <w:t> </w:t>
            </w:r>
            <w:r>
              <w:rPr>
                <w:rFonts w:ascii="宋体" w:hAnsi="宋体" w:cs="宋体" w:eastAsia="宋体" w:hint="default"/>
                <w:sz w:val="18"/>
                <w:szCs w:val="18"/>
              </w:rPr>
              <w:t>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left="121" w:right="0"/>
              <w:jc w:val="left"/>
              <w:rPr>
                <w:rFonts w:ascii="Century Gothic" w:hAnsi="Century Gothic" w:cs="Century Gothic" w:eastAsia="Century Gothic" w:hint="default"/>
                <w:sz w:val="18"/>
                <w:szCs w:val="18"/>
              </w:rPr>
            </w:pPr>
            <w:r>
              <w:rPr>
                <w:rFonts w:ascii="Century Gothic"/>
                <w:sz w:val="18"/>
              </w:rPr>
              <w:t>20323881-X</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00"/>
              <w:jc w:val="right"/>
              <w:rPr>
                <w:rFonts w:ascii="Century Gothic" w:hAnsi="Century Gothic" w:cs="Century Gothic" w:eastAsia="Century Gothic" w:hint="default"/>
                <w:sz w:val="18"/>
                <w:szCs w:val="18"/>
              </w:rPr>
            </w:pPr>
            <w:r>
              <w:rPr>
                <w:rFonts w:ascii="Century Gothic"/>
                <w:spacing w:val="-1"/>
                <w:sz w:val="18"/>
              </w:rPr>
              <w:t>41,996,731.02</w:t>
            </w:r>
          </w:p>
        </w:tc>
        <w:tc>
          <w:tcPr>
            <w:tcW w:w="1342" w:type="dxa"/>
            <w:tcBorders>
              <w:top w:val="single" w:sz="6" w:space="0" w:color="000000"/>
              <w:left w:val="single" w:sz="6" w:space="0" w:color="000000"/>
              <w:bottom w:val="single" w:sz="6" w:space="0" w:color="000000"/>
              <w:right w:val="single" w:sz="6" w:space="0" w:color="000000"/>
            </w:tcBorders>
          </w:tcPr>
          <w:p>
            <w:pPr/>
          </w:p>
        </w:tc>
        <w:tc>
          <w:tcPr>
            <w:tcW w:w="2312"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重庆华</w:t>
            </w:r>
            <w:r>
              <w:rPr>
                <w:rFonts w:ascii="宋体" w:hAnsi="宋体" w:cs="宋体" w:eastAsia="宋体" w:hint="default"/>
                <w:spacing w:val="-56"/>
                <w:sz w:val="18"/>
                <w:szCs w:val="18"/>
              </w:rPr>
              <w:t> </w:t>
            </w:r>
            <w:r>
              <w:rPr>
                <w:rFonts w:ascii="宋体" w:hAnsi="宋体" w:cs="宋体" w:eastAsia="宋体" w:hint="default"/>
                <w:spacing w:val="18"/>
                <w:sz w:val="18"/>
                <w:szCs w:val="18"/>
              </w:rPr>
              <w:t>虹仪</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表有限公司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26" w:right="0"/>
              <w:jc w:val="left"/>
              <w:rPr>
                <w:rFonts w:ascii="Century Gothic" w:hAnsi="Century Gothic" w:cs="Century Gothic" w:eastAsia="Century Gothic" w:hint="default"/>
                <w:sz w:val="18"/>
                <w:szCs w:val="18"/>
              </w:rPr>
            </w:pPr>
            <w:r>
              <w:rPr>
                <w:rFonts w:ascii="Century Gothic"/>
                <w:sz w:val="18"/>
              </w:rPr>
              <w:t>73394097-2</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15,676,432.61</w:t>
            </w:r>
          </w:p>
        </w:tc>
        <w:tc>
          <w:tcPr>
            <w:tcW w:w="1342" w:type="dxa"/>
            <w:tcBorders>
              <w:top w:val="single" w:sz="6" w:space="0" w:color="000000"/>
              <w:left w:val="single" w:sz="6" w:space="0" w:color="000000"/>
              <w:bottom w:val="single" w:sz="6" w:space="0" w:color="000000"/>
              <w:right w:val="single" w:sz="6" w:space="0" w:color="000000"/>
            </w:tcBorders>
          </w:tcPr>
          <w:p>
            <w:pPr/>
          </w:p>
        </w:tc>
        <w:tc>
          <w:tcPr>
            <w:tcW w:w="2312" w:type="dxa"/>
            <w:tcBorders>
              <w:top w:val="single" w:sz="6" w:space="0" w:color="000000"/>
              <w:left w:val="single" w:sz="6" w:space="0" w:color="000000"/>
              <w:bottom w:val="single" w:sz="6" w:space="0" w:color="000000"/>
              <w:right w:val="nil" w:sz="6" w:space="0" w:color="auto"/>
            </w:tcBorders>
          </w:tcPr>
          <w:p>
            <w:pPr/>
          </w:p>
        </w:tc>
      </w:tr>
      <w:tr>
        <w:trPr>
          <w:trHeight w:val="718"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浙江华</w:t>
            </w:r>
            <w:r>
              <w:rPr>
                <w:rFonts w:ascii="宋体" w:hAnsi="宋体" w:cs="宋体" w:eastAsia="宋体" w:hint="default"/>
                <w:spacing w:val="-56"/>
                <w:sz w:val="18"/>
                <w:szCs w:val="18"/>
              </w:rPr>
              <w:t> </w:t>
            </w:r>
            <w:r>
              <w:rPr>
                <w:rFonts w:ascii="宋体" w:hAnsi="宋体" w:cs="宋体" w:eastAsia="宋体" w:hint="default"/>
                <w:spacing w:val="18"/>
                <w:sz w:val="18"/>
                <w:szCs w:val="18"/>
              </w:rPr>
              <w:t>立利</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22" w:right="61"/>
              <w:jc w:val="left"/>
              <w:rPr>
                <w:rFonts w:ascii="宋体" w:hAnsi="宋体" w:cs="宋体" w:eastAsia="宋体" w:hint="default"/>
                <w:sz w:val="18"/>
                <w:szCs w:val="18"/>
              </w:rPr>
            </w:pPr>
            <w:r>
              <w:rPr>
                <w:rFonts w:ascii="宋体" w:hAnsi="宋体" w:cs="宋体" w:eastAsia="宋体" w:hint="default"/>
                <w:spacing w:val="24"/>
                <w:sz w:val="18"/>
                <w:szCs w:val="18"/>
              </w:rPr>
              <w:t>源仪表</w:t>
            </w:r>
            <w:r>
              <w:rPr>
                <w:rFonts w:ascii="宋体" w:hAnsi="宋体" w:cs="宋体" w:eastAsia="宋体" w:hint="default"/>
                <w:spacing w:val="-56"/>
                <w:sz w:val="18"/>
                <w:szCs w:val="18"/>
              </w:rPr>
              <w:t> </w:t>
            </w:r>
            <w:r>
              <w:rPr>
                <w:rFonts w:ascii="宋体" w:hAnsi="宋体" w:cs="宋体" w:eastAsia="宋体" w:hint="default"/>
                <w:spacing w:val="18"/>
                <w:sz w:val="18"/>
                <w:szCs w:val="18"/>
              </w:rPr>
              <w:t>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left="126" w:right="0"/>
              <w:jc w:val="left"/>
              <w:rPr>
                <w:rFonts w:ascii="Century Gothic" w:hAnsi="Century Gothic" w:cs="Century Gothic" w:eastAsia="Century Gothic" w:hint="default"/>
                <w:sz w:val="18"/>
                <w:szCs w:val="18"/>
              </w:rPr>
            </w:pPr>
            <w:r>
              <w:rPr>
                <w:rFonts w:ascii="Century Gothic"/>
                <w:sz w:val="18"/>
              </w:rPr>
              <w:t>79368518-4</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spacing w:val="-1"/>
                <w:sz w:val="18"/>
              </w:rPr>
              <w:t>2,946,701.18</w:t>
            </w:r>
          </w:p>
        </w:tc>
        <w:tc>
          <w:tcPr>
            <w:tcW w:w="1342" w:type="dxa"/>
            <w:tcBorders>
              <w:top w:val="single" w:sz="6" w:space="0" w:color="000000"/>
              <w:left w:val="single" w:sz="6" w:space="0" w:color="000000"/>
              <w:bottom w:val="single" w:sz="6" w:space="0" w:color="000000"/>
              <w:right w:val="single" w:sz="6" w:space="0" w:color="000000"/>
            </w:tcBorders>
          </w:tcPr>
          <w:p>
            <w:pPr/>
          </w:p>
        </w:tc>
        <w:tc>
          <w:tcPr>
            <w:tcW w:w="2312"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272"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杭州子</w:t>
            </w:r>
            <w:r>
              <w:rPr>
                <w:rFonts w:ascii="宋体" w:hAnsi="宋体" w:cs="宋体" w:eastAsia="宋体" w:hint="default"/>
                <w:spacing w:val="-56"/>
                <w:sz w:val="18"/>
                <w:szCs w:val="18"/>
              </w:rPr>
              <w:t> </w:t>
            </w:r>
            <w:r>
              <w:rPr>
                <w:rFonts w:ascii="宋体" w:hAnsi="宋体" w:cs="宋体" w:eastAsia="宋体" w:hint="default"/>
                <w:spacing w:val="18"/>
                <w:sz w:val="18"/>
                <w:szCs w:val="18"/>
              </w:rPr>
              <w:t>蜂软</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21" w:right="0"/>
              <w:jc w:val="left"/>
              <w:rPr>
                <w:rFonts w:ascii="Century Gothic" w:hAnsi="Century Gothic" w:cs="Century Gothic" w:eastAsia="Century Gothic" w:hint="default"/>
                <w:sz w:val="18"/>
                <w:szCs w:val="18"/>
              </w:rPr>
            </w:pPr>
            <w:r>
              <w:rPr>
                <w:rFonts w:ascii="Century Gothic"/>
                <w:sz w:val="18"/>
              </w:rPr>
              <w:t>79966056-X</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11,570,541.08</w:t>
            </w:r>
          </w:p>
        </w:tc>
        <w:tc>
          <w:tcPr>
            <w:tcW w:w="1342" w:type="dxa"/>
            <w:tcBorders>
              <w:top w:val="single" w:sz="6" w:space="0" w:color="000000"/>
              <w:left w:val="single" w:sz="6" w:space="0" w:color="000000"/>
              <w:bottom w:val="single" w:sz="6" w:space="0" w:color="000000"/>
              <w:right w:val="single" w:sz="6" w:space="0" w:color="000000"/>
            </w:tcBorders>
          </w:tcPr>
          <w:p>
            <w:pPr/>
          </w:p>
        </w:tc>
        <w:tc>
          <w:tcPr>
            <w:tcW w:w="2312" w:type="dxa"/>
            <w:tcBorders>
              <w:top w:val="single" w:sz="6" w:space="0" w:color="000000"/>
              <w:left w:val="single" w:sz="6" w:space="0" w:color="000000"/>
              <w:bottom w:val="single" w:sz="6" w:space="0" w:color="000000"/>
              <w:right w:val="nil" w:sz="6" w:space="0" w:color="auto"/>
            </w:tcBorders>
          </w:tcPr>
          <w:p>
            <w:pPr/>
          </w:p>
        </w:tc>
      </w:tr>
      <w:tr>
        <w:trPr>
          <w:trHeight w:val="725" w:hRule="exact"/>
        </w:trPr>
        <w:tc>
          <w:tcPr>
            <w:tcW w:w="1272"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4"/>
                <w:sz w:val="18"/>
                <w:szCs w:val="18"/>
              </w:rPr>
              <w:t>浙江华</w:t>
            </w:r>
            <w:r>
              <w:rPr>
                <w:rFonts w:ascii="宋体" w:hAnsi="宋体" w:cs="宋体" w:eastAsia="宋体" w:hint="default"/>
                <w:spacing w:val="-56"/>
                <w:sz w:val="18"/>
                <w:szCs w:val="18"/>
              </w:rPr>
              <w:t> </w:t>
            </w:r>
            <w:r>
              <w:rPr>
                <w:rFonts w:ascii="宋体" w:hAnsi="宋体" w:cs="宋体" w:eastAsia="宋体" w:hint="default"/>
                <w:spacing w:val="18"/>
                <w:sz w:val="18"/>
                <w:szCs w:val="18"/>
              </w:rPr>
              <w:t>立电</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ind w:left="122" w:right="61"/>
              <w:jc w:val="left"/>
              <w:rPr>
                <w:rFonts w:ascii="宋体" w:hAnsi="宋体" w:cs="宋体" w:eastAsia="宋体" w:hint="default"/>
                <w:sz w:val="18"/>
                <w:szCs w:val="18"/>
              </w:rPr>
            </w:pPr>
            <w:r>
              <w:rPr>
                <w:rFonts w:ascii="宋体" w:hAnsi="宋体" w:cs="宋体" w:eastAsia="宋体" w:hint="default"/>
                <w:spacing w:val="24"/>
                <w:sz w:val="18"/>
                <w:szCs w:val="18"/>
              </w:rPr>
              <w:t>子技术</w:t>
            </w:r>
            <w:r>
              <w:rPr>
                <w:rFonts w:ascii="宋体" w:hAnsi="宋体" w:cs="宋体" w:eastAsia="宋体" w:hint="default"/>
                <w:spacing w:val="-56"/>
                <w:sz w:val="18"/>
                <w:szCs w:val="18"/>
              </w:rPr>
              <w:t> </w:t>
            </w:r>
            <w:r>
              <w:rPr>
                <w:rFonts w:ascii="宋体" w:hAnsi="宋体" w:cs="宋体" w:eastAsia="宋体" w:hint="default"/>
                <w:spacing w:val="18"/>
                <w:sz w:val="18"/>
                <w:szCs w:val="18"/>
              </w:rPr>
              <w:t>有限</w:t>
            </w:r>
            <w:r>
              <w:rPr>
                <w:rFonts w:ascii="宋体" w:hAnsi="宋体" w:cs="宋体" w:eastAsia="宋体" w:hint="default"/>
                <w:spacing w:val="-54"/>
                <w:sz w:val="18"/>
                <w:szCs w:val="18"/>
              </w:rPr>
              <w:t> </w:t>
            </w:r>
            <w:r>
              <w:rPr>
                <w:rFonts w:ascii="宋体" w:hAnsi="宋体" w:cs="宋体" w:eastAsia="宋体" w:hint="default"/>
                <w:sz w:val="18"/>
                <w:szCs w:val="18"/>
              </w:rPr>
              <w:t>公司</w:t>
            </w: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中外合作</w:t>
            </w:r>
          </w:p>
        </w:tc>
        <w:tc>
          <w:tcPr>
            <w:tcW w:w="12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left="126" w:right="0"/>
              <w:jc w:val="left"/>
              <w:rPr>
                <w:rFonts w:ascii="Century Gothic" w:hAnsi="Century Gothic" w:cs="Century Gothic" w:eastAsia="Century Gothic" w:hint="default"/>
                <w:sz w:val="18"/>
                <w:szCs w:val="18"/>
              </w:rPr>
            </w:pPr>
            <w:r>
              <w:rPr>
                <w:rFonts w:ascii="Century Gothic"/>
                <w:sz w:val="18"/>
              </w:rPr>
              <w:t>71256007-3</w:t>
            </w:r>
          </w:p>
        </w:tc>
        <w:tc>
          <w:tcPr>
            <w:tcW w:w="14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00"/>
              <w:jc w:val="right"/>
              <w:rPr>
                <w:rFonts w:ascii="Century Gothic" w:hAnsi="Century Gothic" w:cs="Century Gothic" w:eastAsia="Century Gothic" w:hint="default"/>
                <w:sz w:val="18"/>
                <w:szCs w:val="18"/>
              </w:rPr>
            </w:pPr>
            <w:r>
              <w:rPr>
                <w:rFonts w:ascii="Century Gothic"/>
                <w:spacing w:val="-1"/>
                <w:sz w:val="18"/>
              </w:rPr>
              <w:t>13,800,608.62</w:t>
            </w:r>
          </w:p>
        </w:tc>
        <w:tc>
          <w:tcPr>
            <w:tcW w:w="1342" w:type="dxa"/>
            <w:tcBorders>
              <w:top w:val="single" w:sz="6" w:space="0" w:color="000000"/>
              <w:left w:val="single" w:sz="6" w:space="0" w:color="000000"/>
              <w:bottom w:val="single" w:sz="12" w:space="0" w:color="000000"/>
              <w:right w:val="single" w:sz="6" w:space="0" w:color="000000"/>
            </w:tcBorders>
          </w:tcPr>
          <w:p>
            <w:pPr/>
          </w:p>
        </w:tc>
        <w:tc>
          <w:tcPr>
            <w:tcW w:w="231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9"/>
        <w:rPr>
          <w:rFonts w:ascii="黑体" w:hAnsi="黑体" w:cs="黑体" w:eastAsia="黑体" w:hint="default"/>
          <w:b/>
          <w:bCs/>
          <w:sz w:val="13"/>
          <w:szCs w:val="13"/>
        </w:rPr>
      </w:pPr>
    </w:p>
    <w:p>
      <w:pPr>
        <w:pStyle w:val="Heading4"/>
        <w:spacing w:line="240" w:lineRule="auto"/>
        <w:ind w:right="0"/>
        <w:jc w:val="left"/>
        <w:rPr>
          <w:rFonts w:ascii="宋体" w:hAnsi="宋体" w:cs="宋体" w:eastAsia="宋体" w:hint="default"/>
          <w:b w:val="0"/>
          <w:bCs w:val="0"/>
        </w:rPr>
      </w:pPr>
      <w:r>
        <w:rPr>
          <w:rFonts w:ascii="Century Gothic" w:hAnsi="Century Gothic" w:cs="Century Gothic" w:eastAsia="Century Gothic" w:hint="default"/>
        </w:rPr>
        <w:t>3.</w:t>
      </w:r>
      <w:r>
        <w:rPr>
          <w:rFonts w:ascii="Century Gothic" w:hAnsi="Century Gothic" w:cs="Century Gothic" w:eastAsia="Century Gothic" w:hint="default"/>
          <w:spacing w:val="4"/>
        </w:rPr>
        <w:t> </w:t>
      </w:r>
      <w:r>
        <w:rPr>
          <w:rFonts w:ascii="宋体" w:hAnsi="宋体" w:cs="宋体" w:eastAsia="宋体" w:hint="default"/>
        </w:rPr>
        <w:t>非同一控制下的企业合并取得的子公司</w:t>
      </w:r>
      <w:r>
        <w:rPr>
          <w:rFonts w:ascii="宋体" w:hAnsi="宋体" w:cs="宋体" w:eastAsia="宋体" w:hint="default"/>
          <w:b w:val="0"/>
          <w:bCs w:val="0"/>
        </w:rPr>
      </w:r>
    </w:p>
    <w:p>
      <w:pPr>
        <w:spacing w:line="240" w:lineRule="auto" w:before="10"/>
        <w:rPr>
          <w:rFonts w:ascii="宋体" w:hAnsi="宋体" w:cs="宋体" w:eastAsia="宋体" w:hint="default"/>
          <w:b/>
          <w:bCs/>
          <w:sz w:val="20"/>
          <w:szCs w:val="20"/>
        </w:rPr>
      </w:pPr>
    </w:p>
    <w:tbl>
      <w:tblPr>
        <w:tblW w:w="0" w:type="auto"/>
        <w:jc w:val="left"/>
        <w:tblInd w:w="190" w:type="dxa"/>
        <w:tblLayout w:type="fixed"/>
        <w:tblCellMar>
          <w:top w:w="0" w:type="dxa"/>
          <w:left w:w="0" w:type="dxa"/>
          <w:bottom w:w="0" w:type="dxa"/>
          <w:right w:w="0" w:type="dxa"/>
        </w:tblCellMar>
        <w:tblLook w:val="01E0"/>
      </w:tblPr>
      <w:tblGrid>
        <w:gridCol w:w="1651"/>
        <w:gridCol w:w="1429"/>
        <w:gridCol w:w="1284"/>
        <w:gridCol w:w="1264"/>
        <w:gridCol w:w="1262"/>
        <w:gridCol w:w="829"/>
        <w:gridCol w:w="1321"/>
      </w:tblGrid>
      <w:tr>
        <w:trPr>
          <w:trHeight w:val="831" w:hRule="exact"/>
        </w:trPr>
        <w:tc>
          <w:tcPr>
            <w:tcW w:w="1651" w:type="dxa"/>
            <w:tcBorders>
              <w:top w:val="single" w:sz="12" w:space="0" w:color="000000"/>
              <w:left w:val="nil" w:sz="6" w:space="0" w:color="auto"/>
              <w:bottom w:val="single" w:sz="6" w:space="0" w:color="000000"/>
              <w:right w:val="single" w:sz="6" w:space="0" w:color="000000"/>
            </w:tcBorders>
          </w:tcPr>
          <w:p>
            <w:pPr>
              <w:pStyle w:val="TableParagraph"/>
              <w:spacing w:line="235" w:lineRule="exact" w:before="124"/>
              <w:ind w:left="381"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35" w:lineRule="exact"/>
              <w:ind w:left="471"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4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12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4"/>
              <w:ind w:left="318" w:right="134"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13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经营范围</w:t>
            </w:r>
          </w:p>
        </w:tc>
      </w:tr>
      <w:tr>
        <w:trPr>
          <w:trHeight w:val="952"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22" w:right="73"/>
              <w:jc w:val="left"/>
              <w:rPr>
                <w:rFonts w:ascii="宋体" w:hAnsi="宋体" w:cs="宋体" w:eastAsia="宋体" w:hint="default"/>
                <w:sz w:val="18"/>
                <w:szCs w:val="18"/>
              </w:rPr>
            </w:pPr>
            <w:r>
              <w:rPr>
                <w:rFonts w:ascii="宋体" w:hAnsi="宋体" w:cs="宋体" w:eastAsia="宋体" w:hint="default"/>
                <w:spacing w:val="20"/>
                <w:sz w:val="18"/>
                <w:szCs w:val="18"/>
              </w:rPr>
              <w:t>重庆华立武</w:t>
            </w:r>
            <w:r>
              <w:rPr>
                <w:rFonts w:ascii="宋体" w:hAnsi="宋体" w:cs="宋体" w:eastAsia="宋体" w:hint="default"/>
                <w:spacing w:val="-62"/>
                <w:sz w:val="18"/>
                <w:szCs w:val="18"/>
              </w:rPr>
              <w:t> </w:t>
            </w:r>
            <w:r>
              <w:rPr>
                <w:rFonts w:ascii="宋体" w:hAnsi="宋体" w:cs="宋体" w:eastAsia="宋体" w:hint="default"/>
                <w:spacing w:val="13"/>
                <w:sz w:val="18"/>
                <w:szCs w:val="18"/>
              </w:rPr>
              <w:t>陵山</w:t>
            </w:r>
            <w:r>
              <w:rPr>
                <w:rFonts w:ascii="宋体" w:hAnsi="宋体" w:cs="宋体" w:eastAsia="宋体" w:hint="default"/>
                <w:spacing w:val="-88"/>
                <w:sz w:val="18"/>
                <w:szCs w:val="18"/>
              </w:rPr>
              <w:t> </w:t>
            </w:r>
            <w:r>
              <w:rPr>
                <w:rFonts w:ascii="宋体" w:hAnsi="宋体" w:cs="宋体" w:eastAsia="宋体" w:hint="default"/>
                <w:sz w:val="18"/>
                <w:szCs w:val="18"/>
              </w:rPr>
              <w:t>制药有限公司</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38" w:right="164"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56"/>
              <w:jc w:val="both"/>
              <w:rPr>
                <w:rFonts w:ascii="宋体" w:hAnsi="宋体" w:cs="宋体" w:eastAsia="宋体" w:hint="default"/>
                <w:sz w:val="18"/>
                <w:szCs w:val="18"/>
              </w:rPr>
            </w:pPr>
            <w:r>
              <w:rPr>
                <w:rFonts w:ascii="宋体" w:hAnsi="宋体" w:cs="宋体" w:eastAsia="宋体" w:hint="default"/>
                <w:spacing w:val="33"/>
                <w:sz w:val="18"/>
                <w:szCs w:val="18"/>
              </w:rPr>
              <w:t>重庆酉阳县</w:t>
            </w:r>
            <w:r>
              <w:rPr>
                <w:rFonts w:ascii="宋体" w:hAnsi="宋体" w:cs="宋体" w:eastAsia="宋体" w:hint="default"/>
                <w:spacing w:val="-88"/>
                <w:sz w:val="18"/>
                <w:szCs w:val="18"/>
              </w:rPr>
              <w:t> </w:t>
            </w:r>
            <w:r>
              <w:rPr>
                <w:rFonts w:ascii="宋体" w:hAnsi="宋体" w:cs="宋体" w:eastAsia="宋体" w:hint="default"/>
                <w:spacing w:val="33"/>
                <w:sz w:val="18"/>
                <w:szCs w:val="18"/>
              </w:rPr>
              <w:t>钟多镇翠屏</w:t>
            </w:r>
            <w:r>
              <w:rPr>
                <w:rFonts w:ascii="宋体" w:hAnsi="宋体" w:cs="宋体" w:eastAsia="宋体" w:hint="default"/>
                <w:spacing w:val="-88"/>
                <w:sz w:val="18"/>
                <w:szCs w:val="18"/>
              </w:rPr>
              <w:t> </w:t>
            </w:r>
            <w:r>
              <w:rPr>
                <w:rFonts w:ascii="宋体" w:hAnsi="宋体" w:cs="宋体" w:eastAsia="宋体" w:hint="default"/>
                <w:sz w:val="18"/>
                <w:szCs w:val="18"/>
              </w:rPr>
              <w:t>街 </w:t>
            </w:r>
            <w:r>
              <w:rPr>
                <w:rFonts w:ascii="Century Gothic" w:hAnsi="Century Gothic" w:cs="Century Gothic" w:eastAsia="Century Gothic" w:hint="default"/>
                <w:sz w:val="18"/>
                <w:szCs w:val="18"/>
              </w:rPr>
              <w:t>108</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号</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
              <w:jc w:val="center"/>
              <w:rPr>
                <w:rFonts w:ascii="Century Gothic" w:hAnsi="Century Gothic" w:cs="Century Gothic" w:eastAsia="Century Gothic" w:hint="default"/>
                <w:sz w:val="18"/>
                <w:szCs w:val="18"/>
              </w:rPr>
            </w:pPr>
            <w:r>
              <w:rPr>
                <w:rFonts w:ascii="Century Gothic"/>
                <w:sz w:val="18"/>
              </w:rPr>
              <w:t>1,000.00</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刘永源</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中成药﹑化学</w:t>
            </w:r>
            <w:r>
              <w:rPr>
                <w:rFonts w:ascii="宋体" w:hAnsi="宋体" w:cs="宋体" w:eastAsia="宋体" w:hint="default"/>
                <w:sz w:val="18"/>
                <w:szCs w:val="18"/>
              </w:rPr>
            </w:r>
          </w:p>
          <w:p>
            <w:pPr>
              <w:pStyle w:val="TableParagraph"/>
              <w:spacing w:line="240" w:lineRule="auto"/>
              <w:ind w:left="100" w:right="102"/>
              <w:jc w:val="both"/>
              <w:rPr>
                <w:rFonts w:ascii="宋体" w:hAnsi="宋体" w:cs="宋体" w:eastAsia="宋体" w:hint="default"/>
                <w:sz w:val="18"/>
                <w:szCs w:val="18"/>
              </w:rPr>
            </w:pPr>
            <w:r>
              <w:rPr>
                <w:rFonts w:ascii="宋体" w:hAnsi="宋体" w:cs="宋体" w:eastAsia="宋体" w:hint="default"/>
                <w:spacing w:val="4"/>
                <w:sz w:val="18"/>
                <w:szCs w:val="18"/>
              </w:rPr>
              <w:t>药品及化学原 料药品制造销 </w:t>
            </w:r>
            <w:r>
              <w:rPr>
                <w:rFonts w:ascii="宋体" w:hAnsi="宋体" w:cs="宋体" w:eastAsia="宋体" w:hint="default"/>
                <w:sz w:val="18"/>
                <w:szCs w:val="18"/>
              </w:rPr>
              <w:t>售</w:t>
            </w:r>
          </w:p>
        </w:tc>
      </w:tr>
      <w:tr>
        <w:trPr>
          <w:trHeight w:val="950"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22" w:right="73"/>
              <w:jc w:val="left"/>
              <w:rPr>
                <w:rFonts w:ascii="宋体" w:hAnsi="宋体" w:cs="宋体" w:eastAsia="宋体" w:hint="default"/>
                <w:sz w:val="18"/>
                <w:szCs w:val="18"/>
              </w:rPr>
            </w:pPr>
            <w:r>
              <w:rPr>
                <w:rFonts w:ascii="宋体" w:hAnsi="宋体" w:cs="宋体" w:eastAsia="宋体" w:hint="default"/>
                <w:spacing w:val="20"/>
                <w:sz w:val="18"/>
                <w:szCs w:val="18"/>
              </w:rPr>
              <w:t>湘西华立制</w:t>
            </w:r>
            <w:r>
              <w:rPr>
                <w:rFonts w:ascii="宋体" w:hAnsi="宋体" w:cs="宋体" w:eastAsia="宋体" w:hint="default"/>
                <w:spacing w:val="-62"/>
                <w:sz w:val="18"/>
                <w:szCs w:val="18"/>
              </w:rPr>
              <w:t> </w:t>
            </w:r>
            <w:r>
              <w:rPr>
                <w:rFonts w:ascii="宋体" w:hAnsi="宋体" w:cs="宋体" w:eastAsia="宋体" w:hint="default"/>
                <w:spacing w:val="13"/>
                <w:sz w:val="18"/>
                <w:szCs w:val="18"/>
              </w:rPr>
              <w:t>药有</w:t>
            </w:r>
            <w:r>
              <w:rPr>
                <w:rFonts w:ascii="宋体" w:hAnsi="宋体" w:cs="宋体" w:eastAsia="宋体" w:hint="default"/>
                <w:spacing w:val="-88"/>
                <w:sz w:val="18"/>
                <w:szCs w:val="18"/>
              </w:rPr>
              <w:t> </w:t>
            </w:r>
            <w:r>
              <w:rPr>
                <w:rFonts w:ascii="宋体" w:hAnsi="宋体" w:cs="宋体" w:eastAsia="宋体" w:hint="default"/>
                <w:sz w:val="18"/>
                <w:szCs w:val="18"/>
              </w:rPr>
              <w:t>限公司</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38" w:right="164"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56"/>
              <w:jc w:val="both"/>
              <w:rPr>
                <w:rFonts w:ascii="宋体" w:hAnsi="宋体" w:cs="宋体" w:eastAsia="宋体" w:hint="default"/>
                <w:sz w:val="18"/>
                <w:szCs w:val="18"/>
              </w:rPr>
            </w:pPr>
            <w:r>
              <w:rPr>
                <w:rFonts w:ascii="宋体" w:hAnsi="宋体" w:cs="宋体" w:eastAsia="宋体" w:hint="default"/>
                <w:spacing w:val="33"/>
                <w:sz w:val="18"/>
                <w:szCs w:val="18"/>
              </w:rPr>
              <w:t>吉首市乾州</w:t>
            </w:r>
            <w:r>
              <w:rPr>
                <w:rFonts w:ascii="宋体" w:hAnsi="宋体" w:cs="宋体" w:eastAsia="宋体" w:hint="default"/>
                <w:spacing w:val="-88"/>
                <w:sz w:val="18"/>
                <w:szCs w:val="18"/>
              </w:rPr>
              <w:t> </w:t>
            </w:r>
            <w:r>
              <w:rPr>
                <w:rFonts w:ascii="宋体" w:hAnsi="宋体" w:cs="宋体" w:eastAsia="宋体" w:hint="default"/>
                <w:spacing w:val="33"/>
                <w:sz w:val="18"/>
                <w:szCs w:val="18"/>
              </w:rPr>
              <w:t>新区建新路</w:t>
            </w:r>
            <w:r>
              <w:rPr>
                <w:rFonts w:ascii="宋体" w:hAnsi="宋体" w:cs="宋体" w:eastAsia="宋体" w:hint="default"/>
                <w:spacing w:val="-88"/>
                <w:sz w:val="18"/>
                <w:szCs w:val="18"/>
              </w:rPr>
              <w:t> </w:t>
            </w:r>
            <w:r>
              <w:rPr>
                <w:rFonts w:ascii="Century Gothic" w:hAnsi="Century Gothic" w:cs="Century Gothic" w:eastAsia="Century Gothic" w:hint="default"/>
                <w:sz w:val="18"/>
                <w:szCs w:val="18"/>
              </w:rPr>
              <w:t>168</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号</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
              <w:jc w:val="center"/>
              <w:rPr>
                <w:rFonts w:ascii="Century Gothic" w:hAnsi="Century Gothic" w:cs="Century Gothic" w:eastAsia="Century Gothic" w:hint="default"/>
                <w:sz w:val="18"/>
                <w:szCs w:val="18"/>
              </w:rPr>
            </w:pPr>
            <w:r>
              <w:rPr>
                <w:rFonts w:ascii="Century Gothic"/>
                <w:sz w:val="18"/>
              </w:rPr>
              <w:t>1,000.00</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刘永源</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青蒿素及其系</w:t>
            </w:r>
            <w:r>
              <w:rPr>
                <w:rFonts w:ascii="宋体" w:hAnsi="宋体" w:cs="宋体" w:eastAsia="宋体" w:hint="default"/>
                <w:sz w:val="18"/>
                <w:szCs w:val="18"/>
              </w:rPr>
            </w:r>
          </w:p>
          <w:p>
            <w:pPr>
              <w:pStyle w:val="TableParagraph"/>
              <w:spacing w:line="234" w:lineRule="exact" w:before="22"/>
              <w:ind w:left="100" w:right="72"/>
              <w:jc w:val="both"/>
              <w:rPr>
                <w:rFonts w:ascii="宋体" w:hAnsi="宋体" w:cs="宋体" w:eastAsia="宋体" w:hint="default"/>
                <w:sz w:val="18"/>
                <w:szCs w:val="18"/>
              </w:rPr>
            </w:pPr>
            <w:r>
              <w:rPr>
                <w:rFonts w:ascii="宋体" w:hAnsi="宋体" w:cs="宋体" w:eastAsia="宋体" w:hint="default"/>
                <w:spacing w:val="21"/>
                <w:sz w:val="18"/>
                <w:szCs w:val="18"/>
              </w:rPr>
              <w:t>列产品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pacing w:val="16"/>
                <w:sz w:val="18"/>
                <w:szCs w:val="18"/>
              </w:rPr>
              <w:t>其他</w:t>
            </w:r>
            <w:r>
              <w:rPr>
                <w:rFonts w:ascii="宋体" w:hAnsi="宋体" w:cs="宋体" w:eastAsia="宋体" w:hint="default"/>
                <w:spacing w:val="-58"/>
                <w:sz w:val="18"/>
                <w:szCs w:val="18"/>
              </w:rPr>
              <w:t> </w:t>
            </w:r>
            <w:r>
              <w:rPr>
                <w:rFonts w:ascii="宋体" w:hAnsi="宋体" w:cs="宋体" w:eastAsia="宋体" w:hint="default"/>
                <w:spacing w:val="4"/>
                <w:sz w:val="18"/>
                <w:szCs w:val="18"/>
              </w:rPr>
              <w:t>中西成药的生</w:t>
            </w:r>
            <w:r>
              <w:rPr>
                <w:rFonts w:ascii="宋体" w:hAnsi="宋体" w:cs="宋体" w:eastAsia="宋体" w:hint="default"/>
                <w:spacing w:val="4"/>
                <w:sz w:val="18"/>
                <w:szCs w:val="18"/>
              </w:rPr>
              <w:t> </w:t>
            </w:r>
            <w:r>
              <w:rPr>
                <w:rFonts w:ascii="宋体" w:hAnsi="宋体" w:cs="宋体" w:eastAsia="宋体" w:hint="default"/>
                <w:sz w:val="18"/>
                <w:szCs w:val="18"/>
              </w:rPr>
              <w:t>产销售</w:t>
            </w:r>
          </w:p>
        </w:tc>
      </w:tr>
      <w:tr>
        <w:trPr>
          <w:trHeight w:val="718"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73"/>
              <w:jc w:val="left"/>
              <w:rPr>
                <w:rFonts w:ascii="宋体" w:hAnsi="宋体" w:cs="宋体" w:eastAsia="宋体" w:hint="default"/>
                <w:sz w:val="18"/>
                <w:szCs w:val="18"/>
              </w:rPr>
            </w:pPr>
            <w:r>
              <w:rPr>
                <w:rFonts w:ascii="宋体" w:hAnsi="宋体" w:cs="宋体" w:eastAsia="宋体" w:hint="default"/>
                <w:spacing w:val="20"/>
                <w:sz w:val="18"/>
                <w:szCs w:val="18"/>
              </w:rPr>
              <w:t>重庆美联制</w:t>
            </w:r>
            <w:r>
              <w:rPr>
                <w:rFonts w:ascii="宋体" w:hAnsi="宋体" w:cs="宋体" w:eastAsia="宋体" w:hint="default"/>
                <w:spacing w:val="-62"/>
                <w:sz w:val="18"/>
                <w:szCs w:val="18"/>
              </w:rPr>
              <w:t> </w:t>
            </w:r>
            <w:r>
              <w:rPr>
                <w:rFonts w:ascii="宋体" w:hAnsi="宋体" w:cs="宋体" w:eastAsia="宋体" w:hint="default"/>
                <w:spacing w:val="13"/>
                <w:sz w:val="18"/>
                <w:szCs w:val="18"/>
              </w:rPr>
              <w:t>药有</w:t>
            </w:r>
            <w:r>
              <w:rPr>
                <w:rFonts w:ascii="宋体" w:hAnsi="宋体" w:cs="宋体" w:eastAsia="宋体" w:hint="default"/>
                <w:spacing w:val="-88"/>
                <w:sz w:val="18"/>
                <w:szCs w:val="18"/>
              </w:rPr>
              <w:t> </w:t>
            </w:r>
            <w:r>
              <w:rPr>
                <w:rFonts w:ascii="宋体" w:hAnsi="宋体" w:cs="宋体" w:eastAsia="宋体" w:hint="default"/>
                <w:sz w:val="18"/>
                <w:szCs w:val="18"/>
              </w:rPr>
              <w:t>限公司</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3"/>
                <w:sz w:val="18"/>
                <w:szCs w:val="18"/>
              </w:rPr>
              <w:t>重庆市江北</w:t>
            </w:r>
            <w:r>
              <w:rPr>
                <w:rFonts w:ascii="宋体" w:hAnsi="宋体" w:cs="宋体" w:eastAsia="宋体" w:hint="default"/>
                <w:spacing w:val="-48"/>
                <w:sz w:val="18"/>
                <w:szCs w:val="18"/>
              </w:rPr>
              <w:t> </w:t>
            </w:r>
            <w:r>
              <w:rPr>
                <w:rFonts w:ascii="宋体" w:hAnsi="宋体" w:cs="宋体" w:eastAsia="宋体" w:hint="default"/>
                <w:sz w:val="18"/>
                <w:szCs w:val="18"/>
              </w:rPr>
            </w:r>
          </w:p>
          <w:p>
            <w:pPr>
              <w:pStyle w:val="TableParagraph"/>
              <w:spacing w:line="240" w:lineRule="auto"/>
              <w:ind w:left="100" w:right="56"/>
              <w:jc w:val="left"/>
              <w:rPr>
                <w:rFonts w:ascii="宋体" w:hAnsi="宋体" w:cs="宋体" w:eastAsia="宋体" w:hint="default"/>
                <w:sz w:val="18"/>
                <w:szCs w:val="18"/>
              </w:rPr>
            </w:pPr>
            <w:r>
              <w:rPr>
                <w:rFonts w:ascii="宋体" w:hAnsi="宋体" w:cs="宋体" w:eastAsia="宋体" w:hint="default"/>
                <w:spacing w:val="33"/>
                <w:sz w:val="18"/>
                <w:szCs w:val="18"/>
              </w:rPr>
              <w:t>区大石坝南</w:t>
            </w:r>
            <w:r>
              <w:rPr>
                <w:rFonts w:ascii="宋体" w:hAnsi="宋体" w:cs="宋体" w:eastAsia="宋体" w:hint="default"/>
                <w:spacing w:val="-88"/>
                <w:sz w:val="18"/>
                <w:szCs w:val="18"/>
              </w:rPr>
              <w:t> </w:t>
            </w:r>
            <w:r>
              <w:rPr>
                <w:rFonts w:ascii="宋体" w:hAnsi="宋体" w:cs="宋体" w:eastAsia="宋体" w:hint="default"/>
                <w:sz w:val="18"/>
                <w:szCs w:val="18"/>
              </w:rPr>
              <w:t>桥寺</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3,000.00</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刘永源</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102"/>
              <w:jc w:val="left"/>
              <w:rPr>
                <w:rFonts w:ascii="宋体" w:hAnsi="宋体" w:cs="宋体" w:eastAsia="宋体" w:hint="default"/>
                <w:sz w:val="18"/>
                <w:szCs w:val="18"/>
              </w:rPr>
            </w:pPr>
            <w:r>
              <w:rPr>
                <w:rFonts w:ascii="宋体" w:hAnsi="宋体" w:cs="宋体" w:eastAsia="宋体" w:hint="default"/>
                <w:spacing w:val="4"/>
                <w:sz w:val="18"/>
                <w:szCs w:val="18"/>
              </w:rPr>
              <w:t>研制、生产、 </w:t>
            </w:r>
            <w:r>
              <w:rPr>
                <w:rFonts w:ascii="宋体" w:hAnsi="宋体" w:cs="宋体" w:eastAsia="宋体" w:hint="default"/>
                <w:sz w:val="18"/>
                <w:szCs w:val="18"/>
              </w:rPr>
              <w:t>销售原料药</w:t>
            </w:r>
          </w:p>
        </w:tc>
      </w:tr>
      <w:tr>
        <w:trPr>
          <w:trHeight w:val="950"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22" w:right="73"/>
              <w:jc w:val="left"/>
              <w:rPr>
                <w:rFonts w:ascii="宋体" w:hAnsi="宋体" w:cs="宋体" w:eastAsia="宋体" w:hint="default"/>
                <w:sz w:val="18"/>
                <w:szCs w:val="18"/>
              </w:rPr>
            </w:pPr>
            <w:r>
              <w:rPr>
                <w:rFonts w:ascii="宋体" w:hAnsi="宋体" w:cs="宋体" w:eastAsia="宋体" w:hint="default"/>
                <w:spacing w:val="20"/>
                <w:sz w:val="18"/>
                <w:szCs w:val="18"/>
              </w:rPr>
              <w:t>云南工业大</w:t>
            </w:r>
            <w:r>
              <w:rPr>
                <w:rFonts w:ascii="宋体" w:hAnsi="宋体" w:cs="宋体" w:eastAsia="宋体" w:hint="default"/>
                <w:spacing w:val="-62"/>
                <w:sz w:val="18"/>
                <w:szCs w:val="18"/>
              </w:rPr>
              <w:t> </w:t>
            </w:r>
            <w:r>
              <w:rPr>
                <w:rFonts w:ascii="宋体" w:hAnsi="宋体" w:cs="宋体" w:eastAsia="宋体" w:hint="default"/>
                <w:spacing w:val="13"/>
                <w:sz w:val="18"/>
                <w:szCs w:val="18"/>
              </w:rPr>
              <w:t>麻股</w:t>
            </w:r>
            <w:r>
              <w:rPr>
                <w:rFonts w:ascii="宋体" w:hAnsi="宋体" w:cs="宋体" w:eastAsia="宋体" w:hint="default"/>
                <w:spacing w:val="-88"/>
                <w:sz w:val="18"/>
                <w:szCs w:val="18"/>
              </w:rPr>
              <w:t> </w:t>
            </w:r>
            <w:r>
              <w:rPr>
                <w:rFonts w:ascii="宋体" w:hAnsi="宋体" w:cs="宋体" w:eastAsia="宋体" w:hint="default"/>
                <w:sz w:val="18"/>
                <w:szCs w:val="18"/>
              </w:rPr>
              <w:t>份有限公司</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254"/>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56"/>
              <w:jc w:val="both"/>
              <w:rPr>
                <w:rFonts w:ascii="宋体" w:hAnsi="宋体" w:cs="宋体" w:eastAsia="宋体" w:hint="default"/>
                <w:sz w:val="18"/>
                <w:szCs w:val="18"/>
              </w:rPr>
            </w:pPr>
            <w:r>
              <w:rPr>
                <w:rFonts w:ascii="宋体" w:hAnsi="宋体" w:cs="宋体" w:eastAsia="宋体" w:hint="default"/>
                <w:spacing w:val="33"/>
                <w:sz w:val="18"/>
                <w:szCs w:val="18"/>
              </w:rPr>
              <w:t>昆明市国家</w:t>
            </w:r>
            <w:r>
              <w:rPr>
                <w:rFonts w:ascii="宋体" w:hAnsi="宋体" w:cs="宋体" w:eastAsia="宋体" w:hint="default"/>
                <w:spacing w:val="-88"/>
                <w:sz w:val="18"/>
                <w:szCs w:val="18"/>
              </w:rPr>
              <w:t> </w:t>
            </w:r>
            <w:r>
              <w:rPr>
                <w:rFonts w:ascii="宋体" w:hAnsi="宋体" w:cs="宋体" w:eastAsia="宋体" w:hint="default"/>
                <w:spacing w:val="33"/>
                <w:sz w:val="18"/>
                <w:szCs w:val="18"/>
              </w:rPr>
              <w:t>经济开发区</w:t>
            </w:r>
            <w:r>
              <w:rPr>
                <w:rFonts w:ascii="宋体" w:hAnsi="宋体" w:cs="宋体" w:eastAsia="宋体" w:hint="default"/>
                <w:spacing w:val="-88"/>
                <w:sz w:val="18"/>
                <w:szCs w:val="18"/>
              </w:rPr>
              <w:t> </w:t>
            </w:r>
            <w:r>
              <w:rPr>
                <w:rFonts w:ascii="宋体" w:hAnsi="宋体" w:cs="宋体" w:eastAsia="宋体" w:hint="default"/>
                <w:sz w:val="18"/>
                <w:szCs w:val="18"/>
              </w:rPr>
              <w:t>云麻路</w:t>
            </w:r>
            <w:r>
              <w:rPr>
                <w:rFonts w:ascii="宋体" w:hAnsi="宋体" w:cs="宋体" w:eastAsia="宋体" w:hint="default"/>
                <w:spacing w:val="-46"/>
                <w:sz w:val="18"/>
                <w:szCs w:val="18"/>
              </w:rPr>
              <w:t> </w:t>
            </w:r>
            <w:r>
              <w:rPr>
                <w:rFonts w:ascii="Century Gothic" w:hAnsi="Century Gothic" w:cs="Century Gothic" w:eastAsia="Century Gothic" w:hint="default"/>
                <w:sz w:val="18"/>
                <w:szCs w:val="18"/>
              </w:rPr>
              <w:t>2</w:t>
            </w:r>
            <w:r>
              <w:rPr>
                <w:rFonts w:ascii="Century Gothic" w:hAnsi="Century Gothic" w:cs="Century Gothic" w:eastAsia="Century Gothic" w:hint="default"/>
                <w:spacing w:val="-6"/>
                <w:sz w:val="18"/>
                <w:szCs w:val="18"/>
              </w:rPr>
              <w:t> </w:t>
            </w:r>
            <w:r>
              <w:rPr>
                <w:rFonts w:ascii="宋体" w:hAnsi="宋体" w:cs="宋体" w:eastAsia="宋体" w:hint="default"/>
                <w:sz w:val="18"/>
                <w:szCs w:val="18"/>
              </w:rPr>
              <w:t>号</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
              <w:jc w:val="center"/>
              <w:rPr>
                <w:rFonts w:ascii="Century Gothic" w:hAnsi="Century Gothic" w:cs="Century Gothic" w:eastAsia="Century Gothic" w:hint="default"/>
                <w:sz w:val="18"/>
                <w:szCs w:val="18"/>
              </w:rPr>
            </w:pPr>
            <w:r>
              <w:rPr>
                <w:rFonts w:ascii="Century Gothic"/>
                <w:sz w:val="18"/>
              </w:rPr>
              <w:t>3,500.00</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逯春明</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工业大麻的开</w:t>
            </w:r>
            <w:r>
              <w:rPr>
                <w:rFonts w:ascii="宋体" w:hAnsi="宋体" w:cs="宋体" w:eastAsia="宋体" w:hint="default"/>
                <w:sz w:val="18"/>
                <w:szCs w:val="18"/>
              </w:rPr>
            </w:r>
          </w:p>
          <w:p>
            <w:pPr>
              <w:pStyle w:val="TableParagraph"/>
              <w:spacing w:line="240" w:lineRule="auto"/>
              <w:ind w:left="100" w:right="102"/>
              <w:jc w:val="both"/>
              <w:rPr>
                <w:rFonts w:ascii="宋体" w:hAnsi="宋体" w:cs="宋体" w:eastAsia="宋体" w:hint="default"/>
                <w:sz w:val="18"/>
                <w:szCs w:val="18"/>
              </w:rPr>
            </w:pPr>
            <w:r>
              <w:rPr>
                <w:rFonts w:ascii="宋体" w:hAnsi="宋体" w:cs="宋体" w:eastAsia="宋体" w:hint="default"/>
                <w:spacing w:val="4"/>
                <w:sz w:val="18"/>
                <w:szCs w:val="18"/>
              </w:rPr>
              <w:t>发、研究、育 种、繁种、推 </w:t>
            </w:r>
            <w:r>
              <w:rPr>
                <w:rFonts w:ascii="宋体" w:hAnsi="宋体" w:cs="宋体" w:eastAsia="宋体" w:hint="default"/>
                <w:sz w:val="18"/>
                <w:szCs w:val="18"/>
              </w:rPr>
              <w:t>广种植、营销</w:t>
            </w:r>
          </w:p>
        </w:tc>
      </w:tr>
      <w:tr>
        <w:trPr>
          <w:trHeight w:val="718"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73"/>
              <w:jc w:val="left"/>
              <w:rPr>
                <w:rFonts w:ascii="宋体" w:hAnsi="宋体" w:cs="宋体" w:eastAsia="宋体" w:hint="default"/>
                <w:sz w:val="18"/>
                <w:szCs w:val="18"/>
              </w:rPr>
            </w:pPr>
            <w:r>
              <w:rPr>
                <w:rFonts w:ascii="宋体" w:hAnsi="宋体" w:cs="宋体" w:eastAsia="宋体" w:hint="default"/>
                <w:spacing w:val="20"/>
                <w:sz w:val="18"/>
                <w:szCs w:val="18"/>
              </w:rPr>
              <w:t>云南汉普健</w:t>
            </w:r>
            <w:r>
              <w:rPr>
                <w:rFonts w:ascii="宋体" w:hAnsi="宋体" w:cs="宋体" w:eastAsia="宋体" w:hint="default"/>
                <w:spacing w:val="-62"/>
                <w:sz w:val="18"/>
                <w:szCs w:val="18"/>
              </w:rPr>
              <w:t> </w:t>
            </w:r>
            <w:r>
              <w:rPr>
                <w:rFonts w:ascii="宋体" w:hAnsi="宋体" w:cs="宋体" w:eastAsia="宋体" w:hint="default"/>
                <w:spacing w:val="13"/>
                <w:sz w:val="18"/>
                <w:szCs w:val="18"/>
              </w:rPr>
              <w:t>康产</w:t>
            </w:r>
            <w:r>
              <w:rPr>
                <w:rFonts w:ascii="宋体" w:hAnsi="宋体" w:cs="宋体" w:eastAsia="宋体" w:hint="default"/>
                <w:spacing w:val="-88"/>
                <w:sz w:val="18"/>
                <w:szCs w:val="18"/>
              </w:rPr>
              <w:t> </w:t>
            </w:r>
            <w:r>
              <w:rPr>
                <w:rFonts w:ascii="宋体" w:hAnsi="宋体" w:cs="宋体" w:eastAsia="宋体" w:hint="default"/>
                <w:sz w:val="18"/>
                <w:szCs w:val="18"/>
              </w:rPr>
              <w:t>品有限公司</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38" w:right="164"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3"/>
                <w:sz w:val="18"/>
                <w:szCs w:val="18"/>
              </w:rPr>
              <w:t>昆明市经济</w:t>
            </w:r>
            <w:r>
              <w:rPr>
                <w:rFonts w:ascii="宋体" w:hAnsi="宋体" w:cs="宋体" w:eastAsia="宋体" w:hint="default"/>
                <w:spacing w:val="-48"/>
                <w:sz w:val="18"/>
                <w:szCs w:val="18"/>
              </w:rPr>
              <w:t> </w:t>
            </w:r>
            <w:r>
              <w:rPr>
                <w:rFonts w:ascii="宋体" w:hAnsi="宋体" w:cs="宋体" w:eastAsia="宋体" w:hint="default"/>
                <w:sz w:val="18"/>
                <w:szCs w:val="18"/>
              </w:rPr>
            </w:r>
          </w:p>
          <w:p>
            <w:pPr>
              <w:pStyle w:val="TableParagraph"/>
              <w:spacing w:line="240" w:lineRule="auto"/>
              <w:ind w:left="100" w:right="56"/>
              <w:jc w:val="left"/>
              <w:rPr>
                <w:rFonts w:ascii="宋体" w:hAnsi="宋体" w:cs="宋体" w:eastAsia="宋体" w:hint="default"/>
                <w:sz w:val="18"/>
                <w:szCs w:val="18"/>
              </w:rPr>
            </w:pPr>
            <w:r>
              <w:rPr>
                <w:rFonts w:ascii="宋体" w:hAnsi="宋体" w:cs="宋体" w:eastAsia="宋体" w:hint="default"/>
                <w:spacing w:val="33"/>
                <w:sz w:val="18"/>
                <w:szCs w:val="18"/>
              </w:rPr>
              <w:t>技术开发区</w:t>
            </w:r>
            <w:r>
              <w:rPr>
                <w:rFonts w:ascii="宋体" w:hAnsi="宋体" w:cs="宋体" w:eastAsia="宋体" w:hint="default"/>
                <w:spacing w:val="-88"/>
                <w:sz w:val="18"/>
                <w:szCs w:val="18"/>
              </w:rPr>
              <w:t> </w:t>
            </w:r>
            <w:r>
              <w:rPr>
                <w:rFonts w:ascii="宋体" w:hAnsi="宋体" w:cs="宋体" w:eastAsia="宋体" w:hint="default"/>
                <w:sz w:val="18"/>
                <w:szCs w:val="18"/>
              </w:rPr>
              <w:t>云麻路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500.00</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王权</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100" w:right="102"/>
              <w:jc w:val="left"/>
              <w:rPr>
                <w:rFonts w:ascii="宋体" w:hAnsi="宋体" w:cs="宋体" w:eastAsia="宋体" w:hint="default"/>
                <w:sz w:val="18"/>
                <w:szCs w:val="18"/>
              </w:rPr>
            </w:pPr>
            <w:r>
              <w:rPr>
                <w:rFonts w:ascii="宋体" w:hAnsi="宋体" w:cs="宋体" w:eastAsia="宋体" w:hint="default"/>
                <w:spacing w:val="4"/>
                <w:sz w:val="18"/>
                <w:szCs w:val="18"/>
              </w:rPr>
              <w:t>批发、零售、 </w:t>
            </w:r>
            <w:r>
              <w:rPr>
                <w:rFonts w:ascii="宋体" w:hAnsi="宋体" w:cs="宋体" w:eastAsia="宋体" w:hint="default"/>
                <w:sz w:val="18"/>
                <w:szCs w:val="18"/>
              </w:rPr>
              <w:t>代购代销等</w:t>
            </w:r>
          </w:p>
        </w:tc>
      </w:tr>
      <w:tr>
        <w:trPr>
          <w:trHeight w:val="240" w:hRule="exact"/>
        </w:trPr>
        <w:tc>
          <w:tcPr>
            <w:tcW w:w="1651" w:type="dxa"/>
            <w:tcBorders>
              <w:top w:val="single" w:sz="6" w:space="0" w:color="000000"/>
              <w:left w:val="nil" w:sz="6" w:space="0" w:color="auto"/>
              <w:bottom w:val="nil" w:sz="6" w:space="0" w:color="auto"/>
              <w:right w:val="single" w:sz="6" w:space="0" w:color="000000"/>
            </w:tcBorders>
          </w:tcPr>
          <w:p>
            <w:pPr/>
          </w:p>
        </w:tc>
        <w:tc>
          <w:tcPr>
            <w:tcW w:w="1429" w:type="dxa"/>
            <w:tcBorders>
              <w:top w:val="single" w:sz="6" w:space="0" w:color="000000"/>
              <w:left w:val="single" w:sz="6" w:space="0" w:color="000000"/>
              <w:bottom w:val="nil" w:sz="6" w:space="0" w:color="auto"/>
              <w:right w:val="single" w:sz="6" w:space="0" w:color="000000"/>
            </w:tcBorders>
          </w:tcPr>
          <w:p>
            <w:pPr/>
          </w:p>
        </w:tc>
        <w:tc>
          <w:tcPr>
            <w:tcW w:w="1284"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3"/>
                <w:sz w:val="18"/>
                <w:szCs w:val="18"/>
              </w:rPr>
              <w:t>福建省泉州</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64"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c>
          <w:tcPr>
            <w:tcW w:w="829" w:type="dxa"/>
            <w:tcBorders>
              <w:top w:val="single" w:sz="6" w:space="0" w:color="000000"/>
              <w:left w:val="single" w:sz="6" w:space="0" w:color="000000"/>
              <w:bottom w:val="nil" w:sz="6" w:space="0" w:color="auto"/>
              <w:right w:val="single" w:sz="6" w:space="0" w:color="000000"/>
            </w:tcBorders>
          </w:tcPr>
          <w:p>
            <w:pPr/>
          </w:p>
        </w:tc>
        <w:tc>
          <w:tcPr>
            <w:tcW w:w="1321" w:type="dxa"/>
            <w:tcBorders>
              <w:top w:val="single" w:sz="6" w:space="0" w:color="000000"/>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新型高分子材</w:t>
            </w:r>
            <w:r>
              <w:rPr>
                <w:rFonts w:ascii="宋体" w:hAnsi="宋体" w:cs="宋体" w:eastAsia="宋体" w:hint="default"/>
                <w:sz w:val="18"/>
                <w:szCs w:val="18"/>
              </w:rPr>
            </w:r>
          </w:p>
        </w:tc>
      </w:tr>
      <w:tr>
        <w:trPr>
          <w:trHeight w:val="703" w:hRule="exact"/>
        </w:trPr>
        <w:tc>
          <w:tcPr>
            <w:tcW w:w="1651" w:type="dxa"/>
            <w:tcBorders>
              <w:top w:val="nil" w:sz="6" w:space="0" w:color="auto"/>
              <w:left w:val="nil" w:sz="6" w:space="0" w:color="auto"/>
              <w:bottom w:val="nil" w:sz="6" w:space="0" w:color="auto"/>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泉州云麻新</w:t>
            </w:r>
            <w:r>
              <w:rPr>
                <w:rFonts w:ascii="宋体" w:hAnsi="宋体" w:cs="宋体" w:eastAsia="宋体" w:hint="default"/>
                <w:spacing w:val="-59"/>
                <w:sz w:val="18"/>
                <w:szCs w:val="18"/>
              </w:rPr>
              <w:t> </w:t>
            </w:r>
            <w:r>
              <w:rPr>
                <w:rFonts w:ascii="宋体" w:hAnsi="宋体" w:cs="宋体" w:eastAsia="宋体" w:hint="default"/>
                <w:spacing w:val="13"/>
                <w:sz w:val="18"/>
                <w:szCs w:val="18"/>
              </w:rPr>
              <w:t>资源</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22" w:right="73"/>
              <w:jc w:val="left"/>
              <w:rPr>
                <w:rFonts w:ascii="宋体" w:hAnsi="宋体" w:cs="宋体" w:eastAsia="宋体" w:hint="default"/>
                <w:sz w:val="18"/>
                <w:szCs w:val="18"/>
              </w:rPr>
            </w:pPr>
            <w:r>
              <w:rPr>
                <w:rFonts w:ascii="宋体" w:hAnsi="宋体" w:cs="宋体" w:eastAsia="宋体" w:hint="default"/>
                <w:spacing w:val="20"/>
                <w:sz w:val="18"/>
                <w:szCs w:val="18"/>
              </w:rPr>
              <w:t>高分子材料</w:t>
            </w:r>
            <w:r>
              <w:rPr>
                <w:rFonts w:ascii="宋体" w:hAnsi="宋体" w:cs="宋体" w:eastAsia="宋体" w:hint="default"/>
                <w:spacing w:val="-62"/>
                <w:sz w:val="18"/>
                <w:szCs w:val="18"/>
              </w:rPr>
              <w:t> </w:t>
            </w:r>
            <w:r>
              <w:rPr>
                <w:rFonts w:ascii="宋体" w:hAnsi="宋体" w:cs="宋体" w:eastAsia="宋体" w:hint="default"/>
                <w:spacing w:val="13"/>
                <w:sz w:val="18"/>
                <w:szCs w:val="18"/>
              </w:rPr>
              <w:t>研究</w:t>
            </w:r>
            <w:r>
              <w:rPr>
                <w:rFonts w:ascii="宋体" w:hAnsi="宋体" w:cs="宋体" w:eastAsia="宋体" w:hint="default"/>
                <w:spacing w:val="-88"/>
                <w:sz w:val="18"/>
                <w:szCs w:val="18"/>
              </w:rPr>
              <w:t> </w:t>
            </w:r>
            <w:r>
              <w:rPr>
                <w:rFonts w:ascii="宋体" w:hAnsi="宋体" w:cs="宋体" w:eastAsia="宋体" w:hint="default"/>
                <w:sz w:val="18"/>
                <w:szCs w:val="18"/>
              </w:rPr>
              <w:t>中心有限公司</w:t>
            </w:r>
          </w:p>
        </w:tc>
        <w:tc>
          <w:tcPr>
            <w:tcW w:w="1429"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438" w:right="164"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33"/>
                <w:sz w:val="18"/>
                <w:szCs w:val="18"/>
              </w:rPr>
              <w:t>市洛江区塘</w:t>
            </w:r>
            <w:r>
              <w:rPr>
                <w:rFonts w:ascii="宋体" w:hAnsi="宋体" w:cs="宋体" w:eastAsia="宋体" w:hint="default"/>
                <w:spacing w:val="-48"/>
                <w:sz w:val="18"/>
                <w:szCs w:val="18"/>
              </w:rPr>
              <w:t> </w:t>
            </w:r>
            <w:r>
              <w:rPr>
                <w:rFonts w:ascii="宋体" w:hAnsi="宋体" w:cs="宋体" w:eastAsia="宋体" w:hint="default"/>
                <w:sz w:val="18"/>
                <w:szCs w:val="18"/>
              </w:rPr>
            </w:r>
          </w:p>
          <w:p>
            <w:pPr>
              <w:pStyle w:val="TableParagraph"/>
              <w:spacing w:line="240" w:lineRule="auto"/>
              <w:ind w:left="100" w:right="56"/>
              <w:jc w:val="left"/>
              <w:rPr>
                <w:rFonts w:ascii="宋体" w:hAnsi="宋体" w:cs="宋体" w:eastAsia="宋体" w:hint="default"/>
                <w:sz w:val="18"/>
                <w:szCs w:val="18"/>
              </w:rPr>
            </w:pPr>
            <w:r>
              <w:rPr>
                <w:rFonts w:ascii="宋体" w:hAnsi="宋体" w:cs="宋体" w:eastAsia="宋体" w:hint="default"/>
                <w:spacing w:val="33"/>
                <w:sz w:val="18"/>
                <w:szCs w:val="18"/>
              </w:rPr>
              <w:t>西工业园洛</w:t>
            </w:r>
            <w:r>
              <w:rPr>
                <w:rFonts w:ascii="宋体" w:hAnsi="宋体" w:cs="宋体" w:eastAsia="宋体" w:hint="default"/>
                <w:spacing w:val="-88"/>
                <w:sz w:val="18"/>
                <w:szCs w:val="18"/>
              </w:rPr>
              <w:t> </w:t>
            </w:r>
            <w:r>
              <w:rPr>
                <w:rFonts w:ascii="宋体" w:hAnsi="宋体" w:cs="宋体" w:eastAsia="宋体" w:hint="default"/>
                <w:spacing w:val="33"/>
                <w:sz w:val="18"/>
                <w:szCs w:val="18"/>
              </w:rPr>
              <w:t>江科技大厦</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6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科研</w:t>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20.00</w:t>
            </w:r>
          </w:p>
        </w:tc>
        <w:tc>
          <w:tcPr>
            <w:tcW w:w="829"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刘睿</w:t>
            </w:r>
          </w:p>
        </w:tc>
        <w:tc>
          <w:tcPr>
            <w:tcW w:w="1321" w:type="dxa"/>
            <w:tcBorders>
              <w:top w:val="nil" w:sz="6" w:space="0" w:color="auto"/>
              <w:left w:val="single" w:sz="6" w:space="0" w:color="000000"/>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料技术、化工</w:t>
            </w:r>
            <w:r>
              <w:rPr>
                <w:rFonts w:ascii="宋体" w:hAnsi="宋体" w:cs="宋体" w:eastAsia="宋体" w:hint="default"/>
                <w:sz w:val="18"/>
                <w:szCs w:val="18"/>
              </w:rPr>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pacing w:val="4"/>
                <w:sz w:val="18"/>
                <w:szCs w:val="18"/>
              </w:rPr>
              <w:t>材料技术的研 究开发及产品</w:t>
            </w:r>
            <w:r>
              <w:rPr>
                <w:rFonts w:ascii="宋体" w:hAnsi="宋体" w:cs="宋体" w:eastAsia="宋体" w:hint="default"/>
                <w:sz w:val="18"/>
                <w:szCs w:val="18"/>
              </w:rPr>
            </w:r>
          </w:p>
        </w:tc>
      </w:tr>
      <w:tr>
        <w:trPr>
          <w:trHeight w:val="250" w:hRule="exact"/>
        </w:trPr>
        <w:tc>
          <w:tcPr>
            <w:tcW w:w="1651" w:type="dxa"/>
            <w:tcBorders>
              <w:top w:val="nil" w:sz="6" w:space="0" w:color="auto"/>
              <w:left w:val="nil" w:sz="6" w:space="0" w:color="auto"/>
              <w:bottom w:val="single" w:sz="12" w:space="0" w:color="000000"/>
              <w:right w:val="single" w:sz="6" w:space="0" w:color="000000"/>
            </w:tcBorders>
          </w:tcPr>
          <w:p>
            <w:pPr/>
          </w:p>
        </w:tc>
        <w:tc>
          <w:tcPr>
            <w:tcW w:w="1429" w:type="dxa"/>
            <w:tcBorders>
              <w:top w:val="nil" w:sz="6" w:space="0" w:color="auto"/>
              <w:left w:val="single" w:sz="6" w:space="0" w:color="000000"/>
              <w:bottom w:val="single" w:sz="12" w:space="0" w:color="000000"/>
              <w:right w:val="single" w:sz="6" w:space="0" w:color="000000"/>
            </w:tcBorders>
          </w:tcPr>
          <w:p>
            <w:pPr/>
          </w:p>
        </w:tc>
        <w:tc>
          <w:tcPr>
            <w:tcW w:w="1284" w:type="dxa"/>
            <w:tcBorders>
              <w:top w:val="nil" w:sz="6" w:space="0" w:color="auto"/>
              <w:left w:val="single" w:sz="6" w:space="0" w:color="000000"/>
              <w:bottom w:val="single" w:sz="12"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二楼</w:t>
            </w:r>
          </w:p>
        </w:tc>
        <w:tc>
          <w:tcPr>
            <w:tcW w:w="1264" w:type="dxa"/>
            <w:tcBorders>
              <w:top w:val="nil" w:sz="6" w:space="0" w:color="auto"/>
              <w:left w:val="single" w:sz="6" w:space="0" w:color="000000"/>
              <w:bottom w:val="single" w:sz="12" w:space="0" w:color="000000"/>
              <w:right w:val="single" w:sz="6" w:space="0" w:color="000000"/>
            </w:tcBorders>
          </w:tcPr>
          <w:p>
            <w:pPr/>
          </w:p>
        </w:tc>
        <w:tc>
          <w:tcPr>
            <w:tcW w:w="1262" w:type="dxa"/>
            <w:tcBorders>
              <w:top w:val="nil" w:sz="6" w:space="0" w:color="auto"/>
              <w:left w:val="single" w:sz="6" w:space="0" w:color="000000"/>
              <w:bottom w:val="single" w:sz="12" w:space="0" w:color="000000"/>
              <w:right w:val="single" w:sz="6" w:space="0" w:color="000000"/>
            </w:tcBorders>
          </w:tcPr>
          <w:p>
            <w:pPr/>
          </w:p>
        </w:tc>
        <w:tc>
          <w:tcPr>
            <w:tcW w:w="829" w:type="dxa"/>
            <w:tcBorders>
              <w:top w:val="nil" w:sz="6" w:space="0" w:color="auto"/>
              <w:left w:val="single" w:sz="6" w:space="0" w:color="000000"/>
              <w:bottom w:val="single" w:sz="12" w:space="0" w:color="000000"/>
              <w:right w:val="single" w:sz="6" w:space="0" w:color="000000"/>
            </w:tcBorders>
          </w:tcPr>
          <w:p>
            <w:pPr/>
          </w:p>
        </w:tc>
        <w:tc>
          <w:tcPr>
            <w:tcW w:w="1321" w:type="dxa"/>
            <w:tcBorders>
              <w:top w:val="nil" w:sz="6" w:space="0" w:color="auto"/>
              <w:left w:val="single" w:sz="6" w:space="0" w:color="000000"/>
              <w:bottom w:val="single" w:sz="12" w:space="0" w:color="000000"/>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w:t>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76"/>
        <w:ind w:left="4455" w:right="4393" w:firstLine="0"/>
        <w:jc w:val="center"/>
        <w:rPr>
          <w:rFonts w:ascii="Times New Roman" w:hAnsi="Times New Roman" w:cs="Times New Roman" w:eastAsia="Times New Roman" w:hint="default"/>
          <w:sz w:val="18"/>
          <w:szCs w:val="18"/>
        </w:rPr>
      </w:pPr>
      <w:r>
        <w:rPr>
          <w:rFonts w:ascii="Times New Roman"/>
          <w:sz w:val="18"/>
        </w:rPr>
        <w:t>63</w:t>
      </w:r>
    </w:p>
    <w:p>
      <w:pPr>
        <w:spacing w:after="0"/>
        <w:jc w:val="center"/>
        <w:rPr>
          <w:rFonts w:ascii="Times New Roman" w:hAnsi="Times New Roman" w:cs="Times New Roman" w:eastAsia="Times New Roman" w:hint="default"/>
          <w:sz w:val="18"/>
          <w:szCs w:val="18"/>
        </w:rPr>
        <w:sectPr>
          <w:pgSz w:w="11910" w:h="16840"/>
          <w:pgMar w:top="780" w:bottom="280" w:left="1280" w:right="122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4720"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190" w:type="dxa"/>
        <w:tblLayout w:type="fixed"/>
        <w:tblCellMar>
          <w:top w:w="0" w:type="dxa"/>
          <w:left w:w="0" w:type="dxa"/>
          <w:bottom w:w="0" w:type="dxa"/>
          <w:right w:w="0" w:type="dxa"/>
        </w:tblCellMar>
        <w:tblLook w:val="01E0"/>
      </w:tblPr>
      <w:tblGrid>
        <w:gridCol w:w="1651"/>
        <w:gridCol w:w="665"/>
        <w:gridCol w:w="764"/>
        <w:gridCol w:w="1284"/>
        <w:gridCol w:w="1264"/>
        <w:gridCol w:w="1262"/>
        <w:gridCol w:w="829"/>
        <w:gridCol w:w="1321"/>
      </w:tblGrid>
      <w:tr>
        <w:trPr>
          <w:trHeight w:val="1010" w:hRule="exact"/>
        </w:trPr>
        <w:tc>
          <w:tcPr>
            <w:tcW w:w="1651"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12"/>
              <w:ind w:left="122" w:right="73"/>
              <w:jc w:val="both"/>
              <w:rPr>
                <w:rFonts w:ascii="宋体" w:hAnsi="宋体" w:cs="宋体" w:eastAsia="宋体" w:hint="default"/>
                <w:sz w:val="18"/>
                <w:szCs w:val="18"/>
              </w:rPr>
            </w:pPr>
            <w:r>
              <w:rPr>
                <w:rFonts w:ascii="宋体" w:hAnsi="宋体" w:cs="宋体" w:eastAsia="宋体" w:hint="default"/>
                <w:spacing w:val="20"/>
                <w:sz w:val="18"/>
                <w:szCs w:val="18"/>
              </w:rPr>
              <w:t>洪雅美联曼</w:t>
            </w:r>
            <w:r>
              <w:rPr>
                <w:rFonts w:ascii="宋体" w:hAnsi="宋体" w:cs="宋体" w:eastAsia="宋体" w:hint="default"/>
                <w:spacing w:val="-62"/>
                <w:sz w:val="18"/>
                <w:szCs w:val="18"/>
              </w:rPr>
              <w:t> </w:t>
            </w:r>
            <w:r>
              <w:rPr>
                <w:rFonts w:ascii="宋体" w:hAnsi="宋体" w:cs="宋体" w:eastAsia="宋体" w:hint="default"/>
                <w:spacing w:val="13"/>
                <w:sz w:val="18"/>
                <w:szCs w:val="18"/>
              </w:rPr>
              <w:t>地亚</w:t>
            </w:r>
            <w:r>
              <w:rPr>
                <w:rFonts w:ascii="宋体" w:hAnsi="宋体" w:cs="宋体" w:eastAsia="宋体" w:hint="default"/>
                <w:spacing w:val="-88"/>
                <w:sz w:val="18"/>
                <w:szCs w:val="18"/>
              </w:rPr>
              <w:t> </w:t>
            </w:r>
            <w:r>
              <w:rPr>
                <w:rFonts w:ascii="宋体" w:hAnsi="宋体" w:cs="宋体" w:eastAsia="宋体" w:hint="default"/>
                <w:spacing w:val="20"/>
                <w:sz w:val="18"/>
                <w:szCs w:val="18"/>
              </w:rPr>
              <w:t>红豆杉种植</w:t>
            </w:r>
            <w:r>
              <w:rPr>
                <w:rFonts w:ascii="宋体" w:hAnsi="宋体" w:cs="宋体" w:eastAsia="宋体" w:hint="default"/>
                <w:spacing w:val="-62"/>
                <w:sz w:val="18"/>
                <w:szCs w:val="18"/>
              </w:rPr>
              <w:t> </w:t>
            </w:r>
            <w:r>
              <w:rPr>
                <w:rFonts w:ascii="宋体" w:hAnsi="宋体" w:cs="宋体" w:eastAsia="宋体" w:hint="default"/>
                <w:spacing w:val="13"/>
                <w:sz w:val="18"/>
                <w:szCs w:val="18"/>
              </w:rPr>
              <w:t>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142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b/>
                <w:bCs/>
                <w:sz w:val="26"/>
                <w:szCs w:val="26"/>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2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b/>
                <w:bCs/>
                <w:sz w:val="17"/>
                <w:szCs w:val="17"/>
              </w:rPr>
            </w:pPr>
          </w:p>
          <w:p>
            <w:pPr>
              <w:pStyle w:val="TableParagraph"/>
              <w:spacing w:line="240" w:lineRule="auto"/>
              <w:ind w:left="100" w:right="56"/>
              <w:jc w:val="left"/>
              <w:rPr>
                <w:rFonts w:ascii="宋体" w:hAnsi="宋体" w:cs="宋体" w:eastAsia="宋体" w:hint="default"/>
                <w:sz w:val="18"/>
                <w:szCs w:val="18"/>
              </w:rPr>
            </w:pPr>
            <w:r>
              <w:rPr>
                <w:rFonts w:ascii="宋体" w:hAnsi="宋体" w:cs="宋体" w:eastAsia="宋体" w:hint="default"/>
                <w:spacing w:val="33"/>
                <w:sz w:val="18"/>
                <w:szCs w:val="18"/>
              </w:rPr>
              <w:t>四川省洪雅</w:t>
            </w:r>
            <w:r>
              <w:rPr>
                <w:rFonts w:ascii="宋体" w:hAnsi="宋体" w:cs="宋体" w:eastAsia="宋体" w:hint="default"/>
                <w:spacing w:val="-88"/>
                <w:sz w:val="18"/>
                <w:szCs w:val="18"/>
              </w:rPr>
              <w:t> </w:t>
            </w:r>
            <w:r>
              <w:rPr>
                <w:rFonts w:ascii="宋体" w:hAnsi="宋体" w:cs="宋体" w:eastAsia="宋体" w:hint="default"/>
                <w:sz w:val="18"/>
                <w:szCs w:val="18"/>
              </w:rPr>
              <w:t>县柳江镇</w:t>
            </w:r>
          </w:p>
        </w:tc>
        <w:tc>
          <w:tcPr>
            <w:tcW w:w="12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种植业</w:t>
            </w:r>
          </w:p>
        </w:tc>
        <w:tc>
          <w:tcPr>
            <w:tcW w:w="12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48"/>
              <w:ind w:right="0"/>
              <w:jc w:val="center"/>
              <w:rPr>
                <w:rFonts w:ascii="Century Gothic" w:hAnsi="Century Gothic" w:cs="Century Gothic" w:eastAsia="Century Gothic" w:hint="default"/>
                <w:sz w:val="18"/>
                <w:szCs w:val="18"/>
              </w:rPr>
            </w:pPr>
            <w:r>
              <w:rPr>
                <w:rFonts w:ascii="Century Gothic"/>
                <w:sz w:val="18"/>
              </w:rPr>
              <w:t>150.00</w:t>
            </w:r>
          </w:p>
        </w:tc>
        <w:tc>
          <w:tcPr>
            <w:tcW w:w="8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b/>
                <w:bCs/>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刘永源</w:t>
            </w:r>
          </w:p>
        </w:tc>
        <w:tc>
          <w:tcPr>
            <w:tcW w:w="13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12"/>
              <w:ind w:left="100" w:right="102"/>
              <w:jc w:val="both"/>
              <w:rPr>
                <w:rFonts w:ascii="宋体" w:hAnsi="宋体" w:cs="宋体" w:eastAsia="宋体" w:hint="default"/>
                <w:sz w:val="18"/>
                <w:szCs w:val="18"/>
              </w:rPr>
            </w:pPr>
            <w:r>
              <w:rPr>
                <w:rFonts w:ascii="宋体" w:hAnsi="宋体" w:cs="宋体" w:eastAsia="宋体" w:hint="default"/>
                <w:spacing w:val="4"/>
                <w:sz w:val="18"/>
                <w:szCs w:val="18"/>
              </w:rPr>
              <w:t>红豆杉种植、 成品苗木加工 </w:t>
            </w:r>
            <w:r>
              <w:rPr>
                <w:rFonts w:ascii="宋体" w:hAnsi="宋体" w:cs="宋体" w:eastAsia="宋体" w:hint="default"/>
                <w:sz w:val="18"/>
                <w:szCs w:val="18"/>
              </w:rPr>
              <w:t>销售</w:t>
            </w:r>
          </w:p>
        </w:tc>
      </w:tr>
      <w:tr>
        <w:trPr>
          <w:trHeight w:val="716"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73"/>
              <w:jc w:val="left"/>
              <w:rPr>
                <w:rFonts w:ascii="宋体" w:hAnsi="宋体" w:cs="宋体" w:eastAsia="宋体" w:hint="default"/>
                <w:sz w:val="18"/>
                <w:szCs w:val="18"/>
              </w:rPr>
            </w:pPr>
            <w:r>
              <w:rPr>
                <w:rFonts w:ascii="宋体" w:hAnsi="宋体" w:cs="宋体" w:eastAsia="宋体" w:hint="default"/>
                <w:spacing w:val="20"/>
                <w:sz w:val="18"/>
                <w:szCs w:val="18"/>
              </w:rPr>
              <w:t>洪雅美联植</w:t>
            </w:r>
            <w:r>
              <w:rPr>
                <w:rFonts w:ascii="宋体" w:hAnsi="宋体" w:cs="宋体" w:eastAsia="宋体" w:hint="default"/>
                <w:spacing w:val="-62"/>
                <w:sz w:val="18"/>
                <w:szCs w:val="18"/>
              </w:rPr>
              <w:t> </w:t>
            </w:r>
            <w:r>
              <w:rPr>
                <w:rFonts w:ascii="宋体" w:hAnsi="宋体" w:cs="宋体" w:eastAsia="宋体" w:hint="default"/>
                <w:spacing w:val="13"/>
                <w:sz w:val="18"/>
                <w:szCs w:val="18"/>
              </w:rPr>
              <w:t>化有</w:t>
            </w:r>
            <w:r>
              <w:rPr>
                <w:rFonts w:ascii="宋体" w:hAnsi="宋体" w:cs="宋体" w:eastAsia="宋体" w:hint="default"/>
                <w:spacing w:val="-88"/>
                <w:sz w:val="18"/>
                <w:szCs w:val="18"/>
              </w:rPr>
              <w:t> </w:t>
            </w:r>
            <w:r>
              <w:rPr>
                <w:rFonts w:ascii="宋体" w:hAnsi="宋体" w:cs="宋体" w:eastAsia="宋体" w:hint="default"/>
                <w:sz w:val="18"/>
                <w:szCs w:val="18"/>
              </w:rPr>
              <w:t>限责任公司</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38" w:right="164"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3"/>
                <w:sz w:val="18"/>
                <w:szCs w:val="18"/>
              </w:rPr>
              <w:t>四川省洪雅</w:t>
            </w:r>
            <w:r>
              <w:rPr>
                <w:rFonts w:ascii="宋体" w:hAnsi="宋体" w:cs="宋体" w:eastAsia="宋体" w:hint="default"/>
                <w:spacing w:val="-48"/>
                <w:sz w:val="18"/>
                <w:szCs w:val="18"/>
              </w:rPr>
              <w:t> </w:t>
            </w:r>
            <w:r>
              <w:rPr>
                <w:rFonts w:ascii="宋体" w:hAnsi="宋体" w:cs="宋体" w:eastAsia="宋体" w:hint="default"/>
                <w:sz w:val="18"/>
                <w:szCs w:val="18"/>
              </w:rPr>
            </w:r>
          </w:p>
          <w:p>
            <w:pPr>
              <w:pStyle w:val="TableParagraph"/>
              <w:spacing w:line="240" w:lineRule="auto"/>
              <w:ind w:left="100" w:right="56"/>
              <w:jc w:val="left"/>
              <w:rPr>
                <w:rFonts w:ascii="宋体" w:hAnsi="宋体" w:cs="宋体" w:eastAsia="宋体" w:hint="default"/>
                <w:sz w:val="18"/>
                <w:szCs w:val="18"/>
              </w:rPr>
            </w:pPr>
            <w:r>
              <w:rPr>
                <w:rFonts w:ascii="宋体" w:hAnsi="宋体" w:cs="宋体" w:eastAsia="宋体" w:hint="default"/>
                <w:spacing w:val="33"/>
                <w:sz w:val="18"/>
                <w:szCs w:val="18"/>
              </w:rPr>
              <w:t>县柳江镇场</w:t>
            </w:r>
            <w:r>
              <w:rPr>
                <w:rFonts w:ascii="宋体" w:hAnsi="宋体" w:cs="宋体" w:eastAsia="宋体" w:hint="default"/>
                <w:spacing w:val="-88"/>
                <w:sz w:val="18"/>
                <w:szCs w:val="18"/>
              </w:rPr>
              <w:t> </w:t>
            </w:r>
            <w:r>
              <w:rPr>
                <w:rFonts w:ascii="宋体" w:hAnsi="宋体" w:cs="宋体" w:eastAsia="宋体" w:hint="default"/>
                <w:sz w:val="18"/>
                <w:szCs w:val="18"/>
              </w:rPr>
              <w:t>镇</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50.00</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刘永源</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人工种植、红</w:t>
            </w:r>
            <w:r>
              <w:rPr>
                <w:rFonts w:ascii="宋体" w:hAnsi="宋体" w:cs="宋体" w:eastAsia="宋体" w:hint="default"/>
                <w:sz w:val="18"/>
                <w:szCs w:val="18"/>
              </w:rPr>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pacing w:val="4"/>
                <w:sz w:val="18"/>
                <w:szCs w:val="18"/>
              </w:rPr>
              <w:t>豆杉加工及销 </w:t>
            </w:r>
            <w:r>
              <w:rPr>
                <w:rFonts w:ascii="宋体" w:hAnsi="宋体" w:cs="宋体" w:eastAsia="宋体" w:hint="default"/>
                <w:sz w:val="18"/>
                <w:szCs w:val="18"/>
              </w:rPr>
              <w:t>售</w:t>
            </w:r>
          </w:p>
        </w:tc>
      </w:tr>
      <w:tr>
        <w:trPr>
          <w:trHeight w:val="241" w:hRule="exact"/>
        </w:trPr>
        <w:tc>
          <w:tcPr>
            <w:tcW w:w="1651" w:type="dxa"/>
            <w:tcBorders>
              <w:top w:val="single" w:sz="6" w:space="0" w:color="000000"/>
              <w:left w:val="nil" w:sz="6" w:space="0" w:color="auto"/>
              <w:bottom w:val="nil" w:sz="6" w:space="0" w:color="auto"/>
              <w:right w:val="single" w:sz="6" w:space="0" w:color="000000"/>
            </w:tcBorders>
          </w:tcPr>
          <w:p>
            <w:pPr/>
          </w:p>
        </w:tc>
        <w:tc>
          <w:tcPr>
            <w:tcW w:w="1429" w:type="dxa"/>
            <w:gridSpan w:val="2"/>
            <w:tcBorders>
              <w:top w:val="single" w:sz="6" w:space="0" w:color="000000"/>
              <w:left w:val="single" w:sz="6" w:space="0" w:color="000000"/>
              <w:bottom w:val="nil" w:sz="6" w:space="0" w:color="auto"/>
              <w:right w:val="single" w:sz="6" w:space="0" w:color="000000"/>
            </w:tcBorders>
          </w:tcPr>
          <w:p>
            <w:pPr/>
          </w:p>
        </w:tc>
        <w:tc>
          <w:tcPr>
            <w:tcW w:w="1284"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33"/>
                <w:sz w:val="18"/>
                <w:szCs w:val="18"/>
              </w:rPr>
              <w:t>北京市海淀</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64"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c>
          <w:tcPr>
            <w:tcW w:w="829" w:type="dxa"/>
            <w:tcBorders>
              <w:top w:val="single" w:sz="6" w:space="0" w:color="000000"/>
              <w:left w:val="single" w:sz="6" w:space="0" w:color="000000"/>
              <w:bottom w:val="nil" w:sz="6" w:space="0" w:color="auto"/>
              <w:right w:val="single" w:sz="6" w:space="0" w:color="000000"/>
            </w:tcBorders>
          </w:tcPr>
          <w:p>
            <w:pPr/>
          </w:p>
        </w:tc>
        <w:tc>
          <w:tcPr>
            <w:tcW w:w="1321" w:type="dxa"/>
            <w:tcBorders>
              <w:top w:val="single" w:sz="6" w:space="0" w:color="000000"/>
              <w:left w:val="single" w:sz="6" w:space="0" w:color="000000"/>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销售中成药、</w:t>
            </w:r>
            <w:r>
              <w:rPr>
                <w:rFonts w:ascii="宋体" w:hAnsi="宋体" w:cs="宋体" w:eastAsia="宋体" w:hint="default"/>
                <w:sz w:val="18"/>
                <w:szCs w:val="18"/>
              </w:rPr>
            </w:r>
          </w:p>
        </w:tc>
      </w:tr>
      <w:tr>
        <w:trPr>
          <w:trHeight w:val="706" w:hRule="exact"/>
        </w:trPr>
        <w:tc>
          <w:tcPr>
            <w:tcW w:w="1651" w:type="dxa"/>
            <w:tcBorders>
              <w:top w:val="nil" w:sz="6" w:space="0" w:color="auto"/>
              <w:left w:val="nil" w:sz="6" w:space="0" w:color="auto"/>
              <w:bottom w:val="nil" w:sz="6" w:space="0" w:color="auto"/>
              <w:right w:val="single" w:sz="6" w:space="0" w:color="000000"/>
            </w:tcBorders>
          </w:tcPr>
          <w:p>
            <w:pPr>
              <w:pStyle w:val="TableParagraph"/>
              <w:spacing w:line="240" w:lineRule="auto" w:before="88"/>
              <w:ind w:left="122" w:right="73"/>
              <w:jc w:val="left"/>
              <w:rPr>
                <w:rFonts w:ascii="宋体" w:hAnsi="宋体" w:cs="宋体" w:eastAsia="宋体" w:hint="default"/>
                <w:sz w:val="18"/>
                <w:szCs w:val="18"/>
              </w:rPr>
            </w:pPr>
            <w:r>
              <w:rPr>
                <w:rFonts w:ascii="宋体" w:hAnsi="宋体" w:cs="宋体" w:eastAsia="宋体" w:hint="default"/>
                <w:spacing w:val="20"/>
                <w:sz w:val="18"/>
                <w:szCs w:val="18"/>
              </w:rPr>
              <w:t>北京华立科</w:t>
            </w:r>
            <w:r>
              <w:rPr>
                <w:rFonts w:ascii="宋体" w:hAnsi="宋体" w:cs="宋体" w:eastAsia="宋体" w:hint="default"/>
                <w:spacing w:val="-62"/>
                <w:sz w:val="18"/>
                <w:szCs w:val="18"/>
              </w:rPr>
              <w:t> </w:t>
            </w:r>
            <w:r>
              <w:rPr>
                <w:rFonts w:ascii="宋体" w:hAnsi="宋体" w:cs="宋体" w:eastAsia="宋体" w:hint="default"/>
                <w:spacing w:val="13"/>
                <w:sz w:val="18"/>
                <w:szCs w:val="18"/>
              </w:rPr>
              <w:t>泰医</w:t>
            </w:r>
            <w:r>
              <w:rPr>
                <w:rFonts w:ascii="宋体" w:hAnsi="宋体" w:cs="宋体" w:eastAsia="宋体" w:hint="default"/>
                <w:spacing w:val="-88"/>
                <w:sz w:val="18"/>
                <w:szCs w:val="18"/>
              </w:rPr>
              <w:t> </w:t>
            </w:r>
            <w:r>
              <w:rPr>
                <w:rFonts w:ascii="宋体" w:hAnsi="宋体" w:cs="宋体" w:eastAsia="宋体" w:hint="default"/>
                <w:sz w:val="18"/>
                <w:szCs w:val="18"/>
              </w:rPr>
              <w:t>药有限责任公司</w:t>
            </w:r>
          </w:p>
        </w:tc>
        <w:tc>
          <w:tcPr>
            <w:tcW w:w="1429"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宋体" w:hAnsi="宋体" w:cs="宋体" w:eastAsia="宋体" w:hint="default"/>
                <w:sz w:val="18"/>
                <w:szCs w:val="18"/>
              </w:rPr>
              <w:t>区闵庄路</w:t>
            </w:r>
            <w:r>
              <w:rPr>
                <w:rFonts w:ascii="宋体" w:hAnsi="宋体" w:cs="宋体" w:eastAsia="宋体" w:hint="default"/>
                <w:spacing w:val="-57"/>
                <w:sz w:val="18"/>
                <w:szCs w:val="18"/>
              </w:rPr>
              <w:t> </w:t>
            </w:r>
            <w:r>
              <w:rPr>
                <w:rFonts w:ascii="Century Gothic" w:hAnsi="Century Gothic" w:cs="Century Gothic" w:eastAsia="Century Gothic" w:hint="default"/>
                <w:sz w:val="18"/>
                <w:szCs w:val="18"/>
              </w:rPr>
              <w:t>3</w:t>
            </w:r>
            <w:r>
              <w:rPr>
                <w:rFonts w:ascii="Century Gothic" w:hAnsi="Century Gothic" w:cs="Century Gothic" w:eastAsia="Century Gothic" w:hint="default"/>
                <w:spacing w:val="-17"/>
                <w:sz w:val="18"/>
                <w:szCs w:val="18"/>
              </w:rPr>
              <w:t> </w:t>
            </w:r>
            <w:r>
              <w:rPr>
                <w:rFonts w:ascii="宋体" w:hAnsi="宋体" w:cs="宋体" w:eastAsia="宋体" w:hint="default"/>
                <w:sz w:val="18"/>
                <w:szCs w:val="18"/>
              </w:rPr>
              <w:t>号</w:t>
            </w:r>
          </w:p>
          <w:p>
            <w:pPr>
              <w:pStyle w:val="TableParagraph"/>
              <w:spacing w:line="234" w:lineRule="exact" w:before="15"/>
              <w:ind w:left="100" w:right="56"/>
              <w:jc w:val="left"/>
              <w:rPr>
                <w:rFonts w:ascii="Century Gothic" w:hAnsi="Century Gothic" w:cs="Century Gothic" w:eastAsia="Century Gothic" w:hint="default"/>
                <w:sz w:val="18"/>
                <w:szCs w:val="18"/>
              </w:rPr>
            </w:pPr>
            <w:r>
              <w:rPr>
                <w:rFonts w:ascii="宋体" w:hAnsi="宋体" w:cs="宋体" w:eastAsia="宋体" w:hint="default"/>
                <w:spacing w:val="33"/>
                <w:sz w:val="18"/>
                <w:szCs w:val="18"/>
              </w:rPr>
              <w:t>清华科技园</w:t>
            </w:r>
            <w:r>
              <w:rPr>
                <w:rFonts w:ascii="宋体" w:hAnsi="宋体" w:cs="宋体" w:eastAsia="宋体" w:hint="default"/>
                <w:spacing w:val="-88"/>
                <w:sz w:val="18"/>
                <w:szCs w:val="18"/>
              </w:rPr>
              <w:t> </w:t>
            </w:r>
            <w:r>
              <w:rPr>
                <w:rFonts w:ascii="宋体" w:hAnsi="宋体" w:cs="宋体" w:eastAsia="宋体" w:hint="default"/>
                <w:spacing w:val="10"/>
                <w:sz w:val="18"/>
                <w:szCs w:val="18"/>
              </w:rPr>
              <w:t>玉泉慧谷</w:t>
            </w:r>
            <w:r>
              <w:rPr>
                <w:rFonts w:ascii="宋体" w:hAnsi="宋体" w:cs="宋体" w:eastAsia="宋体" w:hint="default"/>
                <w:spacing w:val="13"/>
                <w:sz w:val="18"/>
                <w:szCs w:val="18"/>
              </w:rPr>
              <w:t> </w:t>
            </w:r>
            <w:r>
              <w:rPr>
                <w:rFonts w:ascii="Century Gothic" w:hAnsi="Century Gothic" w:cs="Century Gothic" w:eastAsia="Century Gothic" w:hint="default"/>
                <w:sz w:val="18"/>
                <w:szCs w:val="18"/>
              </w:rPr>
              <w:t>24</w:t>
            </w:r>
          </w:p>
        </w:tc>
        <w:tc>
          <w:tcPr>
            <w:tcW w:w="1264"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商业</w:t>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20,000.00</w:t>
            </w:r>
          </w:p>
        </w:tc>
        <w:tc>
          <w:tcPr>
            <w:tcW w:w="82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刘小斌</w:t>
            </w:r>
          </w:p>
        </w:tc>
        <w:tc>
          <w:tcPr>
            <w:tcW w:w="1321"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化学药制剂、</w:t>
            </w:r>
            <w:r>
              <w:rPr>
                <w:rFonts w:ascii="宋体" w:hAnsi="宋体" w:cs="宋体" w:eastAsia="宋体" w:hint="default"/>
                <w:sz w:val="18"/>
                <w:szCs w:val="18"/>
              </w:rPr>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pacing w:val="4"/>
                <w:sz w:val="18"/>
                <w:szCs w:val="18"/>
              </w:rPr>
              <w:t>抗生素、生化 药品、医疗器</w:t>
            </w:r>
            <w:r>
              <w:rPr>
                <w:rFonts w:ascii="宋体" w:hAnsi="宋体" w:cs="宋体" w:eastAsia="宋体" w:hint="default"/>
                <w:sz w:val="18"/>
                <w:szCs w:val="18"/>
              </w:rPr>
            </w:r>
          </w:p>
        </w:tc>
      </w:tr>
      <w:tr>
        <w:trPr>
          <w:trHeight w:val="238" w:hRule="exact"/>
        </w:trPr>
        <w:tc>
          <w:tcPr>
            <w:tcW w:w="1651" w:type="dxa"/>
            <w:tcBorders>
              <w:top w:val="nil" w:sz="6" w:space="0" w:color="auto"/>
              <w:left w:val="nil" w:sz="6" w:space="0" w:color="auto"/>
              <w:bottom w:val="single" w:sz="6" w:space="0" w:color="000000"/>
              <w:right w:val="single" w:sz="6" w:space="0" w:color="000000"/>
            </w:tcBorders>
          </w:tcPr>
          <w:p>
            <w:pPr/>
          </w:p>
        </w:tc>
        <w:tc>
          <w:tcPr>
            <w:tcW w:w="1429" w:type="dxa"/>
            <w:gridSpan w:val="2"/>
            <w:tcBorders>
              <w:top w:val="nil" w:sz="6" w:space="0" w:color="auto"/>
              <w:left w:val="single" w:sz="6" w:space="0" w:color="000000"/>
              <w:bottom w:val="single" w:sz="6" w:space="0" w:color="000000"/>
              <w:right w:val="single" w:sz="6" w:space="0" w:color="000000"/>
            </w:tcBorders>
          </w:tcPr>
          <w:p>
            <w:pPr/>
          </w:p>
        </w:tc>
        <w:tc>
          <w:tcPr>
            <w:tcW w:w="1284" w:type="dxa"/>
            <w:tcBorders>
              <w:top w:val="nil" w:sz="6" w:space="0" w:color="auto"/>
              <w:left w:val="single" w:sz="6" w:space="0" w:color="000000"/>
              <w:bottom w:val="single" w:sz="6" w:space="0" w:color="000000"/>
              <w:right w:val="single" w:sz="6" w:space="0" w:color="000000"/>
            </w:tcBorders>
          </w:tcPr>
          <w:p>
            <w:pPr>
              <w:pStyle w:val="TableParagraph"/>
              <w:spacing w:line="217" w:lineRule="exact"/>
              <w:ind w:left="100"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Century Gothic" w:hAnsi="Century Gothic" w:cs="Century Gothic" w:eastAsia="Century Gothic" w:hint="default"/>
                <w:sz w:val="18"/>
                <w:szCs w:val="18"/>
              </w:rPr>
              <w:t>2</w:t>
            </w:r>
            <w:r>
              <w:rPr>
                <w:rFonts w:ascii="Century Gothic" w:hAnsi="Century Gothic" w:cs="Century Gothic" w:eastAsia="Century Gothic" w:hint="default"/>
                <w:spacing w:val="-6"/>
                <w:sz w:val="18"/>
                <w:szCs w:val="18"/>
              </w:rPr>
              <w:t> </w:t>
            </w:r>
            <w:r>
              <w:rPr>
                <w:rFonts w:ascii="宋体" w:hAnsi="宋体" w:cs="宋体" w:eastAsia="宋体" w:hint="default"/>
                <w:sz w:val="18"/>
                <w:szCs w:val="18"/>
              </w:rPr>
              <w:t>层</w:t>
            </w:r>
          </w:p>
        </w:tc>
        <w:tc>
          <w:tcPr>
            <w:tcW w:w="1264"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c>
          <w:tcPr>
            <w:tcW w:w="829" w:type="dxa"/>
            <w:tcBorders>
              <w:top w:val="nil" w:sz="6" w:space="0" w:color="auto"/>
              <w:left w:val="single" w:sz="6" w:space="0" w:color="000000"/>
              <w:bottom w:val="single" w:sz="6" w:space="0" w:color="000000"/>
              <w:right w:val="single" w:sz="6" w:space="0" w:color="000000"/>
            </w:tcBorders>
          </w:tcPr>
          <w:p>
            <w:pPr/>
          </w:p>
        </w:tc>
        <w:tc>
          <w:tcPr>
            <w:tcW w:w="1321" w:type="dxa"/>
            <w:tcBorders>
              <w:top w:val="nil" w:sz="6" w:space="0" w:color="auto"/>
              <w:left w:val="single" w:sz="6" w:space="0" w:color="000000"/>
              <w:bottom w:val="single" w:sz="6" w:space="0" w:color="000000"/>
              <w:right w:val="nil" w:sz="6" w:space="0" w:color="auto"/>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材</w:t>
            </w:r>
          </w:p>
        </w:tc>
      </w:tr>
      <w:tr>
        <w:trPr>
          <w:trHeight w:val="952"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122" w:right="73"/>
              <w:jc w:val="left"/>
              <w:rPr>
                <w:rFonts w:ascii="宋体" w:hAnsi="宋体" w:cs="宋体" w:eastAsia="宋体" w:hint="default"/>
                <w:sz w:val="18"/>
                <w:szCs w:val="18"/>
              </w:rPr>
            </w:pPr>
            <w:r>
              <w:rPr>
                <w:rFonts w:ascii="宋体" w:hAnsi="宋体" w:cs="宋体" w:eastAsia="宋体" w:hint="default"/>
                <w:spacing w:val="20"/>
                <w:sz w:val="18"/>
                <w:szCs w:val="18"/>
              </w:rPr>
              <w:t>浙江华立南</w:t>
            </w:r>
            <w:r>
              <w:rPr>
                <w:rFonts w:ascii="宋体" w:hAnsi="宋体" w:cs="宋体" w:eastAsia="宋体" w:hint="default"/>
                <w:spacing w:val="-62"/>
                <w:sz w:val="18"/>
                <w:szCs w:val="18"/>
              </w:rPr>
              <w:t> </w:t>
            </w:r>
            <w:r>
              <w:rPr>
                <w:rFonts w:ascii="宋体" w:hAnsi="宋体" w:cs="宋体" w:eastAsia="宋体" w:hint="default"/>
                <w:spacing w:val="13"/>
                <w:sz w:val="18"/>
                <w:szCs w:val="18"/>
              </w:rPr>
              <w:t>湖制</w:t>
            </w:r>
            <w:r>
              <w:rPr>
                <w:rFonts w:ascii="宋体" w:hAnsi="宋体" w:cs="宋体" w:eastAsia="宋体" w:hint="default"/>
                <w:spacing w:val="-88"/>
                <w:sz w:val="18"/>
                <w:szCs w:val="18"/>
              </w:rPr>
              <w:t> </w:t>
            </w:r>
            <w:r>
              <w:rPr>
                <w:rFonts w:ascii="宋体" w:hAnsi="宋体" w:cs="宋体" w:eastAsia="宋体" w:hint="default"/>
                <w:sz w:val="18"/>
                <w:szCs w:val="18"/>
              </w:rPr>
              <w:t>药有限公司</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438" w:right="164"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56"/>
              <w:jc w:val="both"/>
              <w:rPr>
                <w:rFonts w:ascii="宋体" w:hAnsi="宋体" w:cs="宋体" w:eastAsia="宋体" w:hint="default"/>
                <w:sz w:val="18"/>
                <w:szCs w:val="18"/>
              </w:rPr>
            </w:pPr>
            <w:r>
              <w:rPr>
                <w:rFonts w:ascii="宋体" w:hAnsi="宋体" w:cs="宋体" w:eastAsia="宋体" w:hint="default"/>
                <w:spacing w:val="33"/>
                <w:sz w:val="18"/>
                <w:szCs w:val="18"/>
              </w:rPr>
              <w:t>嘉兴经济开</w:t>
            </w:r>
            <w:r>
              <w:rPr>
                <w:rFonts w:ascii="宋体" w:hAnsi="宋体" w:cs="宋体" w:eastAsia="宋体" w:hint="default"/>
                <w:spacing w:val="-88"/>
                <w:sz w:val="18"/>
                <w:szCs w:val="18"/>
              </w:rPr>
              <w:t> </w:t>
            </w:r>
            <w:r>
              <w:rPr>
                <w:rFonts w:ascii="宋体" w:hAnsi="宋体" w:cs="宋体" w:eastAsia="宋体" w:hint="default"/>
                <w:spacing w:val="33"/>
                <w:sz w:val="18"/>
                <w:szCs w:val="18"/>
              </w:rPr>
              <w:t>发区云海路</w:t>
            </w:r>
            <w:r>
              <w:rPr>
                <w:rFonts w:ascii="宋体" w:hAnsi="宋体" w:cs="宋体" w:eastAsia="宋体" w:hint="default"/>
                <w:spacing w:val="-88"/>
                <w:sz w:val="18"/>
                <w:szCs w:val="18"/>
              </w:rPr>
              <w:t> </w:t>
            </w:r>
            <w:r>
              <w:rPr>
                <w:rFonts w:ascii="Century Gothic" w:hAnsi="Century Gothic" w:cs="Century Gothic" w:eastAsia="Century Gothic" w:hint="default"/>
                <w:sz w:val="18"/>
                <w:szCs w:val="18"/>
              </w:rPr>
              <w:t>205</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号</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3"/>
              <w:ind w:right="0"/>
              <w:jc w:val="center"/>
              <w:rPr>
                <w:rFonts w:ascii="Century Gothic" w:hAnsi="Century Gothic" w:cs="Century Gothic" w:eastAsia="Century Gothic" w:hint="default"/>
                <w:sz w:val="18"/>
                <w:szCs w:val="18"/>
              </w:rPr>
            </w:pPr>
            <w:r>
              <w:rPr>
                <w:rFonts w:ascii="Century Gothic"/>
                <w:sz w:val="18"/>
              </w:rPr>
              <w:t>650.00</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逯春明</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硬胶囊剂、合</w:t>
            </w:r>
            <w:r>
              <w:rPr>
                <w:rFonts w:ascii="宋体" w:hAnsi="宋体" w:cs="宋体" w:eastAsia="宋体" w:hint="default"/>
                <w:sz w:val="18"/>
                <w:szCs w:val="18"/>
              </w:rPr>
            </w:r>
          </w:p>
          <w:p>
            <w:pPr>
              <w:pStyle w:val="TableParagraph"/>
              <w:spacing w:line="240" w:lineRule="auto"/>
              <w:ind w:left="100" w:right="102"/>
              <w:jc w:val="both"/>
              <w:rPr>
                <w:rFonts w:ascii="宋体" w:hAnsi="宋体" w:cs="宋体" w:eastAsia="宋体" w:hint="default"/>
                <w:sz w:val="18"/>
                <w:szCs w:val="18"/>
              </w:rPr>
            </w:pPr>
            <w:r>
              <w:rPr>
                <w:rFonts w:ascii="宋体" w:hAnsi="宋体" w:cs="宋体" w:eastAsia="宋体" w:hint="default"/>
                <w:spacing w:val="4"/>
                <w:sz w:val="18"/>
                <w:szCs w:val="18"/>
              </w:rPr>
              <w:t>剂、片剂、糖 浆剂的制造、 </w:t>
            </w:r>
            <w:r>
              <w:rPr>
                <w:rFonts w:ascii="宋体" w:hAnsi="宋体" w:cs="宋体" w:eastAsia="宋体" w:hint="default"/>
                <w:sz w:val="18"/>
                <w:szCs w:val="18"/>
              </w:rPr>
              <w:t>加工等</w:t>
            </w:r>
          </w:p>
        </w:tc>
      </w:tr>
      <w:tr>
        <w:trPr>
          <w:trHeight w:val="1253"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b/>
                <w:bCs/>
                <w:sz w:val="18"/>
                <w:szCs w:val="18"/>
              </w:rPr>
            </w:pPr>
          </w:p>
          <w:p>
            <w:pPr>
              <w:pStyle w:val="TableParagraph"/>
              <w:spacing w:line="240" w:lineRule="auto"/>
              <w:ind w:left="122" w:right="73"/>
              <w:jc w:val="both"/>
              <w:rPr>
                <w:rFonts w:ascii="宋体" w:hAnsi="宋体" w:cs="宋体" w:eastAsia="宋体" w:hint="default"/>
                <w:sz w:val="18"/>
                <w:szCs w:val="18"/>
              </w:rPr>
            </w:pPr>
            <w:r>
              <w:rPr>
                <w:rFonts w:ascii="宋体" w:hAnsi="宋体" w:cs="宋体" w:eastAsia="宋体" w:hint="default"/>
                <w:spacing w:val="20"/>
                <w:sz w:val="18"/>
                <w:szCs w:val="18"/>
              </w:rPr>
              <w:t>重庆市华阳</w:t>
            </w:r>
            <w:r>
              <w:rPr>
                <w:rFonts w:ascii="宋体" w:hAnsi="宋体" w:cs="宋体" w:eastAsia="宋体" w:hint="default"/>
                <w:spacing w:val="-62"/>
                <w:sz w:val="18"/>
                <w:szCs w:val="18"/>
              </w:rPr>
              <w:t> </w:t>
            </w:r>
            <w:r>
              <w:rPr>
                <w:rFonts w:ascii="宋体" w:hAnsi="宋体" w:cs="宋体" w:eastAsia="宋体" w:hint="default"/>
                <w:spacing w:val="13"/>
                <w:sz w:val="18"/>
                <w:szCs w:val="18"/>
              </w:rPr>
              <w:t>自然</w:t>
            </w:r>
            <w:r>
              <w:rPr>
                <w:rFonts w:ascii="宋体" w:hAnsi="宋体" w:cs="宋体" w:eastAsia="宋体" w:hint="default"/>
                <w:spacing w:val="-88"/>
                <w:sz w:val="18"/>
                <w:szCs w:val="18"/>
              </w:rPr>
              <w:t> </w:t>
            </w:r>
            <w:r>
              <w:rPr>
                <w:rFonts w:ascii="宋体" w:hAnsi="宋体" w:cs="宋体" w:eastAsia="宋体" w:hint="default"/>
                <w:spacing w:val="20"/>
                <w:sz w:val="18"/>
                <w:szCs w:val="18"/>
              </w:rPr>
              <w:t>资源开发有</w:t>
            </w:r>
            <w:r>
              <w:rPr>
                <w:rFonts w:ascii="宋体" w:hAnsi="宋体" w:cs="宋体" w:eastAsia="宋体" w:hint="default"/>
                <w:spacing w:val="-62"/>
                <w:sz w:val="18"/>
                <w:szCs w:val="18"/>
              </w:rPr>
              <w:t> </w:t>
            </w:r>
            <w:r>
              <w:rPr>
                <w:rFonts w:ascii="宋体" w:hAnsi="宋体" w:cs="宋体" w:eastAsia="宋体" w:hint="default"/>
                <w:spacing w:val="13"/>
                <w:sz w:val="18"/>
                <w:szCs w:val="18"/>
              </w:rPr>
              <w:t>限责</w:t>
            </w:r>
            <w:r>
              <w:rPr>
                <w:rFonts w:ascii="宋体" w:hAnsi="宋体" w:cs="宋体" w:eastAsia="宋体" w:hint="default"/>
                <w:spacing w:val="-88"/>
                <w:sz w:val="18"/>
                <w:szCs w:val="18"/>
              </w:rPr>
              <w:t> </w:t>
            </w:r>
            <w:r>
              <w:rPr>
                <w:rFonts w:ascii="宋体" w:hAnsi="宋体" w:cs="宋体" w:eastAsia="宋体" w:hint="default"/>
                <w:sz w:val="18"/>
                <w:szCs w:val="18"/>
              </w:rPr>
              <w:t>任公司</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19"/>
              <w:ind w:left="438" w:right="164"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19"/>
                <w:szCs w:val="19"/>
              </w:rPr>
            </w:pPr>
          </w:p>
          <w:p>
            <w:pPr>
              <w:pStyle w:val="TableParagraph"/>
              <w:spacing w:line="234" w:lineRule="exact"/>
              <w:ind w:left="100" w:right="56"/>
              <w:jc w:val="both"/>
              <w:rPr>
                <w:rFonts w:ascii="宋体" w:hAnsi="宋体" w:cs="宋体" w:eastAsia="宋体" w:hint="default"/>
                <w:sz w:val="18"/>
                <w:szCs w:val="18"/>
              </w:rPr>
            </w:pPr>
            <w:r>
              <w:rPr>
                <w:rFonts w:ascii="宋体" w:hAnsi="宋体" w:cs="宋体" w:eastAsia="宋体" w:hint="default"/>
                <w:spacing w:val="33"/>
                <w:sz w:val="18"/>
                <w:szCs w:val="18"/>
              </w:rPr>
              <w:t>酉阳县钟多</w:t>
            </w:r>
            <w:r>
              <w:rPr>
                <w:rFonts w:ascii="宋体" w:hAnsi="宋体" w:cs="宋体" w:eastAsia="宋体" w:hint="default"/>
                <w:spacing w:val="-88"/>
                <w:sz w:val="18"/>
                <w:szCs w:val="18"/>
              </w:rPr>
              <w:t> </w:t>
            </w:r>
            <w:r>
              <w:rPr>
                <w:rFonts w:ascii="宋体" w:hAnsi="宋体" w:cs="宋体" w:eastAsia="宋体" w:hint="default"/>
                <w:sz w:val="18"/>
                <w:szCs w:val="18"/>
              </w:rPr>
              <w:t>镇翠屏街</w:t>
            </w:r>
            <w:r>
              <w:rPr>
                <w:rFonts w:ascii="宋体" w:hAnsi="宋体" w:cs="宋体" w:eastAsia="宋体" w:hint="default"/>
                <w:spacing w:val="-44"/>
                <w:sz w:val="18"/>
                <w:szCs w:val="18"/>
              </w:rPr>
              <w:t> </w:t>
            </w:r>
            <w:r>
              <w:rPr>
                <w:rFonts w:ascii="Century Gothic" w:hAnsi="Century Gothic" w:cs="Century Gothic" w:eastAsia="Century Gothic" w:hint="default"/>
                <w:sz w:val="18"/>
                <w:szCs w:val="18"/>
              </w:rPr>
              <w:t>108</w:t>
            </w:r>
            <w:r>
              <w:rPr>
                <w:rFonts w:ascii="Century Gothic" w:hAnsi="Century Gothic" w:cs="Century Gothic" w:eastAsia="Century Gothic" w:hint="default"/>
                <w:spacing w:val="-1"/>
                <w:w w:val="99"/>
                <w:sz w:val="18"/>
                <w:szCs w:val="18"/>
              </w:rPr>
              <w:t> </w:t>
            </w:r>
            <w:r>
              <w:rPr>
                <w:rFonts w:ascii="宋体" w:hAnsi="宋体" w:cs="宋体" w:eastAsia="宋体" w:hint="default"/>
                <w:sz w:val="18"/>
                <w:szCs w:val="18"/>
              </w:rPr>
              <w:t>号</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种植业</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500.00</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
              <w:ind w:right="0"/>
              <w:jc w:val="left"/>
              <w:rPr>
                <w:rFonts w:ascii="黑体" w:hAnsi="黑体" w:cs="黑体" w:eastAsia="黑体" w:hint="default"/>
                <w:b/>
                <w:bCs/>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罗晓江</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19"/>
              <w:ind w:left="100" w:right="102"/>
              <w:jc w:val="left"/>
              <w:rPr>
                <w:rFonts w:ascii="宋体" w:hAnsi="宋体" w:cs="宋体" w:eastAsia="宋体" w:hint="default"/>
                <w:sz w:val="18"/>
                <w:szCs w:val="18"/>
              </w:rPr>
            </w:pPr>
            <w:r>
              <w:rPr>
                <w:rFonts w:ascii="宋体" w:hAnsi="宋体" w:cs="宋体" w:eastAsia="宋体" w:hint="default"/>
                <w:spacing w:val="4"/>
                <w:sz w:val="18"/>
                <w:szCs w:val="18"/>
              </w:rPr>
              <w:t>中药材种植﹑ </w:t>
            </w:r>
            <w:r>
              <w:rPr>
                <w:rFonts w:ascii="宋体" w:hAnsi="宋体" w:cs="宋体" w:eastAsia="宋体" w:hint="default"/>
                <w:sz w:val="18"/>
                <w:szCs w:val="18"/>
              </w:rPr>
              <w:t>加工﹑销售</w:t>
            </w:r>
          </w:p>
        </w:tc>
      </w:tr>
      <w:tr>
        <w:trPr>
          <w:trHeight w:val="239" w:hRule="exact"/>
        </w:trPr>
        <w:tc>
          <w:tcPr>
            <w:tcW w:w="1651" w:type="dxa"/>
            <w:tcBorders>
              <w:top w:val="single" w:sz="6" w:space="0" w:color="000000"/>
              <w:left w:val="nil" w:sz="6" w:space="0" w:color="auto"/>
              <w:bottom w:val="nil" w:sz="6" w:space="0" w:color="auto"/>
              <w:right w:val="single" w:sz="6" w:space="0" w:color="000000"/>
            </w:tcBorders>
          </w:tcPr>
          <w:p>
            <w:pPr>
              <w:pStyle w:val="TableParagraph"/>
              <w:spacing w:line="240" w:lineRule="auto" w:before="2"/>
              <w:ind w:left="122" w:right="0"/>
              <w:jc w:val="left"/>
              <w:rPr>
                <w:rFonts w:ascii="Century Gothic" w:hAnsi="Century Gothic" w:cs="Century Gothic" w:eastAsia="Century Gothic" w:hint="default"/>
                <w:sz w:val="18"/>
                <w:szCs w:val="18"/>
              </w:rPr>
            </w:pPr>
            <w:r>
              <w:rPr>
                <w:rFonts w:ascii="Century Gothic"/>
                <w:sz w:val="18"/>
              </w:rPr>
              <w:t>HOLLEY  </w:t>
            </w:r>
            <w:r>
              <w:rPr>
                <w:rFonts w:ascii="Century Gothic"/>
                <w:spacing w:val="15"/>
                <w:sz w:val="18"/>
              </w:rPr>
              <w:t> </w:t>
            </w:r>
            <w:r>
              <w:rPr>
                <w:rFonts w:ascii="Century Gothic"/>
                <w:sz w:val="18"/>
              </w:rPr>
              <w:t>UNITED</w:t>
            </w:r>
          </w:p>
        </w:tc>
        <w:tc>
          <w:tcPr>
            <w:tcW w:w="1429" w:type="dxa"/>
            <w:gridSpan w:val="2"/>
            <w:tcBorders>
              <w:top w:val="single" w:sz="6" w:space="0" w:color="000000"/>
              <w:left w:val="single" w:sz="6" w:space="0" w:color="000000"/>
              <w:bottom w:val="nil" w:sz="6" w:space="0" w:color="auto"/>
              <w:right w:val="single" w:sz="6" w:space="0" w:color="000000"/>
            </w:tcBorders>
          </w:tcPr>
          <w:p>
            <w:pPr/>
          </w:p>
        </w:tc>
        <w:tc>
          <w:tcPr>
            <w:tcW w:w="1284" w:type="dxa"/>
            <w:tcBorders>
              <w:top w:val="single" w:sz="6" w:space="0" w:color="000000"/>
              <w:left w:val="single" w:sz="6" w:space="0" w:color="000000"/>
              <w:bottom w:val="nil" w:sz="6" w:space="0" w:color="auto"/>
              <w:right w:val="single" w:sz="6" w:space="0" w:color="000000"/>
            </w:tcBorders>
          </w:tcPr>
          <w:p>
            <w:pPr/>
          </w:p>
        </w:tc>
        <w:tc>
          <w:tcPr>
            <w:tcW w:w="1264"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c>
          <w:tcPr>
            <w:tcW w:w="829" w:type="dxa"/>
            <w:vMerge w:val="restart"/>
            <w:tcBorders>
              <w:top w:val="single" w:sz="6" w:space="0" w:color="000000"/>
              <w:left w:val="single" w:sz="6" w:space="0" w:color="000000"/>
              <w:right w:val="single" w:sz="6" w:space="0" w:color="000000"/>
            </w:tcBorders>
          </w:tcPr>
          <w:p>
            <w:pPr/>
          </w:p>
        </w:tc>
        <w:tc>
          <w:tcPr>
            <w:tcW w:w="1321" w:type="dxa"/>
            <w:tcBorders>
              <w:top w:val="single" w:sz="6" w:space="0" w:color="000000"/>
              <w:left w:val="single" w:sz="6" w:space="0" w:color="000000"/>
              <w:bottom w:val="nil" w:sz="6" w:space="0" w:color="auto"/>
              <w:right w:val="nil" w:sz="6" w:space="0" w:color="auto"/>
            </w:tcBorders>
          </w:tcPr>
          <w:p>
            <w:pPr/>
          </w:p>
        </w:tc>
      </w:tr>
      <w:tr>
        <w:trPr>
          <w:trHeight w:val="459" w:hRule="exact"/>
        </w:trPr>
        <w:tc>
          <w:tcPr>
            <w:tcW w:w="1651" w:type="dxa"/>
            <w:tcBorders>
              <w:top w:val="nil" w:sz="6" w:space="0" w:color="auto"/>
              <w:left w:val="nil" w:sz="6" w:space="0" w:color="auto"/>
              <w:bottom w:val="nil" w:sz="6" w:space="0" w:color="auto"/>
              <w:right w:val="single" w:sz="6" w:space="0" w:color="000000"/>
            </w:tcBorders>
          </w:tcPr>
          <w:p>
            <w:pPr>
              <w:pStyle w:val="TableParagraph"/>
              <w:spacing w:line="202" w:lineRule="exact"/>
              <w:ind w:left="122" w:right="0"/>
              <w:jc w:val="left"/>
              <w:rPr>
                <w:rFonts w:ascii="宋体" w:hAnsi="宋体" w:cs="宋体" w:eastAsia="宋体" w:hint="default"/>
                <w:sz w:val="18"/>
                <w:szCs w:val="18"/>
              </w:rPr>
            </w:pPr>
            <w:r>
              <w:rPr>
                <w:rFonts w:ascii="Century Gothic" w:hAnsi="Century Gothic" w:cs="Century Gothic" w:eastAsia="Century Gothic" w:hint="default"/>
                <w:sz w:val="18"/>
                <w:szCs w:val="18"/>
              </w:rPr>
              <w:t>PHARMA  LLC</w:t>
            </w:r>
            <w:r>
              <w:rPr>
                <w:rFonts w:ascii="Century Gothic" w:hAnsi="Century Gothic" w:cs="Century Gothic" w:eastAsia="Century Gothic" w:hint="default"/>
                <w:spacing w:val="5"/>
                <w:sz w:val="18"/>
                <w:szCs w:val="18"/>
              </w:rPr>
              <w:t> </w:t>
            </w:r>
            <w:r>
              <w:rPr>
                <w:rFonts w:ascii="宋体" w:hAnsi="宋体" w:cs="宋体" w:eastAsia="宋体" w:hint="default"/>
                <w:sz w:val="18"/>
                <w:szCs w:val="18"/>
              </w:rPr>
              <w:t>华</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立美联制药</w:t>
            </w:r>
            <w:r>
              <w:rPr>
                <w:rFonts w:ascii="宋体" w:hAnsi="宋体" w:cs="宋体" w:eastAsia="宋体" w:hint="default"/>
                <w:spacing w:val="-59"/>
                <w:sz w:val="18"/>
                <w:szCs w:val="18"/>
              </w:rPr>
              <w:t> </w:t>
            </w:r>
            <w:r>
              <w:rPr>
                <w:rFonts w:ascii="宋体" w:hAnsi="宋体" w:cs="宋体" w:eastAsia="宋体" w:hint="default"/>
                <w:spacing w:val="13"/>
                <w:sz w:val="18"/>
                <w:szCs w:val="18"/>
              </w:rPr>
              <w:t>有限</w:t>
            </w:r>
            <w:r>
              <w:rPr>
                <w:rFonts w:ascii="宋体" w:hAnsi="宋体" w:cs="宋体" w:eastAsia="宋体" w:hint="default"/>
                <w:spacing w:val="-64"/>
                <w:sz w:val="18"/>
                <w:szCs w:val="18"/>
              </w:rPr>
              <w:t> </w:t>
            </w:r>
            <w:r>
              <w:rPr>
                <w:rFonts w:ascii="宋体" w:hAnsi="宋体" w:cs="宋体" w:eastAsia="宋体" w:hint="default"/>
                <w:sz w:val="18"/>
                <w:szCs w:val="18"/>
              </w:rPr>
            </w:r>
          </w:p>
        </w:tc>
        <w:tc>
          <w:tcPr>
            <w:tcW w:w="1429" w:type="dxa"/>
            <w:gridSpan w:val="2"/>
            <w:tcBorders>
              <w:top w:val="nil" w:sz="6" w:space="0" w:color="auto"/>
              <w:left w:val="single" w:sz="6" w:space="0" w:color="000000"/>
              <w:bottom w:val="nil" w:sz="6" w:space="0" w:color="auto"/>
              <w:right w:val="single" w:sz="6" w:space="0" w:color="000000"/>
            </w:tcBorders>
          </w:tcPr>
          <w:p>
            <w:pPr>
              <w:pStyle w:val="TableParagraph"/>
              <w:spacing w:line="200" w:lineRule="exact"/>
              <w:ind w:left="1" w:right="0"/>
              <w:jc w:val="center"/>
              <w:rPr>
                <w:rFonts w:ascii="宋体" w:hAnsi="宋体" w:cs="宋体" w:eastAsia="宋体" w:hint="default"/>
                <w:sz w:val="18"/>
                <w:szCs w:val="18"/>
              </w:rPr>
            </w:pPr>
            <w:r>
              <w:rPr>
                <w:rFonts w:ascii="宋体" w:hAnsi="宋体" w:cs="宋体" w:eastAsia="宋体" w:hint="default"/>
                <w:sz w:val="18"/>
                <w:szCs w:val="18"/>
              </w:rPr>
              <w:t>控股子公司的</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00" w:lineRule="exact"/>
              <w:ind w:left="100" w:right="0"/>
              <w:jc w:val="left"/>
              <w:rPr>
                <w:rFonts w:ascii="宋体" w:hAnsi="宋体" w:cs="宋体" w:eastAsia="宋体" w:hint="default"/>
                <w:sz w:val="18"/>
                <w:szCs w:val="18"/>
              </w:rPr>
            </w:pPr>
            <w:r>
              <w:rPr>
                <w:rFonts w:ascii="宋体" w:hAnsi="宋体" w:cs="宋体" w:eastAsia="宋体" w:hint="default"/>
                <w:spacing w:val="33"/>
                <w:sz w:val="18"/>
                <w:szCs w:val="18"/>
              </w:rPr>
              <w:t>美国加利福</w:t>
            </w:r>
            <w:r>
              <w:rPr>
                <w:rFonts w:ascii="宋体" w:hAnsi="宋体" w:cs="宋体" w:eastAsia="宋体" w:hint="default"/>
                <w:spacing w:val="-48"/>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尼亚州</w:t>
            </w:r>
          </w:p>
        </w:tc>
        <w:tc>
          <w:tcPr>
            <w:tcW w:w="1264" w:type="dxa"/>
            <w:tcBorders>
              <w:top w:val="nil" w:sz="6" w:space="0" w:color="auto"/>
              <w:left w:val="single" w:sz="6" w:space="0" w:color="000000"/>
              <w:bottom w:val="nil" w:sz="6" w:space="0" w:color="auto"/>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商业</w:t>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121"/>
              <w:ind w:right="1"/>
              <w:jc w:val="center"/>
              <w:rPr>
                <w:rFonts w:ascii="Century Gothic" w:hAnsi="Century Gothic" w:cs="Century Gothic" w:eastAsia="Century Gothic" w:hint="default"/>
                <w:sz w:val="18"/>
                <w:szCs w:val="18"/>
              </w:rPr>
            </w:pPr>
            <w:r>
              <w:rPr>
                <w:rFonts w:ascii="Century Gothic"/>
                <w:sz w:val="18"/>
              </w:rPr>
              <w:t>USD29.87</w:t>
            </w:r>
          </w:p>
        </w:tc>
        <w:tc>
          <w:tcPr>
            <w:tcW w:w="829" w:type="dxa"/>
            <w:vMerge/>
            <w:tcBorders>
              <w:left w:val="single" w:sz="6" w:space="0" w:color="000000"/>
              <w:right w:val="single" w:sz="6" w:space="0" w:color="000000"/>
            </w:tcBorders>
          </w:tcPr>
          <w:p>
            <w:pPr/>
          </w:p>
        </w:tc>
        <w:tc>
          <w:tcPr>
            <w:tcW w:w="1321" w:type="dxa"/>
            <w:tcBorders>
              <w:top w:val="nil" w:sz="6" w:space="0" w:color="auto"/>
              <w:left w:val="single" w:sz="6" w:space="0" w:color="000000"/>
              <w:bottom w:val="nil" w:sz="6" w:space="0" w:color="auto"/>
              <w:right w:val="nil" w:sz="6" w:space="0" w:color="auto"/>
            </w:tcBorders>
          </w:tcPr>
          <w:p>
            <w:pPr>
              <w:pStyle w:val="TableParagraph"/>
              <w:spacing w:line="240" w:lineRule="auto" w:before="82"/>
              <w:ind w:left="100" w:right="0"/>
              <w:jc w:val="left"/>
              <w:rPr>
                <w:rFonts w:ascii="宋体" w:hAnsi="宋体" w:cs="宋体" w:eastAsia="宋体" w:hint="default"/>
                <w:sz w:val="18"/>
                <w:szCs w:val="18"/>
              </w:rPr>
            </w:pPr>
            <w:r>
              <w:rPr>
                <w:rFonts w:ascii="宋体" w:hAnsi="宋体" w:cs="宋体" w:eastAsia="宋体" w:hint="default"/>
                <w:sz w:val="18"/>
                <w:szCs w:val="18"/>
              </w:rPr>
              <w:t>药品贸易</w:t>
            </w:r>
          </w:p>
        </w:tc>
      </w:tr>
      <w:tr>
        <w:trPr>
          <w:trHeight w:val="240" w:hRule="exact"/>
        </w:trPr>
        <w:tc>
          <w:tcPr>
            <w:tcW w:w="1651" w:type="dxa"/>
            <w:tcBorders>
              <w:top w:val="nil" w:sz="6" w:space="0" w:color="auto"/>
              <w:left w:val="nil" w:sz="6" w:space="0" w:color="auto"/>
              <w:bottom w:val="single" w:sz="6" w:space="0" w:color="000000"/>
              <w:right w:val="single" w:sz="6"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29" w:type="dxa"/>
            <w:gridSpan w:val="2"/>
            <w:tcBorders>
              <w:top w:val="nil" w:sz="6" w:space="0" w:color="auto"/>
              <w:left w:val="single" w:sz="6" w:space="0" w:color="000000"/>
              <w:bottom w:val="single" w:sz="6" w:space="0" w:color="000000"/>
              <w:right w:val="single" w:sz="6" w:space="0" w:color="000000"/>
            </w:tcBorders>
          </w:tcPr>
          <w:p>
            <w:pPr/>
          </w:p>
        </w:tc>
        <w:tc>
          <w:tcPr>
            <w:tcW w:w="1284" w:type="dxa"/>
            <w:tcBorders>
              <w:top w:val="nil" w:sz="6" w:space="0" w:color="auto"/>
              <w:left w:val="single" w:sz="6" w:space="0" w:color="000000"/>
              <w:bottom w:val="single" w:sz="6" w:space="0" w:color="000000"/>
              <w:right w:val="single" w:sz="6" w:space="0" w:color="000000"/>
            </w:tcBorders>
          </w:tcPr>
          <w:p>
            <w:pPr/>
          </w:p>
        </w:tc>
        <w:tc>
          <w:tcPr>
            <w:tcW w:w="1264"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c>
          <w:tcPr>
            <w:tcW w:w="829" w:type="dxa"/>
            <w:vMerge/>
            <w:tcBorders>
              <w:left w:val="single" w:sz="6" w:space="0" w:color="000000"/>
              <w:bottom w:val="single" w:sz="6" w:space="0" w:color="000000"/>
              <w:right w:val="single" w:sz="6" w:space="0" w:color="000000"/>
            </w:tcBorders>
          </w:tcPr>
          <w:p>
            <w:pPr/>
          </w:p>
        </w:tc>
        <w:tc>
          <w:tcPr>
            <w:tcW w:w="1321" w:type="dxa"/>
            <w:tcBorders>
              <w:top w:val="nil" w:sz="6" w:space="0" w:color="auto"/>
              <w:left w:val="single" w:sz="6" w:space="0" w:color="000000"/>
              <w:bottom w:val="single" w:sz="6" w:space="0" w:color="000000"/>
              <w:right w:val="nil" w:sz="6" w:space="0" w:color="auto"/>
            </w:tcBorders>
          </w:tcPr>
          <w:p>
            <w:pPr/>
          </w:p>
        </w:tc>
      </w:tr>
      <w:tr>
        <w:trPr>
          <w:trHeight w:val="1068"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right="0"/>
              <w:jc w:val="left"/>
              <w:rPr>
                <w:rFonts w:ascii="黑体" w:hAnsi="黑体" w:cs="黑体" w:eastAsia="黑体" w:hint="default"/>
                <w:b/>
                <w:bCs/>
                <w:sz w:val="20"/>
                <w:szCs w:val="20"/>
              </w:rPr>
            </w:pPr>
          </w:p>
          <w:p>
            <w:pPr>
              <w:pStyle w:val="TableParagraph"/>
              <w:spacing w:line="240" w:lineRule="auto"/>
              <w:ind w:left="122" w:right="73"/>
              <w:jc w:val="left"/>
              <w:rPr>
                <w:rFonts w:ascii="宋体" w:hAnsi="宋体" w:cs="宋体" w:eastAsia="宋体" w:hint="default"/>
                <w:sz w:val="18"/>
                <w:szCs w:val="18"/>
              </w:rPr>
            </w:pPr>
            <w:r>
              <w:rPr>
                <w:rFonts w:ascii="宋体" w:hAnsi="宋体" w:cs="宋体" w:eastAsia="宋体" w:hint="default"/>
                <w:spacing w:val="20"/>
                <w:sz w:val="18"/>
                <w:szCs w:val="18"/>
              </w:rPr>
              <w:t>北京比力必</w:t>
            </w:r>
            <w:r>
              <w:rPr>
                <w:rFonts w:ascii="宋体" w:hAnsi="宋体" w:cs="宋体" w:eastAsia="宋体" w:hint="default"/>
                <w:spacing w:val="-62"/>
                <w:sz w:val="18"/>
                <w:szCs w:val="18"/>
              </w:rPr>
              <w:t> </w:t>
            </w:r>
            <w:r>
              <w:rPr>
                <w:rFonts w:ascii="宋体" w:hAnsi="宋体" w:cs="宋体" w:eastAsia="宋体" w:hint="default"/>
                <w:spacing w:val="13"/>
                <w:sz w:val="18"/>
                <w:szCs w:val="18"/>
              </w:rPr>
              <w:t>利文</w:t>
            </w:r>
            <w:r>
              <w:rPr>
                <w:rFonts w:ascii="宋体" w:hAnsi="宋体" w:cs="宋体" w:eastAsia="宋体" w:hint="default"/>
                <w:spacing w:val="-88"/>
                <w:sz w:val="18"/>
                <w:szCs w:val="18"/>
              </w:rPr>
              <w:t> </w:t>
            </w:r>
            <w:r>
              <w:rPr>
                <w:rFonts w:ascii="宋体" w:hAnsi="宋体" w:cs="宋体" w:eastAsia="宋体" w:hint="default"/>
                <w:sz w:val="18"/>
                <w:szCs w:val="18"/>
              </w:rPr>
              <w:t>化传播有限公司</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黑体" w:hAnsi="黑体" w:cs="黑体" w:eastAsia="黑体" w:hint="default"/>
                <w:b/>
                <w:bCs/>
                <w:sz w:val="20"/>
                <w:szCs w:val="20"/>
              </w:rPr>
            </w:pPr>
          </w:p>
          <w:p>
            <w:pPr>
              <w:pStyle w:val="TableParagraph"/>
              <w:spacing w:line="240" w:lineRule="auto"/>
              <w:ind w:left="438" w:right="164"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0" w:right="56"/>
              <w:jc w:val="both"/>
              <w:rPr>
                <w:rFonts w:ascii="宋体" w:hAnsi="宋体" w:cs="宋体" w:eastAsia="宋体" w:hint="default"/>
                <w:sz w:val="18"/>
                <w:szCs w:val="18"/>
              </w:rPr>
            </w:pPr>
            <w:r>
              <w:rPr>
                <w:rFonts w:ascii="宋体" w:hAnsi="宋体" w:cs="宋体" w:eastAsia="宋体" w:hint="default"/>
                <w:spacing w:val="33"/>
                <w:sz w:val="18"/>
                <w:szCs w:val="18"/>
              </w:rPr>
              <w:t>北京市朝阳</w:t>
            </w:r>
            <w:r>
              <w:rPr>
                <w:rFonts w:ascii="宋体" w:hAnsi="宋体" w:cs="宋体" w:eastAsia="宋体" w:hint="default"/>
                <w:spacing w:val="-88"/>
                <w:sz w:val="18"/>
                <w:szCs w:val="18"/>
              </w:rPr>
              <w:t> </w:t>
            </w:r>
            <w:r>
              <w:rPr>
                <w:rFonts w:ascii="宋体" w:hAnsi="宋体" w:cs="宋体" w:eastAsia="宋体" w:hint="default"/>
                <w:spacing w:val="33"/>
                <w:sz w:val="18"/>
                <w:szCs w:val="18"/>
              </w:rPr>
              <w:t>区将台乡安</w:t>
            </w:r>
            <w:r>
              <w:rPr>
                <w:rFonts w:ascii="宋体" w:hAnsi="宋体" w:cs="宋体" w:eastAsia="宋体" w:hint="default"/>
                <w:spacing w:val="-88"/>
                <w:sz w:val="18"/>
                <w:szCs w:val="18"/>
              </w:rPr>
              <w:t> </w:t>
            </w:r>
            <w:r>
              <w:rPr>
                <w:rFonts w:ascii="宋体" w:hAnsi="宋体" w:cs="宋体" w:eastAsia="宋体" w:hint="default"/>
                <w:sz w:val="18"/>
                <w:szCs w:val="18"/>
              </w:rPr>
              <w:t>家楼村西</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餐饮</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ind w:right="0"/>
              <w:jc w:val="left"/>
              <w:rPr>
                <w:rFonts w:ascii="黑体" w:hAnsi="黑体" w:cs="黑体" w:eastAsia="黑体" w:hint="default"/>
                <w:b/>
                <w:bCs/>
                <w:sz w:val="14"/>
                <w:szCs w:val="14"/>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50.00</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44"/>
              <w:ind w:left="1" w:right="0"/>
              <w:jc w:val="center"/>
              <w:rPr>
                <w:rFonts w:ascii="宋体" w:hAnsi="宋体" w:cs="宋体" w:eastAsia="宋体" w:hint="default"/>
                <w:sz w:val="18"/>
                <w:szCs w:val="18"/>
              </w:rPr>
            </w:pPr>
            <w:r>
              <w:rPr>
                <w:rFonts w:ascii="宋体" w:hAnsi="宋体" w:cs="宋体" w:eastAsia="宋体" w:hint="default"/>
                <w:sz w:val="18"/>
                <w:szCs w:val="18"/>
              </w:rPr>
              <w:t>逯春明</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黑体" w:hAnsi="黑体" w:cs="黑体" w:eastAsia="黑体" w:hint="default"/>
                <w:b/>
                <w:bCs/>
                <w:sz w:val="20"/>
                <w:szCs w:val="20"/>
              </w:rPr>
            </w:pP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pacing w:val="4"/>
                <w:sz w:val="18"/>
                <w:szCs w:val="18"/>
              </w:rPr>
              <w:t>餐饮服务、销 </w:t>
            </w:r>
            <w:r>
              <w:rPr>
                <w:rFonts w:ascii="宋体" w:hAnsi="宋体" w:cs="宋体" w:eastAsia="宋体" w:hint="default"/>
                <w:sz w:val="18"/>
                <w:szCs w:val="18"/>
              </w:rPr>
              <w:t>售酒、饮料等</w:t>
            </w:r>
          </w:p>
        </w:tc>
      </w:tr>
      <w:tr>
        <w:trPr>
          <w:trHeight w:val="938"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18" w:lineRule="exact" w:before="9"/>
              <w:ind w:left="122" w:right="98"/>
              <w:jc w:val="left"/>
              <w:rPr>
                <w:rFonts w:ascii="宋体" w:hAnsi="宋体" w:cs="宋体" w:eastAsia="宋体" w:hint="default"/>
                <w:sz w:val="18"/>
                <w:szCs w:val="18"/>
              </w:rPr>
            </w:pPr>
            <w:r>
              <w:rPr>
                <w:rFonts w:ascii="Century Gothic" w:hAnsi="Century Gothic" w:cs="Century Gothic" w:eastAsia="Century Gothic" w:hint="default"/>
                <w:sz w:val="18"/>
                <w:szCs w:val="18"/>
              </w:rPr>
              <w:t>HOLLEYPHARMA</w:t>
            </w:r>
            <w:r>
              <w:rPr>
                <w:rFonts w:ascii="Century Gothic" w:hAnsi="Century Gothic" w:cs="Century Gothic" w:eastAsia="Century Gothic" w:hint="default"/>
                <w:spacing w:val="-1"/>
                <w:sz w:val="18"/>
                <w:szCs w:val="18"/>
              </w:rPr>
              <w:t> </w:t>
            </w:r>
            <w:r>
              <w:rPr>
                <w:rFonts w:ascii="Century Gothic" w:hAnsi="Century Gothic" w:cs="Century Gothic" w:eastAsia="Century Gothic" w:hint="default"/>
                <w:sz w:val="18"/>
                <w:szCs w:val="18"/>
              </w:rPr>
              <w:t>TANZANIA LTD</w:t>
            </w:r>
            <w:r>
              <w:rPr>
                <w:rFonts w:ascii="Century Gothic" w:hAnsi="Century Gothic" w:cs="Century Gothic" w:eastAsia="Century Gothic" w:hint="default"/>
                <w:spacing w:val="-27"/>
                <w:sz w:val="18"/>
                <w:szCs w:val="18"/>
              </w:rPr>
              <w:t> </w:t>
            </w:r>
            <w:r>
              <w:rPr>
                <w:rFonts w:ascii="宋体" w:hAnsi="宋体" w:cs="宋体" w:eastAsia="宋体" w:hint="default"/>
                <w:sz w:val="18"/>
                <w:szCs w:val="18"/>
              </w:rPr>
              <w:t>华</w:t>
            </w:r>
          </w:p>
          <w:p>
            <w:pPr>
              <w:pStyle w:val="TableParagraph"/>
              <w:spacing w:line="234" w:lineRule="exact" w:before="3"/>
              <w:ind w:left="122" w:right="73"/>
              <w:jc w:val="left"/>
              <w:rPr>
                <w:rFonts w:ascii="宋体" w:hAnsi="宋体" w:cs="宋体" w:eastAsia="宋体" w:hint="default"/>
                <w:sz w:val="18"/>
                <w:szCs w:val="18"/>
              </w:rPr>
            </w:pPr>
            <w:r>
              <w:rPr>
                <w:rFonts w:ascii="宋体" w:hAnsi="宋体" w:cs="宋体" w:eastAsia="宋体" w:hint="default"/>
                <w:spacing w:val="20"/>
                <w:sz w:val="18"/>
                <w:szCs w:val="18"/>
              </w:rPr>
              <w:t>立药业坦桑</w:t>
            </w:r>
            <w:r>
              <w:rPr>
                <w:rFonts w:ascii="宋体" w:hAnsi="宋体" w:cs="宋体" w:eastAsia="宋体" w:hint="default"/>
                <w:spacing w:val="-62"/>
                <w:sz w:val="18"/>
                <w:szCs w:val="18"/>
              </w:rPr>
              <w:t> </w:t>
            </w:r>
            <w:r>
              <w:rPr>
                <w:rFonts w:ascii="宋体" w:hAnsi="宋体" w:cs="宋体" w:eastAsia="宋体" w:hint="default"/>
                <w:spacing w:val="13"/>
                <w:sz w:val="18"/>
                <w:szCs w:val="18"/>
              </w:rPr>
              <w:t>尼亚</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黑体" w:hAnsi="黑体" w:cs="黑体" w:eastAsia="黑体" w:hint="default"/>
                <w:b/>
                <w:bCs/>
                <w:sz w:val="15"/>
                <w:szCs w:val="15"/>
              </w:rPr>
            </w:pPr>
          </w:p>
          <w:p>
            <w:pPr>
              <w:pStyle w:val="TableParagraph"/>
              <w:spacing w:line="240" w:lineRule="auto"/>
              <w:ind w:left="438" w:right="164"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坦桑尼亚</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进出口</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26"/>
                <w:szCs w:val="26"/>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USD7.4653</w:t>
            </w:r>
          </w:p>
        </w:tc>
        <w:tc>
          <w:tcPr>
            <w:tcW w:w="829"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left="100" w:right="102"/>
              <w:jc w:val="both"/>
              <w:rPr>
                <w:rFonts w:ascii="宋体" w:hAnsi="宋体" w:cs="宋体" w:eastAsia="宋体" w:hint="default"/>
                <w:sz w:val="18"/>
                <w:szCs w:val="18"/>
              </w:rPr>
            </w:pPr>
            <w:r>
              <w:rPr>
                <w:rFonts w:ascii="宋体" w:hAnsi="宋体" w:cs="宋体" w:eastAsia="宋体" w:hint="default"/>
                <w:spacing w:val="4"/>
                <w:sz w:val="18"/>
                <w:szCs w:val="18"/>
              </w:rPr>
              <w:t>医药制品的进 出口、批发零 </w:t>
            </w:r>
            <w:r>
              <w:rPr>
                <w:rFonts w:ascii="宋体" w:hAnsi="宋体" w:cs="宋体" w:eastAsia="宋体" w:hint="default"/>
                <w:sz w:val="18"/>
                <w:szCs w:val="18"/>
              </w:rPr>
              <w:t>售等</w:t>
            </w:r>
          </w:p>
        </w:tc>
      </w:tr>
      <w:tr>
        <w:trPr>
          <w:trHeight w:val="950"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122" w:right="73"/>
              <w:jc w:val="left"/>
              <w:rPr>
                <w:rFonts w:ascii="宋体" w:hAnsi="宋体" w:cs="宋体" w:eastAsia="宋体" w:hint="default"/>
                <w:sz w:val="18"/>
                <w:szCs w:val="18"/>
              </w:rPr>
            </w:pPr>
            <w:r>
              <w:rPr>
                <w:rFonts w:ascii="宋体" w:hAnsi="宋体" w:cs="宋体" w:eastAsia="宋体" w:hint="default"/>
                <w:spacing w:val="20"/>
                <w:sz w:val="18"/>
                <w:szCs w:val="18"/>
              </w:rPr>
              <w:t>上海珐迩玛</w:t>
            </w:r>
            <w:r>
              <w:rPr>
                <w:rFonts w:ascii="宋体" w:hAnsi="宋体" w:cs="宋体" w:eastAsia="宋体" w:hint="default"/>
                <w:spacing w:val="-62"/>
                <w:sz w:val="18"/>
                <w:szCs w:val="18"/>
              </w:rPr>
              <w:t> </w:t>
            </w:r>
            <w:r>
              <w:rPr>
                <w:rFonts w:ascii="宋体" w:hAnsi="宋体" w:cs="宋体" w:eastAsia="宋体" w:hint="default"/>
                <w:spacing w:val="13"/>
                <w:sz w:val="18"/>
                <w:szCs w:val="18"/>
              </w:rPr>
              <w:t>实业</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438" w:right="164" w:hanging="270"/>
              <w:jc w:val="left"/>
              <w:rPr>
                <w:rFonts w:ascii="宋体" w:hAnsi="宋体" w:cs="宋体" w:eastAsia="宋体" w:hint="default"/>
                <w:sz w:val="18"/>
                <w:szCs w:val="18"/>
              </w:rPr>
            </w:pPr>
            <w:r>
              <w:rPr>
                <w:rFonts w:ascii="宋体" w:hAnsi="宋体" w:cs="宋体" w:eastAsia="宋体" w:hint="default"/>
                <w:sz w:val="18"/>
                <w:szCs w:val="18"/>
              </w:rPr>
              <w:t>控股子公司的 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56"/>
              <w:jc w:val="both"/>
              <w:rPr>
                <w:rFonts w:ascii="宋体" w:hAnsi="宋体" w:cs="宋体" w:eastAsia="宋体" w:hint="default"/>
                <w:sz w:val="18"/>
                <w:szCs w:val="18"/>
              </w:rPr>
            </w:pPr>
            <w:r>
              <w:rPr>
                <w:rFonts w:ascii="宋体" w:hAnsi="宋体" w:cs="宋体" w:eastAsia="宋体" w:hint="default"/>
                <w:spacing w:val="33"/>
                <w:sz w:val="18"/>
                <w:szCs w:val="18"/>
              </w:rPr>
              <w:t>上海市普陀</w:t>
            </w:r>
            <w:r>
              <w:rPr>
                <w:rFonts w:ascii="宋体" w:hAnsi="宋体" w:cs="宋体" w:eastAsia="宋体" w:hint="default"/>
                <w:spacing w:val="-88"/>
                <w:sz w:val="18"/>
                <w:szCs w:val="18"/>
              </w:rPr>
              <w:t> </w:t>
            </w:r>
            <w:r>
              <w:rPr>
                <w:rFonts w:ascii="宋体" w:hAnsi="宋体" w:cs="宋体" w:eastAsia="宋体" w:hint="default"/>
                <w:sz w:val="18"/>
                <w:szCs w:val="18"/>
              </w:rPr>
              <w:t>区 常 德</w:t>
            </w:r>
            <w:r>
              <w:rPr>
                <w:rFonts w:ascii="宋体" w:hAnsi="宋体" w:cs="宋体" w:eastAsia="宋体" w:hint="default"/>
                <w:spacing w:val="75"/>
                <w:sz w:val="18"/>
                <w:szCs w:val="18"/>
              </w:rPr>
              <w:t> </w:t>
            </w:r>
            <w:r>
              <w:rPr>
                <w:rFonts w:ascii="宋体" w:hAnsi="宋体" w:cs="宋体" w:eastAsia="宋体" w:hint="default"/>
                <w:sz w:val="18"/>
                <w:szCs w:val="18"/>
              </w:rPr>
              <w:t>路</w:t>
            </w:r>
            <w:r>
              <w:rPr>
                <w:rFonts w:ascii="宋体" w:hAnsi="宋体" w:cs="宋体" w:eastAsia="宋体" w:hint="default"/>
                <w:sz w:val="18"/>
                <w:szCs w:val="18"/>
              </w:rPr>
              <w:t> </w:t>
            </w:r>
            <w:r>
              <w:rPr>
                <w:rFonts w:ascii="Century Gothic" w:hAnsi="Century Gothic" w:cs="Century Gothic" w:eastAsia="Century Gothic" w:hint="default"/>
                <w:sz w:val="18"/>
                <w:szCs w:val="18"/>
              </w:rPr>
              <w:t>1239</w:t>
            </w:r>
            <w:r>
              <w:rPr>
                <w:rFonts w:ascii="Century Gothic" w:hAnsi="Century Gothic" w:cs="Century Gothic" w:eastAsia="Century Gothic" w:hint="default"/>
                <w:spacing w:val="-10"/>
                <w:sz w:val="18"/>
                <w:szCs w:val="18"/>
              </w:rPr>
              <w:t> </w:t>
            </w:r>
            <w:r>
              <w:rPr>
                <w:rFonts w:ascii="宋体" w:hAnsi="宋体" w:cs="宋体" w:eastAsia="宋体" w:hint="default"/>
                <w:sz w:val="18"/>
                <w:szCs w:val="18"/>
              </w:rPr>
              <w:t>号</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商业</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23"/>
              <w:ind w:right="0"/>
              <w:jc w:val="center"/>
              <w:rPr>
                <w:rFonts w:ascii="Century Gothic" w:hAnsi="Century Gothic" w:cs="Century Gothic" w:eastAsia="Century Gothic" w:hint="default"/>
                <w:sz w:val="18"/>
                <w:szCs w:val="18"/>
              </w:rPr>
            </w:pPr>
            <w:r>
              <w:rPr>
                <w:rFonts w:ascii="Century Gothic"/>
                <w:sz w:val="18"/>
              </w:rPr>
              <w:t>100.00</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逯春明</w:t>
            </w: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4"/>
                <w:sz w:val="18"/>
                <w:szCs w:val="18"/>
              </w:rPr>
              <w:t>化学专业技术</w:t>
            </w:r>
            <w:r>
              <w:rPr>
                <w:rFonts w:ascii="宋体" w:hAnsi="宋体" w:cs="宋体" w:eastAsia="宋体" w:hint="default"/>
                <w:sz w:val="18"/>
                <w:szCs w:val="18"/>
              </w:rPr>
            </w:r>
          </w:p>
          <w:p>
            <w:pPr>
              <w:pStyle w:val="TableParagraph"/>
              <w:spacing w:line="240" w:lineRule="auto"/>
              <w:ind w:left="100" w:right="102"/>
              <w:jc w:val="both"/>
              <w:rPr>
                <w:rFonts w:ascii="宋体" w:hAnsi="宋体" w:cs="宋体" w:eastAsia="宋体" w:hint="default"/>
                <w:sz w:val="18"/>
                <w:szCs w:val="18"/>
              </w:rPr>
            </w:pPr>
            <w:r>
              <w:rPr>
                <w:rFonts w:ascii="宋体" w:hAnsi="宋体" w:cs="宋体" w:eastAsia="宋体" w:hint="default"/>
                <w:spacing w:val="4"/>
                <w:sz w:val="18"/>
                <w:szCs w:val="18"/>
              </w:rPr>
              <w:t>开发、技术转 让、批发零售 </w:t>
            </w:r>
            <w:r>
              <w:rPr>
                <w:rFonts w:ascii="宋体" w:hAnsi="宋体" w:cs="宋体" w:eastAsia="宋体" w:hint="default"/>
                <w:sz w:val="18"/>
                <w:szCs w:val="18"/>
              </w:rPr>
              <w:t>等</w:t>
            </w:r>
          </w:p>
        </w:tc>
      </w:tr>
      <w:tr>
        <w:trPr>
          <w:trHeight w:val="240" w:hRule="exact"/>
        </w:trPr>
        <w:tc>
          <w:tcPr>
            <w:tcW w:w="1651" w:type="dxa"/>
            <w:tcBorders>
              <w:top w:val="single" w:sz="6" w:space="0" w:color="000000"/>
              <w:left w:val="nil" w:sz="6" w:space="0" w:color="auto"/>
              <w:bottom w:val="nil" w:sz="6" w:space="0" w:color="auto"/>
              <w:right w:val="single" w:sz="6" w:space="0" w:color="000000"/>
            </w:tcBorders>
          </w:tcPr>
          <w:p>
            <w:pPr/>
          </w:p>
        </w:tc>
        <w:tc>
          <w:tcPr>
            <w:tcW w:w="1429" w:type="dxa"/>
            <w:gridSpan w:val="2"/>
            <w:tcBorders>
              <w:top w:val="single" w:sz="6" w:space="0" w:color="000000"/>
              <w:left w:val="single" w:sz="6" w:space="0" w:color="000000"/>
              <w:bottom w:val="nil" w:sz="6" w:space="0" w:color="auto"/>
              <w:right w:val="single" w:sz="6" w:space="0" w:color="000000"/>
            </w:tcBorders>
          </w:tcPr>
          <w:p>
            <w:pPr/>
          </w:p>
        </w:tc>
        <w:tc>
          <w:tcPr>
            <w:tcW w:w="1284"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3"/>
                <w:sz w:val="18"/>
                <w:szCs w:val="18"/>
              </w:rPr>
              <w:t>广州市白云</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64" w:type="dxa"/>
            <w:tcBorders>
              <w:top w:val="single" w:sz="6" w:space="0" w:color="000000"/>
              <w:left w:val="single" w:sz="6" w:space="0" w:color="000000"/>
              <w:bottom w:val="nil" w:sz="6" w:space="0" w:color="auto"/>
              <w:right w:val="single" w:sz="6" w:space="0" w:color="000000"/>
            </w:tcBorders>
          </w:tcPr>
          <w:p>
            <w:pPr/>
          </w:p>
        </w:tc>
        <w:tc>
          <w:tcPr>
            <w:tcW w:w="1262" w:type="dxa"/>
            <w:tcBorders>
              <w:top w:val="single" w:sz="6" w:space="0" w:color="000000"/>
              <w:left w:val="single" w:sz="6" w:space="0" w:color="000000"/>
              <w:bottom w:val="nil" w:sz="6" w:space="0" w:color="auto"/>
              <w:right w:val="single" w:sz="6" w:space="0" w:color="000000"/>
            </w:tcBorders>
          </w:tcPr>
          <w:p>
            <w:pPr/>
          </w:p>
        </w:tc>
        <w:tc>
          <w:tcPr>
            <w:tcW w:w="829" w:type="dxa"/>
            <w:tcBorders>
              <w:top w:val="single" w:sz="6" w:space="0" w:color="000000"/>
              <w:left w:val="single" w:sz="6" w:space="0" w:color="000000"/>
              <w:bottom w:val="nil" w:sz="6" w:space="0" w:color="auto"/>
              <w:right w:val="single" w:sz="6" w:space="0" w:color="000000"/>
            </w:tcBorders>
          </w:tcPr>
          <w:p>
            <w:pPr/>
          </w:p>
        </w:tc>
        <w:tc>
          <w:tcPr>
            <w:tcW w:w="1321" w:type="dxa"/>
            <w:tcBorders>
              <w:top w:val="single" w:sz="6" w:space="0" w:color="000000"/>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医药、保健食</w:t>
            </w:r>
            <w:r>
              <w:rPr>
                <w:rFonts w:ascii="宋体" w:hAnsi="宋体" w:cs="宋体" w:eastAsia="宋体" w:hint="default"/>
                <w:sz w:val="18"/>
                <w:szCs w:val="18"/>
              </w:rPr>
            </w:r>
          </w:p>
        </w:tc>
      </w:tr>
      <w:tr>
        <w:trPr>
          <w:trHeight w:val="469" w:hRule="exact"/>
        </w:trPr>
        <w:tc>
          <w:tcPr>
            <w:tcW w:w="1651" w:type="dxa"/>
            <w:tcBorders>
              <w:top w:val="nil" w:sz="6" w:space="0" w:color="auto"/>
              <w:left w:val="nil" w:sz="6" w:space="0" w:color="auto"/>
              <w:bottom w:val="nil" w:sz="6" w:space="0" w:color="auto"/>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广州市华立</w:t>
            </w:r>
            <w:r>
              <w:rPr>
                <w:rFonts w:ascii="宋体" w:hAnsi="宋体" w:cs="宋体" w:eastAsia="宋体" w:hint="default"/>
                <w:spacing w:val="-59"/>
                <w:sz w:val="18"/>
                <w:szCs w:val="18"/>
              </w:rPr>
              <w:t> </w:t>
            </w:r>
            <w:r>
              <w:rPr>
                <w:rFonts w:ascii="宋体" w:hAnsi="宋体" w:cs="宋体" w:eastAsia="宋体" w:hint="default"/>
                <w:spacing w:val="13"/>
                <w:sz w:val="18"/>
                <w:szCs w:val="18"/>
              </w:rPr>
              <w:t>健药</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429" w:type="dxa"/>
            <w:gridSpan w:val="2"/>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258"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14" w:lineRule="exact"/>
              <w:ind w:left="100" w:right="0"/>
              <w:jc w:val="left"/>
              <w:rPr>
                <w:rFonts w:ascii="Century Gothic" w:hAnsi="Century Gothic" w:cs="Century Gothic" w:eastAsia="Century Gothic" w:hint="default"/>
                <w:sz w:val="18"/>
                <w:szCs w:val="18"/>
              </w:rPr>
            </w:pPr>
            <w:r>
              <w:rPr>
                <w:rFonts w:ascii="宋体" w:hAnsi="宋体" w:cs="宋体" w:eastAsia="宋体" w:hint="default"/>
                <w:spacing w:val="10"/>
                <w:sz w:val="18"/>
                <w:szCs w:val="18"/>
              </w:rPr>
              <w:t>区机场路</w:t>
            </w:r>
            <w:r>
              <w:rPr>
                <w:rFonts w:ascii="宋体" w:hAnsi="宋体" w:cs="宋体" w:eastAsia="宋体" w:hint="default"/>
                <w:spacing w:val="13"/>
                <w:sz w:val="18"/>
                <w:szCs w:val="18"/>
              </w:rPr>
              <w:t> </w:t>
            </w:r>
            <w:r>
              <w:rPr>
                <w:rFonts w:ascii="Century Gothic" w:hAnsi="Century Gothic" w:cs="Century Gothic" w:eastAsia="Century Gothic" w:hint="default"/>
                <w:sz w:val="18"/>
                <w:szCs w:val="18"/>
              </w:rPr>
              <w:t>17</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pacing w:val="33"/>
                <w:sz w:val="18"/>
                <w:szCs w:val="18"/>
              </w:rPr>
              <w:t>号金茂大厦</w:t>
            </w:r>
            <w:r>
              <w:rPr>
                <w:rFonts w:ascii="宋体" w:hAnsi="宋体" w:cs="宋体" w:eastAsia="宋体" w:hint="default"/>
                <w:spacing w:val="-48"/>
                <w:sz w:val="18"/>
                <w:szCs w:val="18"/>
              </w:rPr>
              <w:t> </w:t>
            </w:r>
            <w:r>
              <w:rPr>
                <w:rFonts w:ascii="宋体" w:hAnsi="宋体" w:cs="宋体" w:eastAsia="宋体" w:hint="default"/>
                <w:sz w:val="18"/>
                <w:szCs w:val="18"/>
              </w:rPr>
            </w:r>
          </w:p>
        </w:tc>
        <w:tc>
          <w:tcPr>
            <w:tcW w:w="1264"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262"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1"/>
              <w:jc w:val="center"/>
              <w:rPr>
                <w:rFonts w:ascii="Century Gothic" w:hAnsi="Century Gothic" w:cs="Century Gothic" w:eastAsia="Century Gothic" w:hint="default"/>
                <w:sz w:val="18"/>
                <w:szCs w:val="18"/>
              </w:rPr>
            </w:pPr>
            <w:r>
              <w:rPr>
                <w:rFonts w:ascii="Century Gothic"/>
                <w:sz w:val="18"/>
              </w:rPr>
              <w:t>3,000.00</w:t>
            </w:r>
          </w:p>
        </w:tc>
        <w:tc>
          <w:tcPr>
            <w:tcW w:w="829"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赵晓光</w:t>
            </w:r>
          </w:p>
        </w:tc>
        <w:tc>
          <w:tcPr>
            <w:tcW w:w="1321" w:type="dxa"/>
            <w:tcBorders>
              <w:top w:val="nil" w:sz="6" w:space="0" w:color="auto"/>
              <w:left w:val="single" w:sz="6" w:space="0" w:color="000000"/>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品、化妆品的</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4"/>
                <w:sz w:val="18"/>
                <w:szCs w:val="18"/>
              </w:rPr>
              <w:t>技术研究、开</w:t>
            </w:r>
            <w:r>
              <w:rPr>
                <w:rFonts w:ascii="宋体" w:hAnsi="宋体" w:cs="宋体" w:eastAsia="宋体" w:hint="default"/>
                <w:sz w:val="18"/>
                <w:szCs w:val="18"/>
              </w:rPr>
            </w:r>
          </w:p>
        </w:tc>
      </w:tr>
      <w:tr>
        <w:trPr>
          <w:trHeight w:val="243" w:hRule="exact"/>
        </w:trPr>
        <w:tc>
          <w:tcPr>
            <w:tcW w:w="1651" w:type="dxa"/>
            <w:tcBorders>
              <w:top w:val="nil" w:sz="6" w:space="0" w:color="auto"/>
              <w:left w:val="nil" w:sz="6" w:space="0" w:color="auto"/>
              <w:bottom w:val="single" w:sz="6" w:space="0" w:color="000000"/>
              <w:right w:val="single" w:sz="6" w:space="0" w:color="000000"/>
            </w:tcBorders>
          </w:tcPr>
          <w:p>
            <w:pPr/>
          </w:p>
        </w:tc>
        <w:tc>
          <w:tcPr>
            <w:tcW w:w="1429" w:type="dxa"/>
            <w:gridSpan w:val="2"/>
            <w:tcBorders>
              <w:top w:val="nil" w:sz="6" w:space="0" w:color="auto"/>
              <w:left w:val="single" w:sz="6" w:space="0" w:color="000000"/>
              <w:bottom w:val="single" w:sz="6" w:space="0" w:color="000000"/>
              <w:right w:val="single" w:sz="6" w:space="0" w:color="000000"/>
            </w:tcBorders>
          </w:tcPr>
          <w:p>
            <w:pPr/>
          </w:p>
        </w:tc>
        <w:tc>
          <w:tcPr>
            <w:tcW w:w="1284" w:type="dxa"/>
            <w:tcBorders>
              <w:top w:val="nil" w:sz="6" w:space="0" w:color="auto"/>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Century Gothic" w:hAnsi="Century Gothic" w:cs="Century Gothic" w:eastAsia="Century Gothic" w:hint="default"/>
                <w:sz w:val="18"/>
                <w:szCs w:val="18"/>
              </w:rPr>
              <w:t>505</w:t>
            </w:r>
            <w:r>
              <w:rPr>
                <w:rFonts w:ascii="Century Gothic" w:hAnsi="Century Gothic" w:cs="Century Gothic" w:eastAsia="Century Gothic" w:hint="default"/>
                <w:spacing w:val="-9"/>
                <w:sz w:val="18"/>
                <w:szCs w:val="18"/>
              </w:rPr>
              <w:t> </w:t>
            </w:r>
            <w:r>
              <w:rPr>
                <w:rFonts w:ascii="宋体" w:hAnsi="宋体" w:cs="宋体" w:eastAsia="宋体" w:hint="default"/>
                <w:sz w:val="18"/>
                <w:szCs w:val="18"/>
              </w:rPr>
              <w:t>室</w:t>
            </w:r>
          </w:p>
        </w:tc>
        <w:tc>
          <w:tcPr>
            <w:tcW w:w="1264" w:type="dxa"/>
            <w:tcBorders>
              <w:top w:val="nil" w:sz="6" w:space="0" w:color="auto"/>
              <w:left w:val="single" w:sz="6" w:space="0" w:color="000000"/>
              <w:bottom w:val="single" w:sz="6" w:space="0" w:color="000000"/>
              <w:right w:val="single" w:sz="6" w:space="0" w:color="000000"/>
            </w:tcBorders>
          </w:tcPr>
          <w:p>
            <w:pPr/>
          </w:p>
        </w:tc>
        <w:tc>
          <w:tcPr>
            <w:tcW w:w="1262" w:type="dxa"/>
            <w:tcBorders>
              <w:top w:val="nil" w:sz="6" w:space="0" w:color="auto"/>
              <w:left w:val="single" w:sz="6" w:space="0" w:color="000000"/>
              <w:bottom w:val="single" w:sz="6" w:space="0" w:color="000000"/>
              <w:right w:val="single" w:sz="6" w:space="0" w:color="000000"/>
            </w:tcBorders>
          </w:tcPr>
          <w:p>
            <w:pPr/>
          </w:p>
        </w:tc>
        <w:tc>
          <w:tcPr>
            <w:tcW w:w="829" w:type="dxa"/>
            <w:tcBorders>
              <w:top w:val="nil" w:sz="6" w:space="0" w:color="auto"/>
              <w:left w:val="single" w:sz="6" w:space="0" w:color="000000"/>
              <w:bottom w:val="single" w:sz="6" w:space="0" w:color="000000"/>
              <w:right w:val="single" w:sz="6" w:space="0" w:color="000000"/>
            </w:tcBorders>
          </w:tcPr>
          <w:p>
            <w:pPr/>
          </w:p>
        </w:tc>
        <w:tc>
          <w:tcPr>
            <w:tcW w:w="1321" w:type="dxa"/>
            <w:tcBorders>
              <w:top w:val="nil" w:sz="6" w:space="0" w:color="auto"/>
              <w:left w:val="single" w:sz="6" w:space="0" w:color="000000"/>
              <w:bottom w:val="single" w:sz="6" w:space="0" w:color="000000"/>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发和咨询</w:t>
            </w:r>
          </w:p>
        </w:tc>
      </w:tr>
      <w:tr>
        <w:trPr>
          <w:trHeight w:val="299" w:hRule="exact"/>
        </w:trPr>
        <w:tc>
          <w:tcPr>
            <w:tcW w:w="1651" w:type="dxa"/>
            <w:tcBorders>
              <w:top w:val="single" w:sz="6" w:space="0" w:color="000000"/>
              <w:left w:val="nil" w:sz="6" w:space="0" w:color="auto"/>
              <w:bottom w:val="nil" w:sz="6" w:space="0" w:color="auto"/>
              <w:right w:val="single" w:sz="6" w:space="0" w:color="000000"/>
            </w:tcBorders>
          </w:tcPr>
          <w:p>
            <w:pPr>
              <w:pStyle w:val="TableParagraph"/>
              <w:spacing w:line="240" w:lineRule="auto" w:before="75"/>
              <w:ind w:left="38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5" w:lineRule="exact"/>
              <w:ind w:left="10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Century Gothic" w:hAnsi="Century Gothic" w:cs="Century Gothic" w:eastAsia="Century Gothic" w:hint="default"/>
                <w:sz w:val="18"/>
                <w:szCs w:val="18"/>
              </w:rPr>
              <w:t>%</w:t>
            </w:r>
            <w:r>
              <w:rPr>
                <w:rFonts w:ascii="宋体" w:hAnsi="宋体" w:cs="宋体" w:eastAsia="宋体" w:hint="default"/>
                <w:sz w:val="18"/>
                <w:szCs w:val="18"/>
              </w:rPr>
              <w:t>）</w:t>
            </w:r>
          </w:p>
        </w:tc>
        <w:tc>
          <w:tcPr>
            <w:tcW w:w="12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5"/>
              <w:ind w:left="183"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12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年末实际出</w:t>
            </w:r>
          </w:p>
        </w:tc>
        <w:tc>
          <w:tcPr>
            <w:tcW w:w="2092" w:type="dxa"/>
            <w:gridSpan w:val="2"/>
            <w:tcBorders>
              <w:top w:val="single" w:sz="6" w:space="0" w:color="000000"/>
              <w:left w:val="single" w:sz="6" w:space="0" w:color="000000"/>
              <w:bottom w:val="nil" w:sz="6" w:space="0" w:color="auto"/>
              <w:right w:val="single" w:sz="6" w:space="0" w:color="000000"/>
            </w:tcBorders>
          </w:tcPr>
          <w:p>
            <w:pPr>
              <w:pStyle w:val="TableParagraph"/>
              <w:spacing w:line="240" w:lineRule="auto" w:before="75"/>
              <w:ind w:left="137" w:right="0"/>
              <w:jc w:val="left"/>
              <w:rPr>
                <w:rFonts w:ascii="宋体" w:hAnsi="宋体" w:cs="宋体" w:eastAsia="宋体" w:hint="default"/>
                <w:sz w:val="18"/>
                <w:szCs w:val="18"/>
              </w:rPr>
            </w:pPr>
            <w:r>
              <w:rPr>
                <w:rFonts w:ascii="宋体" w:hAnsi="宋体" w:cs="宋体" w:eastAsia="宋体" w:hint="default"/>
                <w:sz w:val="18"/>
                <w:szCs w:val="18"/>
              </w:rPr>
              <w:t>实质上构成对子公司净</w:t>
            </w:r>
          </w:p>
        </w:tc>
        <w:tc>
          <w:tcPr>
            <w:tcW w:w="1321" w:type="dxa"/>
            <w:tcBorders>
              <w:top w:val="single" w:sz="6" w:space="0" w:color="000000"/>
              <w:left w:val="single" w:sz="6" w:space="0" w:color="000000"/>
              <w:bottom w:val="nil" w:sz="6" w:space="0" w:color="auto"/>
              <w:right w:val="nil" w:sz="6" w:space="0" w:color="auto"/>
            </w:tcBorders>
          </w:tcPr>
          <w:p>
            <w:pPr>
              <w:pStyle w:val="TableParagraph"/>
              <w:spacing w:line="240" w:lineRule="auto" w:before="75"/>
              <w:ind w:right="6"/>
              <w:jc w:val="center"/>
              <w:rPr>
                <w:rFonts w:ascii="宋体" w:hAnsi="宋体" w:cs="宋体" w:eastAsia="宋体" w:hint="default"/>
                <w:sz w:val="18"/>
                <w:szCs w:val="18"/>
              </w:rPr>
            </w:pPr>
            <w:r>
              <w:rPr>
                <w:rFonts w:ascii="宋体" w:hAnsi="宋体" w:cs="宋体" w:eastAsia="宋体" w:hint="default"/>
                <w:sz w:val="18"/>
                <w:szCs w:val="18"/>
              </w:rPr>
              <w:t>是否</w:t>
            </w:r>
          </w:p>
        </w:tc>
      </w:tr>
      <w:tr>
        <w:trPr>
          <w:trHeight w:val="46" w:hRule="exact"/>
        </w:trPr>
        <w:tc>
          <w:tcPr>
            <w:tcW w:w="1651" w:type="dxa"/>
            <w:vMerge w:val="restart"/>
            <w:tcBorders>
              <w:top w:val="nil" w:sz="6" w:space="0" w:color="auto"/>
              <w:left w:val="nil" w:sz="6" w:space="0" w:color="auto"/>
              <w:right w:val="single" w:sz="6" w:space="0" w:color="000000"/>
            </w:tcBorders>
          </w:tcPr>
          <w:p>
            <w:pPr>
              <w:pStyle w:val="TableParagraph"/>
              <w:spacing w:line="207" w:lineRule="exact"/>
              <w:ind w:left="471"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665" w:type="dxa"/>
            <w:vMerge w:val="restart"/>
            <w:tcBorders>
              <w:top w:val="single" w:sz="6" w:space="0" w:color="000000"/>
              <w:left w:val="single" w:sz="6" w:space="0" w:color="000000"/>
              <w:right w:val="single" w:sz="6" w:space="0" w:color="000000"/>
            </w:tcBorders>
          </w:tcPr>
          <w:p>
            <w:pPr>
              <w:pStyle w:val="TableParagraph"/>
              <w:spacing w:line="240" w:lineRule="auto" w:before="50"/>
              <w:ind w:left="145"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64" w:type="dxa"/>
            <w:vMerge w:val="restart"/>
            <w:tcBorders>
              <w:top w:val="single" w:sz="6" w:space="0" w:color="000000"/>
              <w:left w:val="single" w:sz="6" w:space="0" w:color="000000"/>
              <w:right w:val="single" w:sz="6" w:space="0" w:color="000000"/>
            </w:tcBorders>
          </w:tcPr>
          <w:p>
            <w:pPr>
              <w:pStyle w:val="TableParagraph"/>
              <w:spacing w:line="240" w:lineRule="auto" w:before="50"/>
              <w:ind w:left="194"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84" w:type="dxa"/>
            <w:vMerge w:val="restart"/>
            <w:tcBorders>
              <w:top w:val="nil" w:sz="6" w:space="0" w:color="auto"/>
              <w:left w:val="single" w:sz="6" w:space="0" w:color="000000"/>
              <w:right w:val="single" w:sz="6" w:space="0" w:color="000000"/>
            </w:tcBorders>
          </w:tcPr>
          <w:p>
            <w:pPr>
              <w:pStyle w:val="TableParagraph"/>
              <w:spacing w:line="221" w:lineRule="exact"/>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Century Gothic" w:hAnsi="Century Gothic" w:cs="Century Gothic" w:eastAsia="Century Gothic" w:hint="default"/>
                <w:sz w:val="18"/>
                <w:szCs w:val="18"/>
              </w:rPr>
              <w:t>%</w:t>
            </w:r>
            <w:r>
              <w:rPr>
                <w:rFonts w:ascii="宋体" w:hAnsi="宋体" w:cs="宋体" w:eastAsia="宋体" w:hint="default"/>
                <w:sz w:val="18"/>
                <w:szCs w:val="18"/>
              </w:rPr>
              <w:t>）</w:t>
            </w:r>
          </w:p>
        </w:tc>
        <w:tc>
          <w:tcPr>
            <w:tcW w:w="1264" w:type="dxa"/>
            <w:vMerge w:val="restart"/>
            <w:tcBorders>
              <w:top w:val="nil" w:sz="6" w:space="0" w:color="auto"/>
              <w:left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资额</w:t>
            </w:r>
          </w:p>
        </w:tc>
        <w:tc>
          <w:tcPr>
            <w:tcW w:w="2092" w:type="dxa"/>
            <w:gridSpan w:val="2"/>
            <w:vMerge w:val="restart"/>
            <w:tcBorders>
              <w:top w:val="nil" w:sz="6" w:space="0" w:color="auto"/>
              <w:left w:val="single" w:sz="6" w:space="0" w:color="000000"/>
              <w:right w:val="single" w:sz="6" w:space="0" w:color="000000"/>
            </w:tcBorders>
          </w:tcPr>
          <w:p>
            <w:pPr>
              <w:pStyle w:val="TableParagraph"/>
              <w:spacing w:line="207" w:lineRule="exact"/>
              <w:ind w:left="227" w:right="0"/>
              <w:jc w:val="left"/>
              <w:rPr>
                <w:rFonts w:ascii="宋体" w:hAnsi="宋体" w:cs="宋体" w:eastAsia="宋体" w:hint="default"/>
                <w:sz w:val="18"/>
                <w:szCs w:val="18"/>
              </w:rPr>
            </w:pPr>
            <w:r>
              <w:rPr>
                <w:rFonts w:ascii="宋体" w:hAnsi="宋体" w:cs="宋体" w:eastAsia="宋体" w:hint="default"/>
                <w:sz w:val="18"/>
                <w:szCs w:val="18"/>
              </w:rPr>
              <w:t>投资的其他项目余额</w:t>
            </w:r>
          </w:p>
        </w:tc>
        <w:tc>
          <w:tcPr>
            <w:tcW w:w="1321" w:type="dxa"/>
            <w:vMerge w:val="restart"/>
            <w:tcBorders>
              <w:top w:val="nil" w:sz="6" w:space="0" w:color="auto"/>
              <w:left w:val="single" w:sz="6" w:space="0" w:color="000000"/>
              <w:right w:val="nil" w:sz="6" w:space="0" w:color="auto"/>
            </w:tcBorders>
          </w:tcPr>
          <w:p>
            <w:pPr>
              <w:pStyle w:val="TableParagraph"/>
              <w:spacing w:line="207" w:lineRule="exact"/>
              <w:ind w:right="6"/>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63" w:hRule="exact"/>
        </w:trPr>
        <w:tc>
          <w:tcPr>
            <w:tcW w:w="1651" w:type="dxa"/>
            <w:vMerge/>
            <w:tcBorders>
              <w:left w:val="nil" w:sz="6" w:space="0" w:color="auto"/>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764" w:type="dxa"/>
            <w:vMerge/>
            <w:tcBorders>
              <w:left w:val="single" w:sz="6" w:space="0" w:color="000000"/>
              <w:bottom w:val="single" w:sz="6" w:space="0" w:color="000000"/>
              <w:right w:val="single" w:sz="6" w:space="0" w:color="000000"/>
            </w:tcBorders>
          </w:tcPr>
          <w:p>
            <w:pPr/>
          </w:p>
        </w:tc>
        <w:tc>
          <w:tcPr>
            <w:tcW w:w="1284" w:type="dxa"/>
            <w:vMerge/>
            <w:tcBorders>
              <w:left w:val="single" w:sz="6" w:space="0" w:color="000000"/>
              <w:bottom w:val="single" w:sz="6" w:space="0" w:color="000000"/>
              <w:right w:val="single" w:sz="6" w:space="0" w:color="000000"/>
            </w:tcBorders>
          </w:tcPr>
          <w:p>
            <w:pPr/>
          </w:p>
        </w:tc>
        <w:tc>
          <w:tcPr>
            <w:tcW w:w="1264" w:type="dxa"/>
            <w:vMerge/>
            <w:tcBorders>
              <w:left w:val="single" w:sz="6" w:space="0" w:color="000000"/>
              <w:bottom w:val="single" w:sz="6" w:space="0" w:color="000000"/>
              <w:right w:val="single" w:sz="6" w:space="0" w:color="000000"/>
            </w:tcBorders>
          </w:tcPr>
          <w:p>
            <w:pPr/>
          </w:p>
        </w:tc>
        <w:tc>
          <w:tcPr>
            <w:tcW w:w="2092" w:type="dxa"/>
            <w:gridSpan w:val="2"/>
            <w:vMerge/>
            <w:tcBorders>
              <w:left w:val="single" w:sz="6" w:space="0" w:color="000000"/>
              <w:bottom w:val="single" w:sz="6" w:space="0" w:color="000000"/>
              <w:right w:val="single" w:sz="6" w:space="0" w:color="000000"/>
            </w:tcBorders>
          </w:tcPr>
          <w:p>
            <w:pPr/>
          </w:p>
        </w:tc>
        <w:tc>
          <w:tcPr>
            <w:tcW w:w="1321" w:type="dxa"/>
            <w:vMerge/>
            <w:tcBorders>
              <w:left w:val="single" w:sz="6" w:space="0" w:color="000000"/>
              <w:bottom w:val="single" w:sz="6" w:space="0" w:color="000000"/>
              <w:right w:val="nil" w:sz="6" w:space="0" w:color="auto"/>
            </w:tcBorders>
          </w:tcPr>
          <w:p>
            <w:pPr/>
          </w:p>
        </w:tc>
      </w:tr>
      <w:tr>
        <w:trPr>
          <w:trHeight w:val="482"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重庆华立武</w:t>
            </w:r>
            <w:r>
              <w:rPr>
                <w:rFonts w:ascii="宋体" w:hAnsi="宋体" w:cs="宋体" w:eastAsia="宋体" w:hint="default"/>
                <w:spacing w:val="-59"/>
                <w:sz w:val="18"/>
                <w:szCs w:val="18"/>
              </w:rPr>
              <w:t> </w:t>
            </w:r>
            <w:r>
              <w:rPr>
                <w:rFonts w:ascii="宋体" w:hAnsi="宋体" w:cs="宋体" w:eastAsia="宋体" w:hint="default"/>
                <w:spacing w:val="13"/>
                <w:sz w:val="18"/>
                <w:szCs w:val="18"/>
              </w:rPr>
              <w:t>陵山</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制药有限公司</w:t>
            </w:r>
          </w:p>
        </w:tc>
        <w:tc>
          <w:tcPr>
            <w:tcW w:w="665"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49"/>
              <w:jc w:val="right"/>
              <w:rPr>
                <w:rFonts w:ascii="Century Gothic" w:hAnsi="Century Gothic" w:cs="Century Gothic" w:eastAsia="Century Gothic" w:hint="default"/>
                <w:sz w:val="18"/>
                <w:szCs w:val="18"/>
              </w:rPr>
            </w:pPr>
            <w:r>
              <w:rPr>
                <w:rFonts w:ascii="Century Gothic"/>
                <w:spacing w:val="-1"/>
                <w:sz w:val="18"/>
              </w:rPr>
              <w:t>91.00</w:t>
            </w:r>
            <w:r>
              <w:rPr>
                <w:rFonts w:ascii="Century Gothic"/>
                <w:sz w:val="18"/>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410" w:right="0"/>
              <w:jc w:val="left"/>
              <w:rPr>
                <w:rFonts w:ascii="Century Gothic" w:hAnsi="Century Gothic" w:cs="Century Gothic" w:eastAsia="Century Gothic" w:hint="default"/>
                <w:sz w:val="18"/>
                <w:szCs w:val="18"/>
              </w:rPr>
            </w:pPr>
            <w:r>
              <w:rPr>
                <w:rFonts w:ascii="Century Gothic"/>
                <w:sz w:val="18"/>
              </w:rPr>
              <w:t>91.00</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910.00</w:t>
            </w:r>
          </w:p>
        </w:tc>
        <w:tc>
          <w:tcPr>
            <w:tcW w:w="2092" w:type="dxa"/>
            <w:gridSpan w:val="2"/>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4"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湘西华立制</w:t>
            </w:r>
            <w:r>
              <w:rPr>
                <w:rFonts w:ascii="宋体" w:hAnsi="宋体" w:cs="宋体" w:eastAsia="宋体" w:hint="default"/>
                <w:spacing w:val="-59"/>
                <w:sz w:val="18"/>
                <w:szCs w:val="18"/>
              </w:rPr>
              <w:t> </w:t>
            </w:r>
            <w:r>
              <w:rPr>
                <w:rFonts w:ascii="宋体" w:hAnsi="宋体" w:cs="宋体" w:eastAsia="宋体" w:hint="default"/>
                <w:spacing w:val="13"/>
                <w:sz w:val="18"/>
                <w:szCs w:val="18"/>
              </w:rPr>
              <w:t>药有</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65"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49"/>
              <w:jc w:val="right"/>
              <w:rPr>
                <w:rFonts w:ascii="Century Gothic" w:hAnsi="Century Gothic" w:cs="Century Gothic" w:eastAsia="Century Gothic" w:hint="default"/>
                <w:sz w:val="18"/>
                <w:szCs w:val="18"/>
              </w:rPr>
            </w:pPr>
            <w:r>
              <w:rPr>
                <w:rFonts w:ascii="Century Gothic"/>
                <w:spacing w:val="-1"/>
                <w:sz w:val="18"/>
              </w:rPr>
              <w:t>99.75</w:t>
            </w:r>
            <w:r>
              <w:rPr>
                <w:rFonts w:ascii="Century Gothic"/>
                <w:sz w:val="18"/>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410" w:right="0"/>
              <w:jc w:val="left"/>
              <w:rPr>
                <w:rFonts w:ascii="Century Gothic" w:hAnsi="Century Gothic" w:cs="Century Gothic" w:eastAsia="Century Gothic" w:hint="default"/>
                <w:sz w:val="18"/>
                <w:szCs w:val="18"/>
              </w:rPr>
            </w:pPr>
            <w:r>
              <w:rPr>
                <w:rFonts w:ascii="Century Gothic"/>
                <w:sz w:val="18"/>
              </w:rPr>
              <w:t>99.75</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997.50</w:t>
            </w:r>
          </w:p>
        </w:tc>
        <w:tc>
          <w:tcPr>
            <w:tcW w:w="2092" w:type="dxa"/>
            <w:gridSpan w:val="2"/>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重庆美联制</w:t>
            </w:r>
            <w:r>
              <w:rPr>
                <w:rFonts w:ascii="宋体" w:hAnsi="宋体" w:cs="宋体" w:eastAsia="宋体" w:hint="default"/>
                <w:spacing w:val="-59"/>
                <w:sz w:val="18"/>
                <w:szCs w:val="18"/>
              </w:rPr>
              <w:t> </w:t>
            </w:r>
            <w:r>
              <w:rPr>
                <w:rFonts w:ascii="宋体" w:hAnsi="宋体" w:cs="宋体" w:eastAsia="宋体" w:hint="default"/>
                <w:spacing w:val="13"/>
                <w:sz w:val="18"/>
                <w:szCs w:val="18"/>
              </w:rPr>
              <w:t>药有</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70.00</w:t>
            </w:r>
          </w:p>
        </w:tc>
        <w:tc>
          <w:tcPr>
            <w:tcW w:w="764"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410" w:right="0"/>
              <w:jc w:val="left"/>
              <w:rPr>
                <w:rFonts w:ascii="Century Gothic" w:hAnsi="Century Gothic" w:cs="Century Gothic" w:eastAsia="Century Gothic" w:hint="default"/>
                <w:sz w:val="18"/>
                <w:szCs w:val="18"/>
              </w:rPr>
            </w:pPr>
            <w:r>
              <w:rPr>
                <w:rFonts w:ascii="Century Gothic"/>
                <w:sz w:val="18"/>
              </w:rPr>
              <w:t>70.00</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2,100.00</w:t>
            </w:r>
          </w:p>
        </w:tc>
        <w:tc>
          <w:tcPr>
            <w:tcW w:w="2092" w:type="dxa"/>
            <w:gridSpan w:val="2"/>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4"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云南工业大</w:t>
            </w:r>
            <w:r>
              <w:rPr>
                <w:rFonts w:ascii="宋体" w:hAnsi="宋体" w:cs="宋体" w:eastAsia="宋体" w:hint="default"/>
                <w:spacing w:val="-59"/>
                <w:sz w:val="18"/>
                <w:szCs w:val="18"/>
              </w:rPr>
              <w:t> </w:t>
            </w:r>
            <w:r>
              <w:rPr>
                <w:rFonts w:ascii="宋体" w:hAnsi="宋体" w:cs="宋体" w:eastAsia="宋体" w:hint="default"/>
                <w:spacing w:val="13"/>
                <w:sz w:val="18"/>
                <w:szCs w:val="18"/>
              </w:rPr>
              <w:t>麻股</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80.66</w:t>
            </w:r>
          </w:p>
        </w:tc>
        <w:tc>
          <w:tcPr>
            <w:tcW w:w="764"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410" w:right="0"/>
              <w:jc w:val="left"/>
              <w:rPr>
                <w:rFonts w:ascii="Century Gothic" w:hAnsi="Century Gothic" w:cs="Century Gothic" w:eastAsia="Century Gothic" w:hint="default"/>
                <w:sz w:val="18"/>
                <w:szCs w:val="18"/>
              </w:rPr>
            </w:pPr>
            <w:r>
              <w:rPr>
                <w:rFonts w:ascii="Century Gothic"/>
                <w:sz w:val="18"/>
              </w:rPr>
              <w:t>80.66</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2,823.10</w:t>
            </w:r>
          </w:p>
        </w:tc>
        <w:tc>
          <w:tcPr>
            <w:tcW w:w="2092" w:type="dxa"/>
            <w:gridSpan w:val="2"/>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云南汉普健</w:t>
            </w:r>
            <w:r>
              <w:rPr>
                <w:rFonts w:ascii="宋体" w:hAnsi="宋体" w:cs="宋体" w:eastAsia="宋体" w:hint="default"/>
                <w:spacing w:val="-59"/>
                <w:sz w:val="18"/>
                <w:szCs w:val="18"/>
              </w:rPr>
              <w:t> </w:t>
            </w:r>
            <w:r>
              <w:rPr>
                <w:rFonts w:ascii="宋体" w:hAnsi="宋体" w:cs="宋体" w:eastAsia="宋体" w:hint="default"/>
                <w:spacing w:val="13"/>
                <w:sz w:val="18"/>
                <w:szCs w:val="18"/>
              </w:rPr>
              <w:t>康产</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品有限公司</w:t>
            </w:r>
          </w:p>
        </w:tc>
        <w:tc>
          <w:tcPr>
            <w:tcW w:w="665"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49"/>
              <w:jc w:val="right"/>
              <w:rPr>
                <w:rFonts w:ascii="Century Gothic" w:hAnsi="Century Gothic" w:cs="Century Gothic" w:eastAsia="Century Gothic" w:hint="default"/>
                <w:sz w:val="18"/>
                <w:szCs w:val="18"/>
              </w:rPr>
            </w:pPr>
            <w:r>
              <w:rPr>
                <w:rFonts w:ascii="Century Gothic"/>
                <w:spacing w:val="-1"/>
                <w:sz w:val="18"/>
              </w:rPr>
              <w:t>95.00</w:t>
            </w:r>
            <w:r>
              <w:rPr>
                <w:rFonts w:ascii="Century Gothic"/>
                <w:sz w:val="18"/>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410" w:right="0"/>
              <w:jc w:val="left"/>
              <w:rPr>
                <w:rFonts w:ascii="Century Gothic" w:hAnsi="Century Gothic" w:cs="Century Gothic" w:eastAsia="Century Gothic" w:hint="default"/>
                <w:sz w:val="18"/>
                <w:szCs w:val="18"/>
              </w:rPr>
            </w:pPr>
            <w:r>
              <w:rPr>
                <w:rFonts w:ascii="Century Gothic"/>
                <w:sz w:val="18"/>
              </w:rPr>
              <w:t>95.00</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475.00</w:t>
            </w:r>
          </w:p>
        </w:tc>
        <w:tc>
          <w:tcPr>
            <w:tcW w:w="2092" w:type="dxa"/>
            <w:gridSpan w:val="2"/>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0" w:hRule="exact"/>
        </w:trPr>
        <w:tc>
          <w:tcPr>
            <w:tcW w:w="1651" w:type="dxa"/>
            <w:tcBorders>
              <w:top w:val="single" w:sz="6" w:space="0" w:color="000000"/>
              <w:left w:val="nil" w:sz="6" w:space="0" w:color="auto"/>
              <w:bottom w:val="nil" w:sz="6" w:space="0" w:color="auto"/>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泉州云麻新</w:t>
            </w:r>
            <w:r>
              <w:rPr>
                <w:rFonts w:ascii="宋体" w:hAnsi="宋体" w:cs="宋体" w:eastAsia="宋体" w:hint="default"/>
                <w:spacing w:val="-59"/>
                <w:sz w:val="18"/>
                <w:szCs w:val="18"/>
              </w:rPr>
              <w:t> </w:t>
            </w:r>
            <w:r>
              <w:rPr>
                <w:rFonts w:ascii="宋体" w:hAnsi="宋体" w:cs="宋体" w:eastAsia="宋体" w:hint="default"/>
                <w:spacing w:val="13"/>
                <w:sz w:val="18"/>
                <w:szCs w:val="18"/>
              </w:rPr>
              <w:t>资源</w:t>
            </w:r>
            <w:r>
              <w:rPr>
                <w:rFonts w:ascii="宋体" w:hAnsi="宋体" w:cs="宋体" w:eastAsia="宋体" w:hint="default"/>
                <w:spacing w:val="-64"/>
                <w:sz w:val="18"/>
                <w:szCs w:val="18"/>
              </w:rPr>
              <w:t> </w:t>
            </w:r>
            <w:r>
              <w:rPr>
                <w:rFonts w:ascii="宋体" w:hAnsi="宋体" w:cs="宋体" w:eastAsia="宋体" w:hint="default"/>
                <w:sz w:val="18"/>
                <w:szCs w:val="18"/>
              </w:rPr>
            </w:r>
          </w:p>
        </w:tc>
        <w:tc>
          <w:tcPr>
            <w:tcW w:w="665" w:type="dxa"/>
            <w:vMerge w:val="restart"/>
            <w:tcBorders>
              <w:top w:val="single" w:sz="6" w:space="0" w:color="000000"/>
              <w:left w:val="single" w:sz="6" w:space="0" w:color="000000"/>
              <w:right w:val="single" w:sz="6" w:space="0" w:color="000000"/>
            </w:tcBorders>
          </w:tcPr>
          <w:p>
            <w:pPr/>
          </w:p>
        </w:tc>
        <w:tc>
          <w:tcPr>
            <w:tcW w:w="764" w:type="dxa"/>
            <w:tcBorders>
              <w:top w:val="single" w:sz="6" w:space="0" w:color="000000"/>
              <w:left w:val="single" w:sz="6" w:space="0" w:color="000000"/>
              <w:bottom w:val="nil" w:sz="6" w:space="0" w:color="auto"/>
              <w:right w:val="single" w:sz="6" w:space="0" w:color="000000"/>
            </w:tcBorders>
          </w:tcPr>
          <w:p>
            <w:pPr/>
          </w:p>
        </w:tc>
        <w:tc>
          <w:tcPr>
            <w:tcW w:w="1284" w:type="dxa"/>
            <w:tcBorders>
              <w:top w:val="single" w:sz="6" w:space="0" w:color="000000"/>
              <w:left w:val="single" w:sz="6" w:space="0" w:color="000000"/>
              <w:bottom w:val="nil" w:sz="6" w:space="0" w:color="auto"/>
              <w:right w:val="single" w:sz="6" w:space="0" w:color="000000"/>
            </w:tcBorders>
          </w:tcPr>
          <w:p>
            <w:pPr/>
          </w:p>
        </w:tc>
        <w:tc>
          <w:tcPr>
            <w:tcW w:w="1264" w:type="dxa"/>
            <w:tcBorders>
              <w:top w:val="single" w:sz="6" w:space="0" w:color="000000"/>
              <w:left w:val="single" w:sz="6" w:space="0" w:color="000000"/>
              <w:bottom w:val="nil" w:sz="6" w:space="0" w:color="auto"/>
              <w:right w:val="single" w:sz="6" w:space="0" w:color="000000"/>
            </w:tcBorders>
          </w:tcPr>
          <w:p>
            <w:pPr/>
          </w:p>
        </w:tc>
        <w:tc>
          <w:tcPr>
            <w:tcW w:w="2092" w:type="dxa"/>
            <w:gridSpan w:val="2"/>
            <w:vMerge w:val="restart"/>
            <w:tcBorders>
              <w:top w:val="single" w:sz="6" w:space="0" w:color="000000"/>
              <w:left w:val="single" w:sz="6" w:space="0" w:color="000000"/>
              <w:right w:val="single" w:sz="6" w:space="0" w:color="000000"/>
            </w:tcBorders>
          </w:tcPr>
          <w:p>
            <w:pPr/>
          </w:p>
        </w:tc>
        <w:tc>
          <w:tcPr>
            <w:tcW w:w="1321" w:type="dxa"/>
            <w:tcBorders>
              <w:top w:val="single" w:sz="6" w:space="0" w:color="000000"/>
              <w:left w:val="single" w:sz="6" w:space="0" w:color="000000"/>
              <w:bottom w:val="nil" w:sz="6" w:space="0" w:color="auto"/>
              <w:right w:val="nil" w:sz="6" w:space="0" w:color="auto"/>
            </w:tcBorders>
          </w:tcPr>
          <w:p>
            <w:pPr/>
          </w:p>
        </w:tc>
      </w:tr>
      <w:tr>
        <w:trPr>
          <w:trHeight w:val="243" w:hRule="exact"/>
        </w:trPr>
        <w:tc>
          <w:tcPr>
            <w:tcW w:w="1651" w:type="dxa"/>
            <w:tcBorders>
              <w:top w:val="nil" w:sz="6" w:space="0" w:color="auto"/>
              <w:left w:val="nil" w:sz="6" w:space="0" w:color="auto"/>
              <w:bottom w:val="nil" w:sz="6" w:space="0" w:color="auto"/>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高分子材料</w:t>
            </w:r>
            <w:r>
              <w:rPr>
                <w:rFonts w:ascii="宋体" w:hAnsi="宋体" w:cs="宋体" w:eastAsia="宋体" w:hint="default"/>
                <w:spacing w:val="-59"/>
                <w:sz w:val="18"/>
                <w:szCs w:val="18"/>
              </w:rPr>
              <w:t> </w:t>
            </w:r>
            <w:r>
              <w:rPr>
                <w:rFonts w:ascii="宋体" w:hAnsi="宋体" w:cs="宋体" w:eastAsia="宋体" w:hint="default"/>
                <w:spacing w:val="13"/>
                <w:sz w:val="18"/>
                <w:szCs w:val="18"/>
              </w:rPr>
              <w:t>研究</w:t>
            </w:r>
            <w:r>
              <w:rPr>
                <w:rFonts w:ascii="宋体" w:hAnsi="宋体" w:cs="宋体" w:eastAsia="宋体" w:hint="default"/>
                <w:spacing w:val="-64"/>
                <w:sz w:val="18"/>
                <w:szCs w:val="18"/>
              </w:rPr>
              <w:t> </w:t>
            </w:r>
            <w:r>
              <w:rPr>
                <w:rFonts w:ascii="宋体" w:hAnsi="宋体" w:cs="宋体" w:eastAsia="宋体" w:hint="default"/>
                <w:sz w:val="18"/>
                <w:szCs w:val="18"/>
              </w:rPr>
            </w:r>
          </w:p>
        </w:tc>
        <w:tc>
          <w:tcPr>
            <w:tcW w:w="665" w:type="dxa"/>
            <w:vMerge/>
            <w:tcBorders>
              <w:left w:val="single" w:sz="6" w:space="0" w:color="000000"/>
              <w:right w:val="single" w:sz="6" w:space="0" w:color="000000"/>
            </w:tcBorders>
          </w:tcPr>
          <w:p>
            <w:pPr/>
          </w:p>
        </w:tc>
        <w:tc>
          <w:tcPr>
            <w:tcW w:w="76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100"/>
              <w:jc w:val="right"/>
              <w:rPr>
                <w:rFonts w:ascii="Century Gothic" w:hAnsi="Century Gothic" w:cs="Century Gothic" w:eastAsia="Century Gothic" w:hint="default"/>
                <w:sz w:val="18"/>
                <w:szCs w:val="18"/>
              </w:rPr>
            </w:pPr>
            <w:r>
              <w:rPr>
                <w:rFonts w:ascii="Century Gothic"/>
                <w:spacing w:val="-1"/>
                <w:sz w:val="18"/>
              </w:rPr>
              <w:t>100.00</w:t>
            </w:r>
            <w:r>
              <w:rPr>
                <w:rFonts w:ascii="Century Gothic"/>
                <w:sz w:val="18"/>
              </w:rPr>
            </w:r>
          </w:p>
        </w:tc>
        <w:tc>
          <w:tcPr>
            <w:tcW w:w="128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left="359" w:right="0"/>
              <w:jc w:val="left"/>
              <w:rPr>
                <w:rFonts w:ascii="Century Gothic" w:hAnsi="Century Gothic" w:cs="Century Gothic" w:eastAsia="Century Gothic" w:hint="default"/>
                <w:sz w:val="18"/>
                <w:szCs w:val="18"/>
              </w:rPr>
            </w:pPr>
            <w:r>
              <w:rPr>
                <w:rFonts w:ascii="Century Gothic"/>
                <w:sz w:val="18"/>
              </w:rPr>
              <w:t>100.00</w:t>
            </w:r>
          </w:p>
        </w:tc>
        <w:tc>
          <w:tcPr>
            <w:tcW w:w="1264"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center"/>
              <w:rPr>
                <w:rFonts w:ascii="Century Gothic" w:hAnsi="Century Gothic" w:cs="Century Gothic" w:eastAsia="Century Gothic" w:hint="default"/>
                <w:sz w:val="18"/>
                <w:szCs w:val="18"/>
              </w:rPr>
            </w:pPr>
            <w:r>
              <w:rPr>
                <w:rFonts w:ascii="Century Gothic"/>
                <w:sz w:val="18"/>
              </w:rPr>
              <w:t>20.00</w:t>
            </w:r>
          </w:p>
        </w:tc>
        <w:tc>
          <w:tcPr>
            <w:tcW w:w="2092" w:type="dxa"/>
            <w:gridSpan w:val="2"/>
            <w:vMerge/>
            <w:tcBorders>
              <w:left w:val="single" w:sz="6" w:space="0" w:color="000000"/>
              <w:right w:val="single" w:sz="6" w:space="0" w:color="000000"/>
            </w:tcBorders>
          </w:tcPr>
          <w:p>
            <w:pPr/>
          </w:p>
        </w:tc>
        <w:tc>
          <w:tcPr>
            <w:tcW w:w="1321" w:type="dxa"/>
            <w:tcBorders>
              <w:top w:val="nil" w:sz="6" w:space="0" w:color="auto"/>
              <w:left w:val="single" w:sz="6" w:space="0" w:color="000000"/>
              <w:bottom w:val="nil" w:sz="6" w:space="0" w:color="auto"/>
              <w:right w:val="nil" w:sz="6" w:space="0" w:color="auto"/>
            </w:tcBorders>
          </w:tcPr>
          <w:p>
            <w:pPr>
              <w:pStyle w:val="TableParagraph"/>
              <w:spacing w:line="206" w:lineRule="exact"/>
              <w:ind w:right="6"/>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3" w:hRule="exact"/>
        </w:trPr>
        <w:tc>
          <w:tcPr>
            <w:tcW w:w="1651" w:type="dxa"/>
            <w:tcBorders>
              <w:top w:val="nil" w:sz="6" w:space="0" w:color="auto"/>
              <w:left w:val="nil" w:sz="6" w:space="0" w:color="auto"/>
              <w:bottom w:val="single" w:sz="12" w:space="0" w:color="000000"/>
              <w:right w:val="single" w:sz="6"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中心有限公司</w:t>
            </w:r>
          </w:p>
        </w:tc>
        <w:tc>
          <w:tcPr>
            <w:tcW w:w="665" w:type="dxa"/>
            <w:vMerge/>
            <w:tcBorders>
              <w:left w:val="single" w:sz="6" w:space="0" w:color="000000"/>
              <w:bottom w:val="single" w:sz="12" w:space="0" w:color="000000"/>
              <w:right w:val="single" w:sz="6" w:space="0" w:color="000000"/>
            </w:tcBorders>
          </w:tcPr>
          <w:p>
            <w:pPr/>
          </w:p>
        </w:tc>
        <w:tc>
          <w:tcPr>
            <w:tcW w:w="764" w:type="dxa"/>
            <w:tcBorders>
              <w:top w:val="nil" w:sz="6" w:space="0" w:color="auto"/>
              <w:left w:val="single" w:sz="6" w:space="0" w:color="000000"/>
              <w:bottom w:val="single" w:sz="12" w:space="0" w:color="000000"/>
              <w:right w:val="single" w:sz="6" w:space="0" w:color="000000"/>
            </w:tcBorders>
          </w:tcPr>
          <w:p>
            <w:pPr/>
          </w:p>
        </w:tc>
        <w:tc>
          <w:tcPr>
            <w:tcW w:w="1284" w:type="dxa"/>
            <w:tcBorders>
              <w:top w:val="nil" w:sz="6" w:space="0" w:color="auto"/>
              <w:left w:val="single" w:sz="6" w:space="0" w:color="000000"/>
              <w:bottom w:val="single" w:sz="12" w:space="0" w:color="000000"/>
              <w:right w:val="single" w:sz="6" w:space="0" w:color="000000"/>
            </w:tcBorders>
          </w:tcPr>
          <w:p>
            <w:pPr/>
          </w:p>
        </w:tc>
        <w:tc>
          <w:tcPr>
            <w:tcW w:w="1264" w:type="dxa"/>
            <w:tcBorders>
              <w:top w:val="nil" w:sz="6" w:space="0" w:color="auto"/>
              <w:left w:val="single" w:sz="6" w:space="0" w:color="000000"/>
              <w:bottom w:val="single" w:sz="12" w:space="0" w:color="000000"/>
              <w:right w:val="single" w:sz="6" w:space="0" w:color="000000"/>
            </w:tcBorders>
          </w:tcPr>
          <w:p>
            <w:pPr/>
          </w:p>
        </w:tc>
        <w:tc>
          <w:tcPr>
            <w:tcW w:w="2092" w:type="dxa"/>
            <w:gridSpan w:val="2"/>
            <w:vMerge/>
            <w:tcBorders>
              <w:left w:val="single" w:sz="6" w:space="0" w:color="000000"/>
              <w:bottom w:val="single" w:sz="12" w:space="0" w:color="000000"/>
              <w:right w:val="single" w:sz="6" w:space="0" w:color="000000"/>
            </w:tcBorders>
          </w:tcPr>
          <w:p>
            <w:pPr/>
          </w:p>
        </w:tc>
        <w:tc>
          <w:tcPr>
            <w:tcW w:w="1321" w:type="dxa"/>
            <w:tcBorders>
              <w:top w:val="nil" w:sz="6" w:space="0" w:color="auto"/>
              <w:left w:val="single" w:sz="6" w:space="0" w:color="000000"/>
              <w:bottom w:val="single" w:sz="12" w:space="0" w:color="000000"/>
              <w:right w:val="nil" w:sz="6" w:space="0" w:color="auto"/>
            </w:tcBorders>
          </w:tcPr>
          <w:p>
            <w:pPr/>
          </w:p>
        </w:tc>
      </w:tr>
    </w:tbl>
    <w:p>
      <w:pPr>
        <w:spacing w:line="240" w:lineRule="auto" w:before="5"/>
        <w:rPr>
          <w:rFonts w:ascii="黑体" w:hAnsi="黑体" w:cs="黑体" w:eastAsia="黑体" w:hint="default"/>
          <w:b/>
          <w:bCs/>
          <w:sz w:val="19"/>
          <w:szCs w:val="19"/>
        </w:rPr>
      </w:pPr>
    </w:p>
    <w:p>
      <w:pPr>
        <w:spacing w:before="76"/>
        <w:ind w:left="4451" w:right="4369" w:firstLine="0"/>
        <w:jc w:val="center"/>
        <w:rPr>
          <w:rFonts w:ascii="Times New Roman" w:hAnsi="Times New Roman" w:cs="Times New Roman" w:eastAsia="Times New Roman" w:hint="default"/>
          <w:sz w:val="18"/>
          <w:szCs w:val="18"/>
        </w:rPr>
      </w:pPr>
      <w:r>
        <w:rPr>
          <w:rFonts w:ascii="Times New Roman"/>
          <w:sz w:val="18"/>
        </w:rPr>
        <w:t>64</w:t>
      </w:r>
    </w:p>
    <w:p>
      <w:pPr>
        <w:spacing w:after="0"/>
        <w:jc w:val="center"/>
        <w:rPr>
          <w:rFonts w:ascii="Times New Roman" w:hAnsi="Times New Roman" w:cs="Times New Roman" w:eastAsia="Times New Roman" w:hint="default"/>
          <w:sz w:val="18"/>
          <w:szCs w:val="18"/>
        </w:rPr>
        <w:sectPr>
          <w:pgSz w:w="11910" w:h="16840"/>
          <w:pgMar w:top="780" w:bottom="280" w:left="1160" w:right="136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70.860001pt;margin-top:-9.926001pt;width:84.0pt;height:23.94pt;mso-position-horizontal-relative:page;mso-position-vertical-relative:paragraph;z-index:4768"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190" w:type="dxa"/>
        <w:tblLayout w:type="fixed"/>
        <w:tblCellMar>
          <w:top w:w="0" w:type="dxa"/>
          <w:left w:w="0" w:type="dxa"/>
          <w:bottom w:w="0" w:type="dxa"/>
          <w:right w:w="0" w:type="dxa"/>
        </w:tblCellMar>
        <w:tblLook w:val="01E0"/>
      </w:tblPr>
      <w:tblGrid>
        <w:gridCol w:w="1651"/>
        <w:gridCol w:w="665"/>
        <w:gridCol w:w="764"/>
        <w:gridCol w:w="1284"/>
        <w:gridCol w:w="1264"/>
        <w:gridCol w:w="1262"/>
        <w:gridCol w:w="829"/>
        <w:gridCol w:w="1321"/>
      </w:tblGrid>
      <w:tr>
        <w:trPr>
          <w:trHeight w:val="724" w:hRule="exact"/>
        </w:trPr>
        <w:tc>
          <w:tcPr>
            <w:tcW w:w="1651"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洪雅美联曼</w:t>
            </w:r>
            <w:r>
              <w:rPr>
                <w:rFonts w:ascii="宋体" w:hAnsi="宋体" w:cs="宋体" w:eastAsia="宋体" w:hint="default"/>
                <w:spacing w:val="-59"/>
                <w:sz w:val="18"/>
                <w:szCs w:val="18"/>
              </w:rPr>
              <w:t> </w:t>
            </w:r>
            <w:r>
              <w:rPr>
                <w:rFonts w:ascii="宋体" w:hAnsi="宋体" w:cs="宋体" w:eastAsia="宋体" w:hint="default"/>
                <w:spacing w:val="13"/>
                <w:sz w:val="18"/>
                <w:szCs w:val="18"/>
              </w:rPr>
              <w:t>地亚</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22" w:right="73"/>
              <w:jc w:val="left"/>
              <w:rPr>
                <w:rFonts w:ascii="宋体" w:hAnsi="宋体" w:cs="宋体" w:eastAsia="宋体" w:hint="default"/>
                <w:sz w:val="18"/>
                <w:szCs w:val="18"/>
              </w:rPr>
            </w:pPr>
            <w:r>
              <w:rPr>
                <w:rFonts w:ascii="宋体" w:hAnsi="宋体" w:cs="宋体" w:eastAsia="宋体" w:hint="default"/>
                <w:spacing w:val="20"/>
                <w:sz w:val="18"/>
                <w:szCs w:val="18"/>
              </w:rPr>
              <w:t>红豆杉种植</w:t>
            </w:r>
            <w:r>
              <w:rPr>
                <w:rFonts w:ascii="宋体" w:hAnsi="宋体" w:cs="宋体" w:eastAsia="宋体" w:hint="default"/>
                <w:spacing w:val="-62"/>
                <w:sz w:val="18"/>
                <w:szCs w:val="18"/>
              </w:rPr>
              <w:t> </w:t>
            </w:r>
            <w:r>
              <w:rPr>
                <w:rFonts w:ascii="宋体" w:hAnsi="宋体" w:cs="宋体" w:eastAsia="宋体" w:hint="default"/>
                <w:spacing w:val="13"/>
                <w:sz w:val="18"/>
                <w:szCs w:val="18"/>
              </w:rPr>
              <w:t>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6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b/>
                <w:bCs/>
                <w:sz w:val="18"/>
                <w:szCs w:val="18"/>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80.00</w:t>
            </w:r>
          </w:p>
        </w:tc>
        <w:tc>
          <w:tcPr>
            <w:tcW w:w="764" w:type="dxa"/>
            <w:tcBorders>
              <w:top w:val="single" w:sz="12" w:space="0" w:color="000000"/>
              <w:left w:val="single" w:sz="6" w:space="0" w:color="000000"/>
              <w:bottom w:val="single" w:sz="6" w:space="0" w:color="000000"/>
              <w:right w:val="single" w:sz="6" w:space="0" w:color="000000"/>
            </w:tcBorders>
          </w:tcPr>
          <w:p>
            <w:pPr/>
          </w:p>
        </w:tc>
        <w:tc>
          <w:tcPr>
            <w:tcW w:w="12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b/>
                <w:bCs/>
                <w:sz w:val="18"/>
                <w:szCs w:val="18"/>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80.00</w:t>
            </w:r>
          </w:p>
        </w:tc>
        <w:tc>
          <w:tcPr>
            <w:tcW w:w="12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b/>
                <w:bCs/>
                <w:sz w:val="18"/>
                <w:szCs w:val="18"/>
              </w:rPr>
            </w:pPr>
          </w:p>
          <w:p>
            <w:pPr>
              <w:pStyle w:val="TableParagraph"/>
              <w:spacing w:line="240" w:lineRule="auto"/>
              <w:ind w:left="350" w:right="0"/>
              <w:jc w:val="left"/>
              <w:rPr>
                <w:rFonts w:ascii="Century Gothic" w:hAnsi="Century Gothic" w:cs="Century Gothic" w:eastAsia="Century Gothic" w:hint="default"/>
                <w:sz w:val="18"/>
                <w:szCs w:val="18"/>
              </w:rPr>
            </w:pPr>
            <w:r>
              <w:rPr>
                <w:rFonts w:ascii="Century Gothic"/>
                <w:sz w:val="18"/>
              </w:rPr>
              <w:t>120.00</w:t>
            </w:r>
          </w:p>
        </w:tc>
        <w:tc>
          <w:tcPr>
            <w:tcW w:w="2092" w:type="dxa"/>
            <w:gridSpan w:val="2"/>
            <w:tcBorders>
              <w:top w:val="single" w:sz="12" w:space="0" w:color="000000"/>
              <w:left w:val="single" w:sz="6" w:space="0" w:color="000000"/>
              <w:bottom w:val="single" w:sz="6" w:space="0" w:color="000000"/>
              <w:right w:val="single" w:sz="6" w:space="0" w:color="000000"/>
            </w:tcBorders>
          </w:tcPr>
          <w:p>
            <w:pPr/>
          </w:p>
        </w:tc>
        <w:tc>
          <w:tcPr>
            <w:tcW w:w="1321"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洪雅美联植</w:t>
            </w:r>
            <w:r>
              <w:rPr>
                <w:rFonts w:ascii="宋体" w:hAnsi="宋体" w:cs="宋体" w:eastAsia="宋体" w:hint="default"/>
                <w:spacing w:val="-59"/>
                <w:sz w:val="18"/>
                <w:szCs w:val="18"/>
              </w:rPr>
              <w:t> </w:t>
            </w:r>
            <w:r>
              <w:rPr>
                <w:rFonts w:ascii="宋体" w:hAnsi="宋体" w:cs="宋体" w:eastAsia="宋体" w:hint="default"/>
                <w:spacing w:val="13"/>
                <w:sz w:val="18"/>
                <w:szCs w:val="18"/>
              </w:rPr>
              <w:t>化有</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665"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49"/>
              <w:jc w:val="right"/>
              <w:rPr>
                <w:rFonts w:ascii="Century Gothic" w:hAnsi="Century Gothic" w:cs="Century Gothic" w:eastAsia="Century Gothic" w:hint="default"/>
                <w:sz w:val="18"/>
                <w:szCs w:val="18"/>
              </w:rPr>
            </w:pPr>
            <w:r>
              <w:rPr>
                <w:rFonts w:ascii="Century Gothic"/>
                <w:spacing w:val="-1"/>
                <w:sz w:val="18"/>
              </w:rPr>
              <w:t>90.00</w:t>
            </w:r>
            <w:r>
              <w:rPr>
                <w:rFonts w:ascii="Century Gothic"/>
                <w:sz w:val="18"/>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90.00</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400" w:right="0"/>
              <w:jc w:val="left"/>
              <w:rPr>
                <w:rFonts w:ascii="Century Gothic" w:hAnsi="Century Gothic" w:cs="Century Gothic" w:eastAsia="Century Gothic" w:hint="default"/>
                <w:sz w:val="18"/>
                <w:szCs w:val="18"/>
              </w:rPr>
            </w:pPr>
            <w:r>
              <w:rPr>
                <w:rFonts w:ascii="Century Gothic"/>
                <w:sz w:val="18"/>
              </w:rPr>
              <w:t>45.00</w:t>
            </w:r>
          </w:p>
        </w:tc>
        <w:tc>
          <w:tcPr>
            <w:tcW w:w="2092" w:type="dxa"/>
            <w:gridSpan w:val="2"/>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56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16"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6"/>
              <w:ind w:left="122" w:right="73"/>
              <w:jc w:val="left"/>
              <w:rPr>
                <w:rFonts w:ascii="宋体" w:hAnsi="宋体" w:cs="宋体" w:eastAsia="宋体" w:hint="default"/>
                <w:sz w:val="18"/>
                <w:szCs w:val="18"/>
              </w:rPr>
            </w:pPr>
            <w:r>
              <w:rPr>
                <w:rFonts w:ascii="宋体" w:hAnsi="宋体" w:cs="宋体" w:eastAsia="宋体" w:hint="default"/>
                <w:spacing w:val="20"/>
                <w:sz w:val="18"/>
                <w:szCs w:val="18"/>
              </w:rPr>
              <w:t>北京华立科</w:t>
            </w:r>
            <w:r>
              <w:rPr>
                <w:rFonts w:ascii="宋体" w:hAnsi="宋体" w:cs="宋体" w:eastAsia="宋体" w:hint="default"/>
                <w:spacing w:val="-62"/>
                <w:sz w:val="18"/>
                <w:szCs w:val="18"/>
              </w:rPr>
              <w:t> </w:t>
            </w:r>
            <w:r>
              <w:rPr>
                <w:rFonts w:ascii="宋体" w:hAnsi="宋体" w:cs="宋体" w:eastAsia="宋体" w:hint="default"/>
                <w:spacing w:val="13"/>
                <w:sz w:val="18"/>
                <w:szCs w:val="18"/>
              </w:rPr>
              <w:t>泰医</w:t>
            </w:r>
            <w:r>
              <w:rPr>
                <w:rFonts w:ascii="宋体" w:hAnsi="宋体" w:cs="宋体" w:eastAsia="宋体" w:hint="default"/>
                <w:spacing w:val="-88"/>
                <w:sz w:val="18"/>
                <w:szCs w:val="18"/>
              </w:rPr>
              <w:t> </w:t>
            </w:r>
            <w:r>
              <w:rPr>
                <w:rFonts w:ascii="宋体" w:hAnsi="宋体" w:cs="宋体" w:eastAsia="宋体" w:hint="default"/>
                <w:sz w:val="18"/>
                <w:szCs w:val="18"/>
              </w:rPr>
              <w:t>药有限责任公司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22"/>
                <w:szCs w:val="22"/>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99.52</w:t>
            </w:r>
          </w:p>
        </w:tc>
        <w:tc>
          <w:tcPr>
            <w:tcW w:w="764"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22"/>
                <w:szCs w:val="22"/>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99.52</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黑体" w:hAnsi="黑体" w:cs="黑体" w:eastAsia="黑体" w:hint="default"/>
                <w:b/>
                <w:bCs/>
                <w:sz w:val="22"/>
                <w:szCs w:val="22"/>
              </w:rPr>
            </w:pPr>
          </w:p>
          <w:p>
            <w:pPr>
              <w:pStyle w:val="TableParagraph"/>
              <w:spacing w:line="240" w:lineRule="auto"/>
              <w:ind w:left="225" w:right="0"/>
              <w:jc w:val="left"/>
              <w:rPr>
                <w:rFonts w:ascii="Century Gothic" w:hAnsi="Century Gothic" w:cs="Century Gothic" w:eastAsia="Century Gothic" w:hint="default"/>
                <w:sz w:val="18"/>
                <w:szCs w:val="18"/>
              </w:rPr>
            </w:pPr>
            <w:r>
              <w:rPr>
                <w:rFonts w:ascii="Century Gothic"/>
                <w:sz w:val="18"/>
              </w:rPr>
              <w:t>19,903.78</w:t>
            </w:r>
          </w:p>
        </w:tc>
        <w:tc>
          <w:tcPr>
            <w:tcW w:w="2092" w:type="dxa"/>
            <w:gridSpan w:val="2"/>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黑体" w:hAnsi="黑体" w:cs="黑体" w:eastAsia="黑体" w:hint="default"/>
                <w:b/>
                <w:bCs/>
                <w:sz w:val="19"/>
                <w:szCs w:val="19"/>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810"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4"/>
              <w:ind w:left="122" w:right="73"/>
              <w:jc w:val="left"/>
              <w:rPr>
                <w:rFonts w:ascii="宋体" w:hAnsi="宋体" w:cs="宋体" w:eastAsia="宋体" w:hint="default"/>
                <w:sz w:val="18"/>
                <w:szCs w:val="18"/>
              </w:rPr>
            </w:pPr>
            <w:r>
              <w:rPr>
                <w:rFonts w:ascii="宋体" w:hAnsi="宋体" w:cs="宋体" w:eastAsia="宋体" w:hint="default"/>
                <w:spacing w:val="20"/>
                <w:sz w:val="18"/>
                <w:szCs w:val="18"/>
              </w:rPr>
              <w:t>浙江华立南</w:t>
            </w:r>
            <w:r>
              <w:rPr>
                <w:rFonts w:ascii="宋体" w:hAnsi="宋体" w:cs="宋体" w:eastAsia="宋体" w:hint="default"/>
                <w:spacing w:val="-62"/>
                <w:sz w:val="18"/>
                <w:szCs w:val="18"/>
              </w:rPr>
              <w:t> </w:t>
            </w:r>
            <w:r>
              <w:rPr>
                <w:rFonts w:ascii="宋体" w:hAnsi="宋体" w:cs="宋体" w:eastAsia="宋体" w:hint="default"/>
                <w:spacing w:val="13"/>
                <w:sz w:val="18"/>
                <w:szCs w:val="18"/>
              </w:rPr>
              <w:t>湖制</w:t>
            </w:r>
            <w:r>
              <w:rPr>
                <w:rFonts w:ascii="宋体" w:hAnsi="宋体" w:cs="宋体" w:eastAsia="宋体" w:hint="default"/>
                <w:spacing w:val="-88"/>
                <w:sz w:val="18"/>
                <w:szCs w:val="18"/>
              </w:rPr>
              <w:t> </w:t>
            </w:r>
            <w:r>
              <w:rPr>
                <w:rFonts w:ascii="宋体" w:hAnsi="宋体" w:cs="宋体" w:eastAsia="宋体" w:hint="default"/>
                <w:sz w:val="18"/>
                <w:szCs w:val="18"/>
              </w:rPr>
              <w:t>药有限公司</w:t>
            </w:r>
          </w:p>
        </w:tc>
        <w:tc>
          <w:tcPr>
            <w:tcW w:w="665"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黑体" w:hAnsi="黑体" w:cs="黑体" w:eastAsia="黑体" w:hint="default"/>
                <w:b/>
                <w:bCs/>
                <w:sz w:val="22"/>
                <w:szCs w:val="22"/>
              </w:rPr>
            </w:pPr>
          </w:p>
          <w:p>
            <w:pPr>
              <w:pStyle w:val="TableParagraph"/>
              <w:spacing w:line="240" w:lineRule="auto"/>
              <w:ind w:right="149"/>
              <w:jc w:val="right"/>
              <w:rPr>
                <w:rFonts w:ascii="Century Gothic" w:hAnsi="Century Gothic" w:cs="Century Gothic" w:eastAsia="Century Gothic" w:hint="default"/>
                <w:sz w:val="18"/>
                <w:szCs w:val="18"/>
              </w:rPr>
            </w:pPr>
            <w:r>
              <w:rPr>
                <w:rFonts w:ascii="Century Gothic"/>
                <w:spacing w:val="-1"/>
                <w:sz w:val="18"/>
              </w:rPr>
              <w:t>70.00</w:t>
            </w:r>
            <w:r>
              <w:rPr>
                <w:rFonts w:ascii="Century Gothic"/>
                <w:sz w:val="18"/>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黑体" w:hAnsi="黑体" w:cs="黑体" w:eastAsia="黑体" w:hint="default"/>
                <w:b/>
                <w:bCs/>
                <w:sz w:val="22"/>
                <w:szCs w:val="22"/>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70.00</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黑体" w:hAnsi="黑体" w:cs="黑体" w:eastAsia="黑体" w:hint="default"/>
                <w:b/>
                <w:bCs/>
                <w:sz w:val="22"/>
                <w:szCs w:val="22"/>
              </w:rPr>
            </w:pPr>
          </w:p>
          <w:p>
            <w:pPr>
              <w:pStyle w:val="TableParagraph"/>
              <w:spacing w:line="240" w:lineRule="auto"/>
              <w:ind w:left="350" w:right="0"/>
              <w:jc w:val="left"/>
              <w:rPr>
                <w:rFonts w:ascii="Century Gothic" w:hAnsi="Century Gothic" w:cs="Century Gothic" w:eastAsia="Century Gothic" w:hint="default"/>
                <w:sz w:val="18"/>
                <w:szCs w:val="18"/>
              </w:rPr>
            </w:pPr>
            <w:r>
              <w:rPr>
                <w:rFonts w:ascii="Century Gothic"/>
                <w:sz w:val="18"/>
              </w:rPr>
              <w:t>455.00</w:t>
            </w:r>
          </w:p>
        </w:tc>
        <w:tc>
          <w:tcPr>
            <w:tcW w:w="2092" w:type="dxa"/>
            <w:gridSpan w:val="2"/>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黑体" w:hAnsi="黑体" w:cs="黑体" w:eastAsia="黑体" w:hint="default"/>
                <w:b/>
                <w:bCs/>
                <w:sz w:val="19"/>
                <w:szCs w:val="19"/>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8"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重庆市华阳</w:t>
            </w:r>
            <w:r>
              <w:rPr>
                <w:rFonts w:ascii="宋体" w:hAnsi="宋体" w:cs="宋体" w:eastAsia="宋体" w:hint="default"/>
                <w:spacing w:val="-59"/>
                <w:sz w:val="18"/>
                <w:szCs w:val="18"/>
              </w:rPr>
              <w:t> </w:t>
            </w:r>
            <w:r>
              <w:rPr>
                <w:rFonts w:ascii="宋体" w:hAnsi="宋体" w:cs="宋体" w:eastAsia="宋体" w:hint="default"/>
                <w:spacing w:val="13"/>
                <w:sz w:val="18"/>
                <w:szCs w:val="18"/>
              </w:rPr>
              <w:t>自然</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22" w:right="73"/>
              <w:jc w:val="left"/>
              <w:rPr>
                <w:rFonts w:ascii="宋体" w:hAnsi="宋体" w:cs="宋体" w:eastAsia="宋体" w:hint="default"/>
                <w:sz w:val="18"/>
                <w:szCs w:val="18"/>
              </w:rPr>
            </w:pPr>
            <w:r>
              <w:rPr>
                <w:rFonts w:ascii="宋体" w:hAnsi="宋体" w:cs="宋体" w:eastAsia="宋体" w:hint="default"/>
                <w:spacing w:val="20"/>
                <w:sz w:val="18"/>
                <w:szCs w:val="18"/>
              </w:rPr>
              <w:t>资源开发有</w:t>
            </w:r>
            <w:r>
              <w:rPr>
                <w:rFonts w:ascii="宋体" w:hAnsi="宋体" w:cs="宋体" w:eastAsia="宋体" w:hint="default"/>
                <w:spacing w:val="-62"/>
                <w:sz w:val="18"/>
                <w:szCs w:val="18"/>
              </w:rPr>
              <w:t> </w:t>
            </w:r>
            <w:r>
              <w:rPr>
                <w:rFonts w:ascii="宋体" w:hAnsi="宋体" w:cs="宋体" w:eastAsia="宋体" w:hint="default"/>
                <w:spacing w:val="13"/>
                <w:sz w:val="18"/>
                <w:szCs w:val="18"/>
              </w:rPr>
              <w:t>限责</w:t>
            </w:r>
            <w:r>
              <w:rPr>
                <w:rFonts w:ascii="宋体" w:hAnsi="宋体" w:cs="宋体" w:eastAsia="宋体" w:hint="default"/>
                <w:spacing w:val="-88"/>
                <w:sz w:val="18"/>
                <w:szCs w:val="18"/>
              </w:rPr>
              <w:t> </w:t>
            </w:r>
            <w:r>
              <w:rPr>
                <w:rFonts w:ascii="宋体" w:hAnsi="宋体" w:cs="宋体" w:eastAsia="宋体" w:hint="default"/>
                <w:sz w:val="18"/>
                <w:szCs w:val="18"/>
              </w:rPr>
              <w:t>任公司</w:t>
            </w:r>
          </w:p>
        </w:tc>
        <w:tc>
          <w:tcPr>
            <w:tcW w:w="665"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49"/>
              <w:jc w:val="right"/>
              <w:rPr>
                <w:rFonts w:ascii="Century Gothic" w:hAnsi="Century Gothic" w:cs="Century Gothic" w:eastAsia="Century Gothic" w:hint="default"/>
                <w:sz w:val="18"/>
                <w:szCs w:val="18"/>
              </w:rPr>
            </w:pPr>
            <w:r>
              <w:rPr>
                <w:rFonts w:ascii="Century Gothic"/>
                <w:spacing w:val="-1"/>
                <w:sz w:val="18"/>
              </w:rPr>
              <w:t>85.00</w:t>
            </w:r>
            <w:r>
              <w:rPr>
                <w:rFonts w:ascii="Century Gothic"/>
                <w:sz w:val="18"/>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85.00</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left="350" w:right="0"/>
              <w:jc w:val="left"/>
              <w:rPr>
                <w:rFonts w:ascii="Century Gothic" w:hAnsi="Century Gothic" w:cs="Century Gothic" w:eastAsia="Century Gothic" w:hint="default"/>
                <w:sz w:val="18"/>
                <w:szCs w:val="18"/>
              </w:rPr>
            </w:pPr>
            <w:r>
              <w:rPr>
                <w:rFonts w:ascii="Century Gothic"/>
                <w:sz w:val="18"/>
              </w:rPr>
              <w:t>425.00</w:t>
            </w:r>
          </w:p>
        </w:tc>
        <w:tc>
          <w:tcPr>
            <w:tcW w:w="2092" w:type="dxa"/>
            <w:gridSpan w:val="2"/>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37"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18" w:lineRule="exact" w:before="9"/>
              <w:ind w:left="122" w:right="98"/>
              <w:jc w:val="left"/>
              <w:rPr>
                <w:rFonts w:ascii="宋体" w:hAnsi="宋体" w:cs="宋体" w:eastAsia="宋体" w:hint="default"/>
                <w:sz w:val="18"/>
                <w:szCs w:val="18"/>
              </w:rPr>
            </w:pPr>
            <w:r>
              <w:rPr>
                <w:rFonts w:ascii="Century Gothic" w:hAnsi="Century Gothic" w:cs="Century Gothic" w:eastAsia="Century Gothic" w:hint="default"/>
                <w:sz w:val="18"/>
                <w:szCs w:val="18"/>
              </w:rPr>
              <w:t>HOLLEY</w:t>
            </w:r>
            <w:r>
              <w:rPr>
                <w:rFonts w:ascii="Century Gothic" w:hAnsi="Century Gothic" w:cs="Century Gothic" w:eastAsia="Century Gothic" w:hint="default"/>
                <w:spacing w:val="16"/>
                <w:sz w:val="18"/>
                <w:szCs w:val="18"/>
              </w:rPr>
              <w:t> </w:t>
            </w:r>
            <w:r>
              <w:rPr>
                <w:rFonts w:ascii="Century Gothic" w:hAnsi="Century Gothic" w:cs="Century Gothic" w:eastAsia="Century Gothic" w:hint="default"/>
                <w:sz w:val="18"/>
                <w:szCs w:val="18"/>
              </w:rPr>
              <w:t>UNITED</w:t>
            </w:r>
            <w:r>
              <w:rPr>
                <w:rFonts w:ascii="Century Gothic" w:hAnsi="Century Gothic" w:cs="Century Gothic" w:eastAsia="Century Gothic" w:hint="default"/>
                <w:spacing w:val="-1"/>
                <w:w w:val="99"/>
                <w:sz w:val="18"/>
                <w:szCs w:val="18"/>
              </w:rPr>
              <w:t> </w:t>
            </w:r>
            <w:r>
              <w:rPr>
                <w:rFonts w:ascii="Century Gothic" w:hAnsi="Century Gothic" w:cs="Century Gothic" w:eastAsia="Century Gothic" w:hint="default"/>
                <w:sz w:val="18"/>
                <w:szCs w:val="18"/>
              </w:rPr>
              <w:t>PHARMA  LLC</w:t>
            </w:r>
            <w:r>
              <w:rPr>
                <w:rFonts w:ascii="Century Gothic" w:hAnsi="Century Gothic" w:cs="Century Gothic" w:eastAsia="Century Gothic" w:hint="default"/>
                <w:spacing w:val="5"/>
                <w:sz w:val="18"/>
                <w:szCs w:val="18"/>
              </w:rPr>
              <w:t> </w:t>
            </w:r>
            <w:r>
              <w:rPr>
                <w:rFonts w:ascii="宋体" w:hAnsi="宋体" w:cs="宋体" w:eastAsia="宋体" w:hint="default"/>
                <w:sz w:val="18"/>
                <w:szCs w:val="18"/>
              </w:rPr>
              <w:t>华</w:t>
            </w:r>
          </w:p>
          <w:p>
            <w:pPr>
              <w:pStyle w:val="TableParagraph"/>
              <w:spacing w:line="234" w:lineRule="exact" w:before="3"/>
              <w:ind w:left="122" w:right="73"/>
              <w:jc w:val="left"/>
              <w:rPr>
                <w:rFonts w:ascii="宋体" w:hAnsi="宋体" w:cs="宋体" w:eastAsia="宋体" w:hint="default"/>
                <w:sz w:val="18"/>
                <w:szCs w:val="18"/>
              </w:rPr>
            </w:pPr>
            <w:r>
              <w:rPr>
                <w:rFonts w:ascii="宋体" w:hAnsi="宋体" w:cs="宋体" w:eastAsia="宋体" w:hint="default"/>
                <w:spacing w:val="20"/>
                <w:sz w:val="18"/>
                <w:szCs w:val="18"/>
              </w:rPr>
              <w:t>立美联制药</w:t>
            </w:r>
            <w:r>
              <w:rPr>
                <w:rFonts w:ascii="宋体" w:hAnsi="宋体" w:cs="宋体" w:eastAsia="宋体" w:hint="default"/>
                <w:spacing w:val="-62"/>
                <w:sz w:val="18"/>
                <w:szCs w:val="18"/>
              </w:rPr>
              <w:t> </w:t>
            </w:r>
            <w:r>
              <w:rPr>
                <w:rFonts w:ascii="宋体" w:hAnsi="宋体" w:cs="宋体" w:eastAsia="宋体" w:hint="default"/>
                <w:spacing w:val="13"/>
                <w:sz w:val="18"/>
                <w:szCs w:val="18"/>
              </w:rPr>
              <w:t>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665"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26"/>
                <w:szCs w:val="26"/>
              </w:rPr>
            </w:pPr>
          </w:p>
          <w:p>
            <w:pPr>
              <w:pStyle w:val="TableParagraph"/>
              <w:spacing w:line="240" w:lineRule="auto"/>
              <w:ind w:right="100"/>
              <w:jc w:val="right"/>
              <w:rPr>
                <w:rFonts w:ascii="Century Gothic" w:hAnsi="Century Gothic" w:cs="Century Gothic" w:eastAsia="Century Gothic" w:hint="default"/>
                <w:sz w:val="18"/>
                <w:szCs w:val="18"/>
              </w:rPr>
            </w:pPr>
            <w:r>
              <w:rPr>
                <w:rFonts w:ascii="Century Gothic"/>
                <w:spacing w:val="-1"/>
                <w:sz w:val="18"/>
              </w:rPr>
              <w:t>100.00</w:t>
            </w:r>
            <w:r>
              <w:rPr>
                <w:rFonts w:ascii="Century Gothic"/>
                <w:sz w:val="18"/>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26"/>
                <w:szCs w:val="26"/>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100.00</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26"/>
                <w:szCs w:val="26"/>
              </w:rPr>
            </w:pPr>
          </w:p>
          <w:p>
            <w:pPr>
              <w:pStyle w:val="TableParagraph"/>
              <w:spacing w:line="240" w:lineRule="auto"/>
              <w:ind w:left="230" w:right="0"/>
              <w:jc w:val="left"/>
              <w:rPr>
                <w:rFonts w:ascii="Century Gothic" w:hAnsi="Century Gothic" w:cs="Century Gothic" w:eastAsia="Century Gothic" w:hint="default"/>
                <w:sz w:val="18"/>
                <w:szCs w:val="18"/>
              </w:rPr>
            </w:pPr>
            <w:r>
              <w:rPr>
                <w:rFonts w:ascii="Century Gothic"/>
                <w:sz w:val="18"/>
              </w:rPr>
              <w:t>USD29.87</w:t>
            </w:r>
          </w:p>
        </w:tc>
        <w:tc>
          <w:tcPr>
            <w:tcW w:w="2092" w:type="dxa"/>
            <w:gridSpan w:val="2"/>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黑体" w:hAnsi="黑体" w:cs="黑体" w:eastAsia="黑体" w:hint="default"/>
                <w:b/>
                <w:bCs/>
                <w:sz w:val="24"/>
                <w:szCs w:val="24"/>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4"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北京比力必</w:t>
            </w:r>
            <w:r>
              <w:rPr>
                <w:rFonts w:ascii="宋体" w:hAnsi="宋体" w:cs="宋体" w:eastAsia="宋体" w:hint="default"/>
                <w:spacing w:val="-59"/>
                <w:sz w:val="18"/>
                <w:szCs w:val="18"/>
              </w:rPr>
              <w:t> </w:t>
            </w:r>
            <w:r>
              <w:rPr>
                <w:rFonts w:ascii="宋体" w:hAnsi="宋体" w:cs="宋体" w:eastAsia="宋体" w:hint="default"/>
                <w:spacing w:val="13"/>
                <w:sz w:val="18"/>
                <w:szCs w:val="18"/>
              </w:rPr>
              <w:t>利文</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化传播有限公司</w:t>
            </w:r>
          </w:p>
        </w:tc>
        <w:tc>
          <w:tcPr>
            <w:tcW w:w="665"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49"/>
              <w:jc w:val="right"/>
              <w:rPr>
                <w:rFonts w:ascii="Century Gothic" w:hAnsi="Century Gothic" w:cs="Century Gothic" w:eastAsia="Century Gothic" w:hint="default"/>
                <w:sz w:val="18"/>
                <w:szCs w:val="18"/>
              </w:rPr>
            </w:pPr>
            <w:r>
              <w:rPr>
                <w:rFonts w:ascii="Century Gothic"/>
                <w:spacing w:val="-1"/>
                <w:sz w:val="18"/>
              </w:rPr>
              <w:t>80.00</w:t>
            </w:r>
            <w:r>
              <w:rPr>
                <w:rFonts w:ascii="Century Gothic"/>
                <w:sz w:val="18"/>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80.00</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400" w:right="0"/>
              <w:jc w:val="left"/>
              <w:rPr>
                <w:rFonts w:ascii="Century Gothic" w:hAnsi="Century Gothic" w:cs="Century Gothic" w:eastAsia="Century Gothic" w:hint="default"/>
                <w:sz w:val="18"/>
                <w:szCs w:val="18"/>
              </w:rPr>
            </w:pPr>
            <w:r>
              <w:rPr>
                <w:rFonts w:ascii="Century Gothic"/>
                <w:sz w:val="18"/>
              </w:rPr>
              <w:t>40.00</w:t>
            </w:r>
          </w:p>
        </w:tc>
        <w:tc>
          <w:tcPr>
            <w:tcW w:w="2092" w:type="dxa"/>
            <w:gridSpan w:val="2"/>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56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37"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18" w:lineRule="exact" w:before="9"/>
              <w:ind w:left="122" w:right="98"/>
              <w:jc w:val="left"/>
              <w:rPr>
                <w:rFonts w:ascii="宋体" w:hAnsi="宋体" w:cs="宋体" w:eastAsia="宋体" w:hint="default"/>
                <w:sz w:val="18"/>
                <w:szCs w:val="18"/>
              </w:rPr>
            </w:pPr>
            <w:r>
              <w:rPr>
                <w:rFonts w:ascii="Century Gothic" w:hAnsi="Century Gothic" w:cs="Century Gothic" w:eastAsia="Century Gothic" w:hint="default"/>
                <w:sz w:val="18"/>
                <w:szCs w:val="18"/>
              </w:rPr>
              <w:t>HOLLEYPHARMA</w:t>
            </w:r>
            <w:r>
              <w:rPr>
                <w:rFonts w:ascii="Century Gothic" w:hAnsi="Century Gothic" w:cs="Century Gothic" w:eastAsia="Century Gothic" w:hint="default"/>
                <w:spacing w:val="-1"/>
                <w:sz w:val="18"/>
                <w:szCs w:val="18"/>
              </w:rPr>
              <w:t> </w:t>
            </w:r>
            <w:r>
              <w:rPr>
                <w:rFonts w:ascii="Century Gothic" w:hAnsi="Century Gothic" w:cs="Century Gothic" w:eastAsia="Century Gothic" w:hint="default"/>
                <w:sz w:val="18"/>
                <w:szCs w:val="18"/>
              </w:rPr>
              <w:t>TANZANIA LTD</w:t>
            </w:r>
            <w:r>
              <w:rPr>
                <w:rFonts w:ascii="Century Gothic" w:hAnsi="Century Gothic" w:cs="Century Gothic" w:eastAsia="Century Gothic" w:hint="default"/>
                <w:spacing w:val="-27"/>
                <w:sz w:val="18"/>
                <w:szCs w:val="18"/>
              </w:rPr>
              <w:t> </w:t>
            </w:r>
            <w:r>
              <w:rPr>
                <w:rFonts w:ascii="宋体" w:hAnsi="宋体" w:cs="宋体" w:eastAsia="宋体" w:hint="default"/>
                <w:sz w:val="18"/>
                <w:szCs w:val="18"/>
              </w:rPr>
              <w:t>华</w:t>
            </w:r>
          </w:p>
          <w:p>
            <w:pPr>
              <w:pStyle w:val="TableParagraph"/>
              <w:spacing w:line="234" w:lineRule="exact" w:before="3"/>
              <w:ind w:left="122" w:right="73"/>
              <w:jc w:val="left"/>
              <w:rPr>
                <w:rFonts w:ascii="宋体" w:hAnsi="宋体" w:cs="宋体" w:eastAsia="宋体" w:hint="default"/>
                <w:sz w:val="18"/>
                <w:szCs w:val="18"/>
              </w:rPr>
            </w:pPr>
            <w:r>
              <w:rPr>
                <w:rFonts w:ascii="宋体" w:hAnsi="宋体" w:cs="宋体" w:eastAsia="宋体" w:hint="default"/>
                <w:spacing w:val="20"/>
                <w:sz w:val="18"/>
                <w:szCs w:val="18"/>
              </w:rPr>
              <w:t>立药业坦桑</w:t>
            </w:r>
            <w:r>
              <w:rPr>
                <w:rFonts w:ascii="宋体" w:hAnsi="宋体" w:cs="宋体" w:eastAsia="宋体" w:hint="default"/>
                <w:spacing w:val="-62"/>
                <w:sz w:val="18"/>
                <w:szCs w:val="18"/>
              </w:rPr>
              <w:t> </w:t>
            </w:r>
            <w:r>
              <w:rPr>
                <w:rFonts w:ascii="宋体" w:hAnsi="宋体" w:cs="宋体" w:eastAsia="宋体" w:hint="default"/>
                <w:spacing w:val="13"/>
                <w:sz w:val="18"/>
                <w:szCs w:val="18"/>
              </w:rPr>
              <w:t>尼亚</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665"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26"/>
                <w:szCs w:val="26"/>
              </w:rPr>
            </w:pPr>
          </w:p>
          <w:p>
            <w:pPr>
              <w:pStyle w:val="TableParagraph"/>
              <w:spacing w:line="240" w:lineRule="auto"/>
              <w:ind w:right="149"/>
              <w:jc w:val="right"/>
              <w:rPr>
                <w:rFonts w:ascii="Century Gothic" w:hAnsi="Century Gothic" w:cs="Century Gothic" w:eastAsia="Century Gothic" w:hint="default"/>
                <w:sz w:val="18"/>
                <w:szCs w:val="18"/>
              </w:rPr>
            </w:pPr>
            <w:r>
              <w:rPr>
                <w:rFonts w:ascii="Century Gothic"/>
                <w:spacing w:val="-1"/>
                <w:sz w:val="18"/>
              </w:rPr>
              <w:t>80.00</w:t>
            </w:r>
            <w:r>
              <w:rPr>
                <w:rFonts w:ascii="Century Gothic"/>
                <w:sz w:val="18"/>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26"/>
                <w:szCs w:val="26"/>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80.00</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26"/>
                <w:szCs w:val="26"/>
              </w:rPr>
            </w:pPr>
          </w:p>
          <w:p>
            <w:pPr>
              <w:pStyle w:val="TableParagraph"/>
              <w:spacing w:line="240" w:lineRule="auto"/>
              <w:ind w:left="180" w:right="0"/>
              <w:jc w:val="left"/>
              <w:rPr>
                <w:rFonts w:ascii="Century Gothic" w:hAnsi="Century Gothic" w:cs="Century Gothic" w:eastAsia="Century Gothic" w:hint="default"/>
                <w:sz w:val="18"/>
                <w:szCs w:val="18"/>
              </w:rPr>
            </w:pPr>
            <w:r>
              <w:rPr>
                <w:rFonts w:ascii="Century Gothic"/>
                <w:sz w:val="18"/>
              </w:rPr>
              <w:t>USD6.1782</w:t>
            </w:r>
          </w:p>
        </w:tc>
        <w:tc>
          <w:tcPr>
            <w:tcW w:w="2092" w:type="dxa"/>
            <w:gridSpan w:val="2"/>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黑体" w:hAnsi="黑体" w:cs="黑体" w:eastAsia="黑体" w:hint="default"/>
                <w:b/>
                <w:bCs/>
                <w:sz w:val="24"/>
                <w:szCs w:val="24"/>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4"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上海珐迩玛</w:t>
            </w:r>
            <w:r>
              <w:rPr>
                <w:rFonts w:ascii="宋体" w:hAnsi="宋体" w:cs="宋体" w:eastAsia="宋体" w:hint="default"/>
                <w:spacing w:val="-59"/>
                <w:sz w:val="18"/>
                <w:szCs w:val="18"/>
              </w:rPr>
              <w:t> </w:t>
            </w:r>
            <w:r>
              <w:rPr>
                <w:rFonts w:ascii="宋体" w:hAnsi="宋体" w:cs="宋体" w:eastAsia="宋体" w:hint="default"/>
                <w:spacing w:val="13"/>
                <w:sz w:val="18"/>
                <w:szCs w:val="18"/>
              </w:rPr>
              <w:t>实业</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665"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49"/>
              <w:jc w:val="right"/>
              <w:rPr>
                <w:rFonts w:ascii="Century Gothic" w:hAnsi="Century Gothic" w:cs="Century Gothic" w:eastAsia="Century Gothic" w:hint="default"/>
                <w:sz w:val="18"/>
                <w:szCs w:val="18"/>
              </w:rPr>
            </w:pPr>
            <w:r>
              <w:rPr>
                <w:rFonts w:ascii="Century Gothic"/>
                <w:spacing w:val="-1"/>
                <w:sz w:val="18"/>
              </w:rPr>
              <w:t>95.00</w:t>
            </w:r>
            <w:r>
              <w:rPr>
                <w:rFonts w:ascii="Century Gothic"/>
                <w:sz w:val="18"/>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95.00</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400" w:right="0"/>
              <w:jc w:val="left"/>
              <w:rPr>
                <w:rFonts w:ascii="Century Gothic" w:hAnsi="Century Gothic" w:cs="Century Gothic" w:eastAsia="Century Gothic" w:hint="default"/>
                <w:sz w:val="18"/>
                <w:szCs w:val="18"/>
              </w:rPr>
            </w:pPr>
            <w:r>
              <w:rPr>
                <w:rFonts w:ascii="Century Gothic"/>
                <w:sz w:val="18"/>
              </w:rPr>
              <w:t>95.00</w:t>
            </w:r>
          </w:p>
        </w:tc>
        <w:tc>
          <w:tcPr>
            <w:tcW w:w="2092" w:type="dxa"/>
            <w:gridSpan w:val="2"/>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56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广州市华立</w:t>
            </w:r>
            <w:r>
              <w:rPr>
                <w:rFonts w:ascii="宋体" w:hAnsi="宋体" w:cs="宋体" w:eastAsia="宋体" w:hint="default"/>
                <w:spacing w:val="-59"/>
                <w:sz w:val="18"/>
                <w:szCs w:val="18"/>
              </w:rPr>
              <w:t> </w:t>
            </w:r>
            <w:r>
              <w:rPr>
                <w:rFonts w:ascii="宋体" w:hAnsi="宋体" w:cs="宋体" w:eastAsia="宋体" w:hint="default"/>
                <w:spacing w:val="13"/>
                <w:sz w:val="18"/>
                <w:szCs w:val="18"/>
              </w:rPr>
              <w:t>健药</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6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75.00</w:t>
            </w:r>
          </w:p>
        </w:tc>
        <w:tc>
          <w:tcPr>
            <w:tcW w:w="764"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75.00</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75" w:right="0"/>
              <w:jc w:val="left"/>
              <w:rPr>
                <w:rFonts w:ascii="Century Gothic" w:hAnsi="Century Gothic" w:cs="Century Gothic" w:eastAsia="Century Gothic" w:hint="default"/>
                <w:sz w:val="18"/>
                <w:szCs w:val="18"/>
              </w:rPr>
            </w:pPr>
            <w:r>
              <w:rPr>
                <w:rFonts w:ascii="Century Gothic"/>
                <w:sz w:val="18"/>
              </w:rPr>
              <w:t>2,250.00</w:t>
            </w:r>
          </w:p>
        </w:tc>
        <w:tc>
          <w:tcPr>
            <w:tcW w:w="2092" w:type="dxa"/>
            <w:gridSpan w:val="2"/>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56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420"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6"/>
              <w:ind w:right="0"/>
              <w:jc w:val="left"/>
              <w:rPr>
                <w:rFonts w:ascii="黑体" w:hAnsi="黑体" w:cs="黑体" w:eastAsia="黑体" w:hint="default"/>
                <w:b/>
                <w:bCs/>
                <w:sz w:val="15"/>
                <w:szCs w:val="15"/>
              </w:rPr>
            </w:pPr>
          </w:p>
          <w:p>
            <w:pPr>
              <w:pStyle w:val="TableParagraph"/>
              <w:spacing w:line="235" w:lineRule="exact"/>
              <w:ind w:left="381"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35" w:lineRule="exact"/>
              <w:ind w:left="471"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6"/>
              <w:ind w:right="0"/>
              <w:jc w:val="left"/>
              <w:rPr>
                <w:rFonts w:ascii="黑体" w:hAnsi="黑体" w:cs="黑体" w:eastAsia="黑体" w:hint="default"/>
                <w:b/>
                <w:bCs/>
                <w:sz w:val="24"/>
                <w:szCs w:val="24"/>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6"/>
              <w:ind w:right="0"/>
              <w:jc w:val="left"/>
              <w:rPr>
                <w:rFonts w:ascii="黑体" w:hAnsi="黑体" w:cs="黑体" w:eastAsia="黑体" w:hint="default"/>
                <w:b/>
                <w:bCs/>
                <w:sz w:val="15"/>
                <w:szCs w:val="15"/>
              </w:rPr>
            </w:pPr>
          </w:p>
          <w:p>
            <w:pPr>
              <w:pStyle w:val="TableParagraph"/>
              <w:spacing w:line="240" w:lineRule="auto"/>
              <w:ind w:left="543" w:right="185"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6"/>
              <w:ind w:right="0"/>
              <w:jc w:val="left"/>
              <w:rPr>
                <w:rFonts w:ascii="黑体" w:hAnsi="黑体" w:cs="黑体" w:eastAsia="黑体" w:hint="default"/>
                <w:b/>
                <w:bCs/>
                <w:sz w:val="15"/>
                <w:szCs w:val="15"/>
              </w:rPr>
            </w:pPr>
          </w:p>
          <w:p>
            <w:pPr>
              <w:pStyle w:val="TableParagraph"/>
              <w:spacing w:line="240" w:lineRule="auto"/>
              <w:ind w:left="534" w:right="17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174" w:right="173"/>
              <w:jc w:val="both"/>
              <w:rPr>
                <w:rFonts w:ascii="宋体" w:hAnsi="宋体" w:cs="宋体" w:eastAsia="宋体" w:hint="default"/>
                <w:sz w:val="18"/>
                <w:szCs w:val="18"/>
              </w:rPr>
            </w:pPr>
            <w:r>
              <w:rPr>
                <w:rFonts w:ascii="宋体" w:hAnsi="宋体" w:cs="宋体" w:eastAsia="宋体" w:hint="default"/>
                <w:sz w:val="18"/>
                <w:szCs w:val="18"/>
              </w:rPr>
              <w:t>少数股东权 益中用于冲 减少数股东 损益的金额</w:t>
            </w:r>
          </w:p>
        </w:tc>
        <w:tc>
          <w:tcPr>
            <w:tcW w:w="2150" w:type="dxa"/>
            <w:gridSpan w:val="2"/>
            <w:tcBorders>
              <w:top w:val="single" w:sz="6" w:space="0" w:color="000000"/>
              <w:left w:val="single" w:sz="6" w:space="0" w:color="000000"/>
              <w:bottom w:val="single" w:sz="6" w:space="0" w:color="000000"/>
              <w:right w:val="nil" w:sz="6" w:space="0" w:color="auto"/>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从母公司所有者权益冲</w:t>
            </w:r>
          </w:p>
          <w:p>
            <w:pPr>
              <w:pStyle w:val="TableParagraph"/>
              <w:spacing w:line="240" w:lineRule="auto"/>
              <w:ind w:left="167" w:right="173"/>
              <w:jc w:val="center"/>
              <w:rPr>
                <w:rFonts w:ascii="宋体" w:hAnsi="宋体" w:cs="宋体" w:eastAsia="宋体" w:hint="default"/>
                <w:sz w:val="18"/>
                <w:szCs w:val="18"/>
              </w:rPr>
            </w:pPr>
            <w:r>
              <w:rPr>
                <w:rFonts w:ascii="宋体" w:hAnsi="宋体" w:cs="宋体" w:eastAsia="宋体" w:hint="default"/>
                <w:sz w:val="18"/>
                <w:szCs w:val="18"/>
              </w:rPr>
              <w:t>减子公司少数股东分担 的本期亏损超过少数股 东在该子公司期初所有 者权益中所享有份额后 的余额</w:t>
            </w:r>
          </w:p>
        </w:tc>
      </w:tr>
      <w:tr>
        <w:trPr>
          <w:trHeight w:val="482"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重庆华立武</w:t>
            </w:r>
            <w:r>
              <w:rPr>
                <w:rFonts w:ascii="宋体" w:hAnsi="宋体" w:cs="宋体" w:eastAsia="宋体" w:hint="default"/>
                <w:spacing w:val="-59"/>
                <w:sz w:val="18"/>
                <w:szCs w:val="18"/>
              </w:rPr>
              <w:t> </w:t>
            </w:r>
            <w:r>
              <w:rPr>
                <w:rFonts w:ascii="宋体" w:hAnsi="宋体" w:cs="宋体" w:eastAsia="宋体" w:hint="default"/>
                <w:spacing w:val="13"/>
                <w:sz w:val="18"/>
                <w:szCs w:val="18"/>
              </w:rPr>
              <w:t>陵山</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制药有限公司</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70938223-7</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3,379,012.90</w:t>
            </w:r>
          </w:p>
        </w:tc>
        <w:tc>
          <w:tcPr>
            <w:tcW w:w="1262" w:type="dxa"/>
            <w:tcBorders>
              <w:top w:val="single" w:sz="6" w:space="0" w:color="000000"/>
              <w:left w:val="single" w:sz="6" w:space="0" w:color="000000"/>
              <w:bottom w:val="single" w:sz="6" w:space="0" w:color="000000"/>
              <w:right w:val="single" w:sz="6" w:space="0" w:color="000000"/>
            </w:tcBorders>
          </w:tcPr>
          <w:p>
            <w:pPr/>
          </w:p>
        </w:tc>
        <w:tc>
          <w:tcPr>
            <w:tcW w:w="2150" w:type="dxa"/>
            <w:gridSpan w:val="2"/>
            <w:tcBorders>
              <w:top w:val="single" w:sz="6" w:space="0" w:color="000000"/>
              <w:left w:val="single" w:sz="6" w:space="0" w:color="000000"/>
              <w:bottom w:val="single" w:sz="6" w:space="0" w:color="000000"/>
              <w:right w:val="nil" w:sz="6" w:space="0" w:color="auto"/>
            </w:tcBorders>
          </w:tcPr>
          <w:p>
            <w:pPr/>
          </w:p>
        </w:tc>
      </w:tr>
      <w:tr>
        <w:trPr>
          <w:trHeight w:val="484"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湘西华立制</w:t>
            </w:r>
            <w:r>
              <w:rPr>
                <w:rFonts w:ascii="宋体" w:hAnsi="宋体" w:cs="宋体" w:eastAsia="宋体" w:hint="default"/>
                <w:spacing w:val="-59"/>
                <w:sz w:val="18"/>
                <w:szCs w:val="18"/>
              </w:rPr>
              <w:t> </w:t>
            </w:r>
            <w:r>
              <w:rPr>
                <w:rFonts w:ascii="宋体" w:hAnsi="宋体" w:cs="宋体" w:eastAsia="宋体" w:hint="default"/>
                <w:spacing w:val="13"/>
                <w:sz w:val="18"/>
                <w:szCs w:val="18"/>
              </w:rPr>
              <w:t>药有</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73286662-7</w:t>
            </w:r>
          </w:p>
        </w:tc>
        <w:tc>
          <w:tcPr>
            <w:tcW w:w="1264"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215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left="991" w:right="0"/>
              <w:jc w:val="left"/>
              <w:rPr>
                <w:rFonts w:ascii="Century Gothic" w:hAnsi="Century Gothic" w:cs="Century Gothic" w:eastAsia="Century Gothic" w:hint="default"/>
                <w:sz w:val="18"/>
                <w:szCs w:val="18"/>
              </w:rPr>
            </w:pPr>
            <w:r>
              <w:rPr>
                <w:rFonts w:ascii="Century Gothic"/>
                <w:sz w:val="18"/>
              </w:rPr>
              <w:t>2,967,363.94</w:t>
            </w:r>
          </w:p>
        </w:tc>
      </w:tr>
      <w:tr>
        <w:trPr>
          <w:trHeight w:val="482"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重庆美联制</w:t>
            </w:r>
            <w:r>
              <w:rPr>
                <w:rFonts w:ascii="宋体" w:hAnsi="宋体" w:cs="宋体" w:eastAsia="宋体" w:hint="default"/>
                <w:spacing w:val="-59"/>
                <w:sz w:val="18"/>
                <w:szCs w:val="18"/>
              </w:rPr>
              <w:t> </w:t>
            </w:r>
            <w:r>
              <w:rPr>
                <w:rFonts w:ascii="宋体" w:hAnsi="宋体" w:cs="宋体" w:eastAsia="宋体" w:hint="default"/>
                <w:spacing w:val="13"/>
                <w:sz w:val="18"/>
                <w:szCs w:val="18"/>
              </w:rPr>
              <w:t>药有</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62191024-2</w:t>
            </w:r>
          </w:p>
        </w:tc>
        <w:tc>
          <w:tcPr>
            <w:tcW w:w="1264"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215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left="991" w:right="0"/>
              <w:jc w:val="left"/>
              <w:rPr>
                <w:rFonts w:ascii="Century Gothic" w:hAnsi="Century Gothic" w:cs="Century Gothic" w:eastAsia="Century Gothic" w:hint="default"/>
                <w:sz w:val="18"/>
                <w:szCs w:val="18"/>
              </w:rPr>
            </w:pPr>
            <w:r>
              <w:rPr>
                <w:rFonts w:ascii="Century Gothic"/>
                <w:sz w:val="18"/>
              </w:rPr>
              <w:t>5,157,695.26</w:t>
            </w:r>
          </w:p>
        </w:tc>
      </w:tr>
      <w:tr>
        <w:trPr>
          <w:trHeight w:val="700"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22" w:right="73"/>
              <w:jc w:val="left"/>
              <w:rPr>
                <w:rFonts w:ascii="宋体" w:hAnsi="宋体" w:cs="宋体" w:eastAsia="宋体" w:hint="default"/>
                <w:sz w:val="18"/>
                <w:szCs w:val="18"/>
              </w:rPr>
            </w:pPr>
            <w:r>
              <w:rPr>
                <w:rFonts w:ascii="宋体" w:hAnsi="宋体" w:cs="宋体" w:eastAsia="宋体" w:hint="default"/>
                <w:spacing w:val="20"/>
                <w:sz w:val="18"/>
                <w:szCs w:val="18"/>
              </w:rPr>
              <w:t>云南工业大</w:t>
            </w:r>
            <w:r>
              <w:rPr>
                <w:rFonts w:ascii="宋体" w:hAnsi="宋体" w:cs="宋体" w:eastAsia="宋体" w:hint="default"/>
                <w:spacing w:val="-62"/>
                <w:sz w:val="18"/>
                <w:szCs w:val="18"/>
              </w:rPr>
              <w:t> </w:t>
            </w:r>
            <w:r>
              <w:rPr>
                <w:rFonts w:ascii="宋体" w:hAnsi="宋体" w:cs="宋体" w:eastAsia="宋体" w:hint="default"/>
                <w:spacing w:val="13"/>
                <w:sz w:val="18"/>
                <w:szCs w:val="18"/>
              </w:rPr>
              <w:t>麻股</w:t>
            </w:r>
            <w:r>
              <w:rPr>
                <w:rFonts w:ascii="宋体" w:hAnsi="宋体" w:cs="宋体" w:eastAsia="宋体" w:hint="default"/>
                <w:spacing w:val="-88"/>
                <w:sz w:val="18"/>
                <w:szCs w:val="18"/>
              </w:rPr>
              <w:t> </w:t>
            </w:r>
            <w:r>
              <w:rPr>
                <w:rFonts w:ascii="宋体" w:hAnsi="宋体" w:cs="宋体" w:eastAsia="宋体" w:hint="default"/>
                <w:sz w:val="18"/>
                <w:szCs w:val="18"/>
              </w:rPr>
              <w:t>份有限公司</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b/>
                <w:bCs/>
                <w:sz w:val="14"/>
                <w:szCs w:val="14"/>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股份公司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73123480-4</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黑体" w:hAnsi="黑体" w:cs="黑体" w:eastAsia="黑体" w:hint="default"/>
                <w:b/>
                <w:bCs/>
                <w:sz w:val="17"/>
                <w:szCs w:val="17"/>
              </w:rPr>
            </w:pP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spacing w:val="-1"/>
                <w:sz w:val="18"/>
              </w:rPr>
              <w:t>527,772.36</w:t>
            </w:r>
            <w:r>
              <w:rPr>
                <w:rFonts w:ascii="Century Gothic"/>
                <w:sz w:val="18"/>
              </w:rPr>
            </w:r>
          </w:p>
        </w:tc>
        <w:tc>
          <w:tcPr>
            <w:tcW w:w="1262" w:type="dxa"/>
            <w:tcBorders>
              <w:top w:val="single" w:sz="6" w:space="0" w:color="000000"/>
              <w:left w:val="single" w:sz="6" w:space="0" w:color="000000"/>
              <w:bottom w:val="single" w:sz="6" w:space="0" w:color="000000"/>
              <w:right w:val="single" w:sz="6" w:space="0" w:color="000000"/>
            </w:tcBorders>
          </w:tcPr>
          <w:p>
            <w:pPr/>
          </w:p>
        </w:tc>
        <w:tc>
          <w:tcPr>
            <w:tcW w:w="2150" w:type="dxa"/>
            <w:gridSpan w:val="2"/>
            <w:tcBorders>
              <w:top w:val="single" w:sz="6" w:space="0" w:color="000000"/>
              <w:left w:val="single" w:sz="6" w:space="0" w:color="000000"/>
              <w:bottom w:val="single" w:sz="6" w:space="0" w:color="000000"/>
              <w:right w:val="nil" w:sz="6" w:space="0" w:color="auto"/>
            </w:tcBorders>
          </w:tcPr>
          <w:p>
            <w:pPr/>
          </w:p>
        </w:tc>
      </w:tr>
      <w:tr>
        <w:trPr>
          <w:trHeight w:val="893"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
              <w:ind w:right="0"/>
              <w:jc w:val="left"/>
              <w:rPr>
                <w:rFonts w:ascii="黑体" w:hAnsi="黑体" w:cs="黑体" w:eastAsia="黑体" w:hint="default"/>
                <w:b/>
                <w:bCs/>
                <w:sz w:val="13"/>
                <w:szCs w:val="13"/>
              </w:rPr>
            </w:pPr>
          </w:p>
          <w:p>
            <w:pPr>
              <w:pStyle w:val="TableParagraph"/>
              <w:spacing w:line="240" w:lineRule="auto"/>
              <w:ind w:left="122" w:right="73"/>
              <w:jc w:val="left"/>
              <w:rPr>
                <w:rFonts w:ascii="宋体" w:hAnsi="宋体" w:cs="宋体" w:eastAsia="宋体" w:hint="default"/>
                <w:sz w:val="18"/>
                <w:szCs w:val="18"/>
              </w:rPr>
            </w:pPr>
            <w:r>
              <w:rPr>
                <w:rFonts w:ascii="宋体" w:hAnsi="宋体" w:cs="宋体" w:eastAsia="宋体" w:hint="default"/>
                <w:spacing w:val="20"/>
                <w:sz w:val="18"/>
                <w:szCs w:val="18"/>
              </w:rPr>
              <w:t>云南汉普健</w:t>
            </w:r>
            <w:r>
              <w:rPr>
                <w:rFonts w:ascii="宋体" w:hAnsi="宋体" w:cs="宋体" w:eastAsia="宋体" w:hint="default"/>
                <w:spacing w:val="-62"/>
                <w:sz w:val="18"/>
                <w:szCs w:val="18"/>
              </w:rPr>
              <w:t> </w:t>
            </w:r>
            <w:r>
              <w:rPr>
                <w:rFonts w:ascii="宋体" w:hAnsi="宋体" w:cs="宋体" w:eastAsia="宋体" w:hint="default"/>
                <w:spacing w:val="13"/>
                <w:sz w:val="18"/>
                <w:szCs w:val="18"/>
              </w:rPr>
              <w:t>康产</w:t>
            </w:r>
            <w:r>
              <w:rPr>
                <w:rFonts w:ascii="宋体" w:hAnsi="宋体" w:cs="宋体" w:eastAsia="宋体" w:hint="default"/>
                <w:spacing w:val="-88"/>
                <w:sz w:val="18"/>
                <w:szCs w:val="18"/>
              </w:rPr>
              <w:t> </w:t>
            </w:r>
            <w:r>
              <w:rPr>
                <w:rFonts w:ascii="宋体" w:hAnsi="宋体" w:cs="宋体" w:eastAsia="宋体" w:hint="default"/>
                <w:sz w:val="18"/>
                <w:szCs w:val="18"/>
              </w:rPr>
              <w:t>品有限公司</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黑体" w:hAnsi="黑体" w:cs="黑体" w:eastAsia="黑体" w:hint="default"/>
                <w:b/>
                <w:bCs/>
                <w:sz w:val="22"/>
                <w:szCs w:val="22"/>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b/>
                <w:bCs/>
                <w:sz w:val="25"/>
                <w:szCs w:val="25"/>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76388232-0</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b/>
                <w:bCs/>
                <w:sz w:val="25"/>
                <w:szCs w:val="25"/>
              </w:rPr>
            </w:pP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spacing w:val="-1"/>
                <w:sz w:val="18"/>
              </w:rPr>
              <w:t>364,319.31</w:t>
            </w:r>
            <w:r>
              <w:rPr>
                <w:rFonts w:ascii="Century Gothic"/>
                <w:sz w:val="18"/>
              </w:rPr>
            </w:r>
          </w:p>
        </w:tc>
        <w:tc>
          <w:tcPr>
            <w:tcW w:w="1262" w:type="dxa"/>
            <w:tcBorders>
              <w:top w:val="single" w:sz="6" w:space="0" w:color="000000"/>
              <w:left w:val="single" w:sz="6" w:space="0" w:color="000000"/>
              <w:bottom w:val="single" w:sz="6" w:space="0" w:color="000000"/>
              <w:right w:val="single" w:sz="6" w:space="0" w:color="000000"/>
            </w:tcBorders>
          </w:tcPr>
          <w:p>
            <w:pPr/>
          </w:p>
        </w:tc>
        <w:tc>
          <w:tcPr>
            <w:tcW w:w="2150" w:type="dxa"/>
            <w:gridSpan w:val="2"/>
            <w:tcBorders>
              <w:top w:val="single" w:sz="6" w:space="0" w:color="000000"/>
              <w:left w:val="single" w:sz="6" w:space="0" w:color="000000"/>
              <w:bottom w:val="single" w:sz="6" w:space="0" w:color="000000"/>
              <w:right w:val="nil" w:sz="6" w:space="0" w:color="auto"/>
            </w:tcBorders>
          </w:tcPr>
          <w:p>
            <w:pPr/>
          </w:p>
        </w:tc>
      </w:tr>
      <w:tr>
        <w:trPr>
          <w:trHeight w:val="716"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泉州云麻新</w:t>
            </w:r>
            <w:r>
              <w:rPr>
                <w:rFonts w:ascii="宋体" w:hAnsi="宋体" w:cs="宋体" w:eastAsia="宋体" w:hint="default"/>
                <w:spacing w:val="-59"/>
                <w:sz w:val="18"/>
                <w:szCs w:val="18"/>
              </w:rPr>
              <w:t> </w:t>
            </w:r>
            <w:r>
              <w:rPr>
                <w:rFonts w:ascii="宋体" w:hAnsi="宋体" w:cs="宋体" w:eastAsia="宋体" w:hint="default"/>
                <w:spacing w:val="13"/>
                <w:sz w:val="18"/>
                <w:szCs w:val="18"/>
              </w:rPr>
              <w:t>资源</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22" w:right="73"/>
              <w:jc w:val="left"/>
              <w:rPr>
                <w:rFonts w:ascii="宋体" w:hAnsi="宋体" w:cs="宋体" w:eastAsia="宋体" w:hint="default"/>
                <w:sz w:val="18"/>
                <w:szCs w:val="18"/>
              </w:rPr>
            </w:pPr>
            <w:r>
              <w:rPr>
                <w:rFonts w:ascii="宋体" w:hAnsi="宋体" w:cs="宋体" w:eastAsia="宋体" w:hint="default"/>
                <w:spacing w:val="20"/>
                <w:sz w:val="18"/>
                <w:szCs w:val="18"/>
              </w:rPr>
              <w:t>高分子材料</w:t>
            </w:r>
            <w:r>
              <w:rPr>
                <w:rFonts w:ascii="宋体" w:hAnsi="宋体" w:cs="宋体" w:eastAsia="宋体" w:hint="default"/>
                <w:spacing w:val="-62"/>
                <w:sz w:val="18"/>
                <w:szCs w:val="18"/>
              </w:rPr>
              <w:t> </w:t>
            </w:r>
            <w:r>
              <w:rPr>
                <w:rFonts w:ascii="宋体" w:hAnsi="宋体" w:cs="宋体" w:eastAsia="宋体" w:hint="default"/>
                <w:spacing w:val="13"/>
                <w:sz w:val="18"/>
                <w:szCs w:val="18"/>
              </w:rPr>
              <w:t>研究</w:t>
            </w:r>
            <w:r>
              <w:rPr>
                <w:rFonts w:ascii="宋体" w:hAnsi="宋体" w:cs="宋体" w:eastAsia="宋体" w:hint="default"/>
                <w:spacing w:val="-88"/>
                <w:sz w:val="18"/>
                <w:szCs w:val="18"/>
              </w:rPr>
              <w:t> </w:t>
            </w:r>
            <w:r>
              <w:rPr>
                <w:rFonts w:ascii="宋体" w:hAnsi="宋体" w:cs="宋体" w:eastAsia="宋体" w:hint="default"/>
                <w:sz w:val="18"/>
                <w:szCs w:val="18"/>
              </w:rPr>
              <w:t>中心有限公司</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215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left="1239" w:right="0"/>
              <w:jc w:val="left"/>
              <w:rPr>
                <w:rFonts w:ascii="Century Gothic" w:hAnsi="Century Gothic" w:cs="Century Gothic" w:eastAsia="Century Gothic" w:hint="default"/>
                <w:sz w:val="18"/>
                <w:szCs w:val="18"/>
              </w:rPr>
            </w:pPr>
            <w:r>
              <w:rPr>
                <w:rFonts w:ascii="Century Gothic"/>
                <w:sz w:val="18"/>
              </w:rPr>
              <w:t>64,308.10</w:t>
            </w:r>
          </w:p>
        </w:tc>
      </w:tr>
      <w:tr>
        <w:trPr>
          <w:trHeight w:val="718"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洪雅美联曼</w:t>
            </w:r>
            <w:r>
              <w:rPr>
                <w:rFonts w:ascii="宋体" w:hAnsi="宋体" w:cs="宋体" w:eastAsia="宋体" w:hint="default"/>
                <w:spacing w:val="-59"/>
                <w:sz w:val="18"/>
                <w:szCs w:val="18"/>
              </w:rPr>
              <w:t> </w:t>
            </w:r>
            <w:r>
              <w:rPr>
                <w:rFonts w:ascii="宋体" w:hAnsi="宋体" w:cs="宋体" w:eastAsia="宋体" w:hint="default"/>
                <w:spacing w:val="13"/>
                <w:sz w:val="18"/>
                <w:szCs w:val="18"/>
              </w:rPr>
              <w:t>地亚</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22" w:right="73"/>
              <w:jc w:val="left"/>
              <w:rPr>
                <w:rFonts w:ascii="宋体" w:hAnsi="宋体" w:cs="宋体" w:eastAsia="宋体" w:hint="default"/>
                <w:sz w:val="18"/>
                <w:szCs w:val="18"/>
              </w:rPr>
            </w:pPr>
            <w:r>
              <w:rPr>
                <w:rFonts w:ascii="宋体" w:hAnsi="宋体" w:cs="宋体" w:eastAsia="宋体" w:hint="default"/>
                <w:spacing w:val="20"/>
                <w:sz w:val="18"/>
                <w:szCs w:val="18"/>
              </w:rPr>
              <w:t>红豆杉种植</w:t>
            </w:r>
            <w:r>
              <w:rPr>
                <w:rFonts w:ascii="宋体" w:hAnsi="宋体" w:cs="宋体" w:eastAsia="宋体" w:hint="default"/>
                <w:spacing w:val="-62"/>
                <w:sz w:val="18"/>
                <w:szCs w:val="18"/>
              </w:rPr>
              <w:t> </w:t>
            </w:r>
            <w:r>
              <w:rPr>
                <w:rFonts w:ascii="宋体" w:hAnsi="宋体" w:cs="宋体" w:eastAsia="宋体" w:hint="default"/>
                <w:spacing w:val="13"/>
                <w:sz w:val="18"/>
                <w:szCs w:val="18"/>
              </w:rPr>
              <w:t>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73834614-7</w:t>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spacing w:val="-1"/>
                <w:sz w:val="18"/>
              </w:rPr>
              <w:t>640,074.34</w:t>
            </w:r>
            <w:r>
              <w:rPr>
                <w:rFonts w:ascii="Century Gothic"/>
                <w:sz w:val="18"/>
              </w:rPr>
            </w:r>
          </w:p>
        </w:tc>
        <w:tc>
          <w:tcPr>
            <w:tcW w:w="1262" w:type="dxa"/>
            <w:tcBorders>
              <w:top w:val="single" w:sz="6" w:space="0" w:color="000000"/>
              <w:left w:val="single" w:sz="6" w:space="0" w:color="000000"/>
              <w:bottom w:val="single" w:sz="6" w:space="0" w:color="000000"/>
              <w:right w:val="single" w:sz="6" w:space="0" w:color="000000"/>
            </w:tcBorders>
          </w:tcPr>
          <w:p>
            <w:pPr/>
          </w:p>
        </w:tc>
        <w:tc>
          <w:tcPr>
            <w:tcW w:w="2150" w:type="dxa"/>
            <w:gridSpan w:val="2"/>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洪雅美联植</w:t>
            </w:r>
            <w:r>
              <w:rPr>
                <w:rFonts w:ascii="宋体" w:hAnsi="宋体" w:cs="宋体" w:eastAsia="宋体" w:hint="default"/>
                <w:spacing w:val="-59"/>
                <w:sz w:val="18"/>
                <w:szCs w:val="18"/>
              </w:rPr>
              <w:t> </w:t>
            </w:r>
            <w:r>
              <w:rPr>
                <w:rFonts w:ascii="宋体" w:hAnsi="宋体" w:cs="宋体" w:eastAsia="宋体" w:hint="default"/>
                <w:spacing w:val="13"/>
                <w:sz w:val="18"/>
                <w:szCs w:val="18"/>
              </w:rPr>
              <w:t>化有</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74466509-9</w:t>
            </w:r>
          </w:p>
        </w:tc>
        <w:tc>
          <w:tcPr>
            <w:tcW w:w="1264"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215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left="991" w:right="0"/>
              <w:jc w:val="left"/>
              <w:rPr>
                <w:rFonts w:ascii="Century Gothic" w:hAnsi="Century Gothic" w:cs="Century Gothic" w:eastAsia="Century Gothic" w:hint="default"/>
                <w:sz w:val="18"/>
                <w:szCs w:val="18"/>
              </w:rPr>
            </w:pPr>
            <w:r>
              <w:rPr>
                <w:rFonts w:ascii="Century Gothic"/>
                <w:sz w:val="18"/>
              </w:rPr>
              <w:t>4,108,745.49</w:t>
            </w:r>
          </w:p>
        </w:tc>
      </w:tr>
      <w:tr>
        <w:trPr>
          <w:trHeight w:val="491" w:hRule="exact"/>
        </w:trPr>
        <w:tc>
          <w:tcPr>
            <w:tcW w:w="1651"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北京华立科</w:t>
            </w:r>
            <w:r>
              <w:rPr>
                <w:rFonts w:ascii="宋体" w:hAnsi="宋体" w:cs="宋体" w:eastAsia="宋体" w:hint="default"/>
                <w:spacing w:val="-59"/>
                <w:sz w:val="18"/>
                <w:szCs w:val="18"/>
              </w:rPr>
              <w:t> </w:t>
            </w:r>
            <w:r>
              <w:rPr>
                <w:rFonts w:ascii="宋体" w:hAnsi="宋体" w:cs="宋体" w:eastAsia="宋体" w:hint="default"/>
                <w:spacing w:val="13"/>
                <w:sz w:val="18"/>
                <w:szCs w:val="18"/>
              </w:rPr>
              <w:t>泰医</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药有限责任公司</w:t>
            </w:r>
          </w:p>
        </w:tc>
        <w:tc>
          <w:tcPr>
            <w:tcW w:w="1429"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34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10117043-9</w:t>
            </w:r>
          </w:p>
        </w:tc>
        <w:tc>
          <w:tcPr>
            <w:tcW w:w="12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818,822.39</w:t>
            </w:r>
            <w:r>
              <w:rPr>
                <w:rFonts w:ascii="Century Gothic"/>
                <w:sz w:val="18"/>
              </w:rPr>
            </w:r>
          </w:p>
        </w:tc>
        <w:tc>
          <w:tcPr>
            <w:tcW w:w="1262" w:type="dxa"/>
            <w:tcBorders>
              <w:top w:val="single" w:sz="6" w:space="0" w:color="000000"/>
              <w:left w:val="single" w:sz="6" w:space="0" w:color="000000"/>
              <w:bottom w:val="single" w:sz="12" w:space="0" w:color="000000"/>
              <w:right w:val="single" w:sz="6" w:space="0" w:color="000000"/>
            </w:tcBorders>
          </w:tcPr>
          <w:p>
            <w:pPr/>
          </w:p>
        </w:tc>
        <w:tc>
          <w:tcPr>
            <w:tcW w:w="2150" w:type="dxa"/>
            <w:gridSpan w:val="2"/>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黑体" w:hAnsi="黑体" w:cs="黑体" w:eastAsia="黑体" w:hint="default"/>
          <w:b/>
          <w:bCs/>
          <w:sz w:val="24"/>
          <w:szCs w:val="24"/>
        </w:rPr>
      </w:pPr>
    </w:p>
    <w:p>
      <w:pPr>
        <w:spacing w:before="76"/>
        <w:ind w:left="4451" w:right="4369" w:firstLine="0"/>
        <w:jc w:val="center"/>
        <w:rPr>
          <w:rFonts w:ascii="Times New Roman" w:hAnsi="Times New Roman" w:cs="Times New Roman" w:eastAsia="Times New Roman" w:hint="default"/>
          <w:sz w:val="18"/>
          <w:szCs w:val="18"/>
        </w:rPr>
      </w:pPr>
      <w:r>
        <w:rPr>
          <w:rFonts w:ascii="Times New Roman"/>
          <w:sz w:val="18"/>
        </w:rPr>
        <w:t>65</w:t>
      </w:r>
    </w:p>
    <w:p>
      <w:pPr>
        <w:spacing w:after="0"/>
        <w:jc w:val="center"/>
        <w:rPr>
          <w:rFonts w:ascii="Times New Roman" w:hAnsi="Times New Roman" w:cs="Times New Roman" w:eastAsia="Times New Roman" w:hint="default"/>
          <w:sz w:val="18"/>
          <w:szCs w:val="18"/>
        </w:rPr>
        <w:sectPr>
          <w:pgSz w:w="11910" w:h="16840"/>
          <w:pgMar w:top="780" w:bottom="280" w:left="1280" w:right="124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64.860001pt;margin-top:-9.926001pt;width:84.0pt;height:23.94pt;mso-position-horizontal-relative:page;mso-position-vertical-relative:paragraph;z-index:4816"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190" w:type="dxa"/>
        <w:tblLayout w:type="fixed"/>
        <w:tblCellMar>
          <w:top w:w="0" w:type="dxa"/>
          <w:left w:w="0" w:type="dxa"/>
          <w:bottom w:w="0" w:type="dxa"/>
          <w:right w:w="0" w:type="dxa"/>
        </w:tblCellMar>
        <w:tblLook w:val="01E0"/>
      </w:tblPr>
      <w:tblGrid>
        <w:gridCol w:w="1651"/>
        <w:gridCol w:w="1429"/>
        <w:gridCol w:w="1284"/>
        <w:gridCol w:w="1264"/>
        <w:gridCol w:w="1262"/>
        <w:gridCol w:w="2150"/>
      </w:tblGrid>
      <w:tr>
        <w:trPr>
          <w:trHeight w:val="490" w:hRule="exact"/>
        </w:trPr>
        <w:tc>
          <w:tcPr>
            <w:tcW w:w="1651"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浙江华立南</w:t>
            </w:r>
            <w:r>
              <w:rPr>
                <w:rFonts w:ascii="宋体" w:hAnsi="宋体" w:cs="宋体" w:eastAsia="宋体" w:hint="default"/>
                <w:spacing w:val="-59"/>
                <w:sz w:val="18"/>
                <w:szCs w:val="18"/>
              </w:rPr>
              <w:t> </w:t>
            </w:r>
            <w:r>
              <w:rPr>
                <w:rFonts w:ascii="宋体" w:hAnsi="宋体" w:cs="宋体" w:eastAsia="宋体" w:hint="default"/>
                <w:spacing w:val="13"/>
                <w:sz w:val="18"/>
                <w:szCs w:val="18"/>
              </w:rPr>
              <w:t>湖制</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药有限公司</w:t>
            </w:r>
          </w:p>
        </w:tc>
        <w:tc>
          <w:tcPr>
            <w:tcW w:w="142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34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5"/>
              <w:ind w:right="155"/>
              <w:jc w:val="right"/>
              <w:rPr>
                <w:rFonts w:ascii="Century Gothic" w:hAnsi="Century Gothic" w:cs="Century Gothic" w:eastAsia="Century Gothic" w:hint="default"/>
                <w:sz w:val="18"/>
                <w:szCs w:val="18"/>
              </w:rPr>
            </w:pPr>
            <w:r>
              <w:rPr>
                <w:rFonts w:ascii="Century Gothic"/>
                <w:spacing w:val="-1"/>
                <w:w w:val="95"/>
                <w:sz w:val="18"/>
              </w:rPr>
              <w:t>14646029-6</w:t>
            </w:r>
            <w:r>
              <w:rPr>
                <w:rFonts w:ascii="Century Gothic"/>
                <w:sz w:val="18"/>
              </w:rPr>
            </w:r>
          </w:p>
        </w:tc>
        <w:tc>
          <w:tcPr>
            <w:tcW w:w="1264" w:type="dxa"/>
            <w:tcBorders>
              <w:top w:val="single" w:sz="12" w:space="0" w:color="000000"/>
              <w:left w:val="single" w:sz="6" w:space="0" w:color="000000"/>
              <w:bottom w:val="single" w:sz="6" w:space="0" w:color="000000"/>
              <w:right w:val="single" w:sz="6" w:space="0" w:color="000000"/>
            </w:tcBorders>
          </w:tcPr>
          <w:p>
            <w:pPr/>
          </w:p>
        </w:tc>
        <w:tc>
          <w:tcPr>
            <w:tcW w:w="1262" w:type="dxa"/>
            <w:tcBorders>
              <w:top w:val="single" w:sz="12" w:space="0" w:color="000000"/>
              <w:left w:val="single" w:sz="6" w:space="0" w:color="000000"/>
              <w:bottom w:val="single" w:sz="6" w:space="0" w:color="000000"/>
              <w:right w:val="single" w:sz="6" w:space="0" w:color="000000"/>
            </w:tcBorders>
          </w:tcPr>
          <w:p>
            <w:pPr/>
          </w:p>
        </w:tc>
        <w:tc>
          <w:tcPr>
            <w:tcW w:w="215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Century Gothic" w:hAnsi="Century Gothic" w:cs="Century Gothic" w:eastAsia="Century Gothic" w:hint="default"/>
                <w:sz w:val="18"/>
                <w:szCs w:val="18"/>
              </w:rPr>
            </w:pPr>
            <w:r>
              <w:rPr>
                <w:rFonts w:ascii="Century Gothic"/>
                <w:spacing w:val="-1"/>
                <w:sz w:val="18"/>
              </w:rPr>
              <w:t>4,273,926.84</w:t>
            </w:r>
          </w:p>
        </w:tc>
      </w:tr>
      <w:tr>
        <w:trPr>
          <w:trHeight w:val="716"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重庆市华阳</w:t>
            </w:r>
            <w:r>
              <w:rPr>
                <w:rFonts w:ascii="宋体" w:hAnsi="宋体" w:cs="宋体" w:eastAsia="宋体" w:hint="default"/>
                <w:spacing w:val="-59"/>
                <w:sz w:val="18"/>
                <w:szCs w:val="18"/>
              </w:rPr>
              <w:t> </w:t>
            </w:r>
            <w:r>
              <w:rPr>
                <w:rFonts w:ascii="宋体" w:hAnsi="宋体" w:cs="宋体" w:eastAsia="宋体" w:hint="default"/>
                <w:spacing w:val="13"/>
                <w:sz w:val="18"/>
                <w:szCs w:val="18"/>
              </w:rPr>
              <w:t>自然</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122" w:right="73"/>
              <w:jc w:val="left"/>
              <w:rPr>
                <w:rFonts w:ascii="宋体" w:hAnsi="宋体" w:cs="宋体" w:eastAsia="宋体" w:hint="default"/>
                <w:sz w:val="18"/>
                <w:szCs w:val="18"/>
              </w:rPr>
            </w:pPr>
            <w:r>
              <w:rPr>
                <w:rFonts w:ascii="宋体" w:hAnsi="宋体" w:cs="宋体" w:eastAsia="宋体" w:hint="default"/>
                <w:spacing w:val="20"/>
                <w:sz w:val="18"/>
                <w:szCs w:val="18"/>
              </w:rPr>
              <w:t>资源开发有</w:t>
            </w:r>
            <w:r>
              <w:rPr>
                <w:rFonts w:ascii="宋体" w:hAnsi="宋体" w:cs="宋体" w:eastAsia="宋体" w:hint="default"/>
                <w:spacing w:val="-62"/>
                <w:sz w:val="18"/>
                <w:szCs w:val="18"/>
              </w:rPr>
              <w:t> </w:t>
            </w:r>
            <w:r>
              <w:rPr>
                <w:rFonts w:ascii="宋体" w:hAnsi="宋体" w:cs="宋体" w:eastAsia="宋体" w:hint="default"/>
                <w:spacing w:val="13"/>
                <w:sz w:val="18"/>
                <w:szCs w:val="18"/>
              </w:rPr>
              <w:t>限责</w:t>
            </w:r>
            <w:r>
              <w:rPr>
                <w:rFonts w:ascii="宋体" w:hAnsi="宋体" w:cs="宋体" w:eastAsia="宋体" w:hint="default"/>
                <w:spacing w:val="-88"/>
                <w:sz w:val="18"/>
                <w:szCs w:val="18"/>
              </w:rPr>
              <w:t> </w:t>
            </w:r>
            <w:r>
              <w:rPr>
                <w:rFonts w:ascii="宋体" w:hAnsi="宋体" w:cs="宋体" w:eastAsia="宋体" w:hint="default"/>
                <w:sz w:val="18"/>
                <w:szCs w:val="18"/>
              </w:rPr>
              <w:t>任公司</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55"/>
              <w:jc w:val="right"/>
              <w:rPr>
                <w:rFonts w:ascii="Century Gothic" w:hAnsi="Century Gothic" w:cs="Century Gothic" w:eastAsia="Century Gothic" w:hint="default"/>
                <w:sz w:val="18"/>
                <w:szCs w:val="18"/>
              </w:rPr>
            </w:pPr>
            <w:r>
              <w:rPr>
                <w:rFonts w:ascii="Century Gothic"/>
                <w:spacing w:val="-1"/>
                <w:w w:val="95"/>
                <w:sz w:val="18"/>
              </w:rPr>
              <w:t>71164740-9</w:t>
            </w:r>
            <w:r>
              <w:rPr>
                <w:rFonts w:ascii="Century Gothic"/>
                <w:sz w:val="18"/>
              </w:rPr>
            </w:r>
          </w:p>
        </w:tc>
        <w:tc>
          <w:tcPr>
            <w:tcW w:w="1264"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21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黑体" w:hAnsi="黑体" w:cs="黑体" w:eastAsia="黑体" w:hint="default"/>
                <w:b/>
                <w:bCs/>
                <w:sz w:val="18"/>
                <w:szCs w:val="18"/>
              </w:rPr>
            </w:pPr>
          </w:p>
          <w:p>
            <w:pPr>
              <w:pStyle w:val="TableParagraph"/>
              <w:spacing w:line="240" w:lineRule="auto"/>
              <w:ind w:right="104"/>
              <w:jc w:val="right"/>
              <w:rPr>
                <w:rFonts w:ascii="Century Gothic" w:hAnsi="Century Gothic" w:cs="Century Gothic" w:eastAsia="Century Gothic" w:hint="default"/>
                <w:sz w:val="18"/>
                <w:szCs w:val="18"/>
              </w:rPr>
            </w:pPr>
            <w:r>
              <w:rPr>
                <w:rFonts w:ascii="Century Gothic"/>
                <w:spacing w:val="-1"/>
                <w:sz w:val="18"/>
              </w:rPr>
              <w:t>782,194.14</w:t>
            </w:r>
            <w:r>
              <w:rPr>
                <w:rFonts w:ascii="Century Gothic"/>
                <w:sz w:val="18"/>
              </w:rPr>
            </w:r>
          </w:p>
        </w:tc>
      </w:tr>
      <w:tr>
        <w:trPr>
          <w:trHeight w:val="938"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18" w:lineRule="exact" w:before="9"/>
              <w:ind w:left="122" w:right="98"/>
              <w:jc w:val="left"/>
              <w:rPr>
                <w:rFonts w:ascii="宋体" w:hAnsi="宋体" w:cs="宋体" w:eastAsia="宋体" w:hint="default"/>
                <w:sz w:val="18"/>
                <w:szCs w:val="18"/>
              </w:rPr>
            </w:pPr>
            <w:r>
              <w:rPr>
                <w:rFonts w:ascii="Century Gothic" w:hAnsi="Century Gothic" w:cs="Century Gothic" w:eastAsia="Century Gothic" w:hint="default"/>
                <w:sz w:val="18"/>
                <w:szCs w:val="18"/>
              </w:rPr>
              <w:t>HOLLEY</w:t>
            </w:r>
            <w:r>
              <w:rPr>
                <w:rFonts w:ascii="Century Gothic" w:hAnsi="Century Gothic" w:cs="Century Gothic" w:eastAsia="Century Gothic" w:hint="default"/>
                <w:spacing w:val="16"/>
                <w:sz w:val="18"/>
                <w:szCs w:val="18"/>
              </w:rPr>
              <w:t> </w:t>
            </w:r>
            <w:r>
              <w:rPr>
                <w:rFonts w:ascii="Century Gothic" w:hAnsi="Century Gothic" w:cs="Century Gothic" w:eastAsia="Century Gothic" w:hint="default"/>
                <w:sz w:val="18"/>
                <w:szCs w:val="18"/>
              </w:rPr>
              <w:t>UNITED</w:t>
            </w:r>
            <w:r>
              <w:rPr>
                <w:rFonts w:ascii="Century Gothic" w:hAnsi="Century Gothic" w:cs="Century Gothic" w:eastAsia="Century Gothic" w:hint="default"/>
                <w:spacing w:val="-1"/>
                <w:w w:val="99"/>
                <w:sz w:val="18"/>
                <w:szCs w:val="18"/>
              </w:rPr>
              <w:t> </w:t>
            </w:r>
            <w:r>
              <w:rPr>
                <w:rFonts w:ascii="Century Gothic" w:hAnsi="Century Gothic" w:cs="Century Gothic" w:eastAsia="Century Gothic" w:hint="default"/>
                <w:sz w:val="18"/>
                <w:szCs w:val="18"/>
              </w:rPr>
              <w:t>PHARMA  LLC</w:t>
            </w:r>
            <w:r>
              <w:rPr>
                <w:rFonts w:ascii="Century Gothic" w:hAnsi="Century Gothic" w:cs="Century Gothic" w:eastAsia="Century Gothic" w:hint="default"/>
                <w:spacing w:val="5"/>
                <w:sz w:val="18"/>
                <w:szCs w:val="18"/>
              </w:rPr>
              <w:t> </w:t>
            </w:r>
            <w:r>
              <w:rPr>
                <w:rFonts w:ascii="宋体" w:hAnsi="宋体" w:cs="宋体" w:eastAsia="宋体" w:hint="default"/>
                <w:sz w:val="18"/>
                <w:szCs w:val="18"/>
              </w:rPr>
              <w:t>华</w:t>
            </w:r>
          </w:p>
          <w:p>
            <w:pPr>
              <w:pStyle w:val="TableParagraph"/>
              <w:spacing w:line="234" w:lineRule="exact" w:before="3"/>
              <w:ind w:left="122" w:right="73"/>
              <w:jc w:val="left"/>
              <w:rPr>
                <w:rFonts w:ascii="宋体" w:hAnsi="宋体" w:cs="宋体" w:eastAsia="宋体" w:hint="default"/>
                <w:sz w:val="18"/>
                <w:szCs w:val="18"/>
              </w:rPr>
            </w:pPr>
            <w:r>
              <w:rPr>
                <w:rFonts w:ascii="宋体" w:hAnsi="宋体" w:cs="宋体" w:eastAsia="宋体" w:hint="default"/>
                <w:spacing w:val="20"/>
                <w:sz w:val="18"/>
                <w:szCs w:val="18"/>
              </w:rPr>
              <w:t>立美联制药</w:t>
            </w:r>
            <w:r>
              <w:rPr>
                <w:rFonts w:ascii="宋体" w:hAnsi="宋体" w:cs="宋体" w:eastAsia="宋体" w:hint="default"/>
                <w:spacing w:val="-62"/>
                <w:sz w:val="18"/>
                <w:szCs w:val="18"/>
              </w:rPr>
              <w:t> </w:t>
            </w:r>
            <w:r>
              <w:rPr>
                <w:rFonts w:ascii="宋体" w:hAnsi="宋体" w:cs="宋体" w:eastAsia="宋体" w:hint="default"/>
                <w:spacing w:val="13"/>
                <w:sz w:val="18"/>
                <w:szCs w:val="18"/>
              </w:rPr>
              <w:t>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24"/>
                <w:szCs w:val="24"/>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2150"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北京比力必</w:t>
            </w:r>
            <w:r>
              <w:rPr>
                <w:rFonts w:ascii="宋体" w:hAnsi="宋体" w:cs="宋体" w:eastAsia="宋体" w:hint="default"/>
                <w:spacing w:val="-59"/>
                <w:sz w:val="18"/>
                <w:szCs w:val="18"/>
              </w:rPr>
              <w:t> </w:t>
            </w:r>
            <w:r>
              <w:rPr>
                <w:rFonts w:ascii="宋体" w:hAnsi="宋体" w:cs="宋体" w:eastAsia="宋体" w:hint="default"/>
                <w:spacing w:val="13"/>
                <w:sz w:val="18"/>
                <w:szCs w:val="18"/>
              </w:rPr>
              <w:t>利文</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化传播有限公司</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55"/>
              <w:jc w:val="right"/>
              <w:rPr>
                <w:rFonts w:ascii="Century Gothic" w:hAnsi="Century Gothic" w:cs="Century Gothic" w:eastAsia="Century Gothic" w:hint="default"/>
                <w:sz w:val="18"/>
                <w:szCs w:val="18"/>
              </w:rPr>
            </w:pPr>
            <w:r>
              <w:rPr>
                <w:rFonts w:ascii="Century Gothic"/>
                <w:spacing w:val="-1"/>
                <w:w w:val="95"/>
                <w:sz w:val="18"/>
              </w:rPr>
              <w:t>75962803-9</w:t>
            </w:r>
            <w:r>
              <w:rPr>
                <w:rFonts w:ascii="Century Gothic"/>
                <w:sz w:val="18"/>
              </w:rPr>
            </w:r>
          </w:p>
        </w:tc>
        <w:tc>
          <w:tcPr>
            <w:tcW w:w="1264"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21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4"/>
              <w:jc w:val="right"/>
              <w:rPr>
                <w:rFonts w:ascii="Century Gothic" w:hAnsi="Century Gothic" w:cs="Century Gothic" w:eastAsia="Century Gothic" w:hint="default"/>
                <w:sz w:val="18"/>
                <w:szCs w:val="18"/>
              </w:rPr>
            </w:pPr>
            <w:r>
              <w:rPr>
                <w:rFonts w:ascii="Century Gothic"/>
                <w:spacing w:val="-1"/>
                <w:sz w:val="18"/>
              </w:rPr>
              <w:t>1,532,681.85</w:t>
            </w:r>
          </w:p>
        </w:tc>
      </w:tr>
      <w:tr>
        <w:trPr>
          <w:trHeight w:val="938"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18" w:lineRule="exact" w:before="9"/>
              <w:ind w:left="122" w:right="98"/>
              <w:jc w:val="left"/>
              <w:rPr>
                <w:rFonts w:ascii="宋体" w:hAnsi="宋体" w:cs="宋体" w:eastAsia="宋体" w:hint="default"/>
                <w:sz w:val="18"/>
                <w:szCs w:val="18"/>
              </w:rPr>
            </w:pPr>
            <w:r>
              <w:rPr>
                <w:rFonts w:ascii="Century Gothic" w:hAnsi="Century Gothic" w:cs="Century Gothic" w:eastAsia="Century Gothic" w:hint="default"/>
                <w:sz w:val="18"/>
                <w:szCs w:val="18"/>
              </w:rPr>
              <w:t>HOLLEYPHARMA</w:t>
            </w:r>
            <w:r>
              <w:rPr>
                <w:rFonts w:ascii="Century Gothic" w:hAnsi="Century Gothic" w:cs="Century Gothic" w:eastAsia="Century Gothic" w:hint="default"/>
                <w:spacing w:val="-1"/>
                <w:sz w:val="18"/>
                <w:szCs w:val="18"/>
              </w:rPr>
              <w:t> </w:t>
            </w:r>
            <w:r>
              <w:rPr>
                <w:rFonts w:ascii="Century Gothic" w:hAnsi="Century Gothic" w:cs="Century Gothic" w:eastAsia="Century Gothic" w:hint="default"/>
                <w:sz w:val="18"/>
                <w:szCs w:val="18"/>
              </w:rPr>
              <w:t>TANZANIA LTD</w:t>
            </w:r>
            <w:r>
              <w:rPr>
                <w:rFonts w:ascii="Century Gothic" w:hAnsi="Century Gothic" w:cs="Century Gothic" w:eastAsia="Century Gothic" w:hint="default"/>
                <w:spacing w:val="-27"/>
                <w:sz w:val="18"/>
                <w:szCs w:val="18"/>
              </w:rPr>
              <w:t> </w:t>
            </w:r>
            <w:r>
              <w:rPr>
                <w:rFonts w:ascii="宋体" w:hAnsi="宋体" w:cs="宋体" w:eastAsia="宋体" w:hint="default"/>
                <w:sz w:val="18"/>
                <w:szCs w:val="18"/>
              </w:rPr>
              <w:t>华</w:t>
            </w:r>
          </w:p>
          <w:p>
            <w:pPr>
              <w:pStyle w:val="TableParagraph"/>
              <w:spacing w:line="234" w:lineRule="exact" w:before="3"/>
              <w:ind w:left="122" w:right="73"/>
              <w:jc w:val="left"/>
              <w:rPr>
                <w:rFonts w:ascii="宋体" w:hAnsi="宋体" w:cs="宋体" w:eastAsia="宋体" w:hint="default"/>
                <w:sz w:val="18"/>
                <w:szCs w:val="18"/>
              </w:rPr>
            </w:pPr>
            <w:r>
              <w:rPr>
                <w:rFonts w:ascii="宋体" w:hAnsi="宋体" w:cs="宋体" w:eastAsia="宋体" w:hint="default"/>
                <w:spacing w:val="20"/>
                <w:sz w:val="18"/>
                <w:szCs w:val="18"/>
              </w:rPr>
              <w:t>立药业坦桑</w:t>
            </w:r>
            <w:r>
              <w:rPr>
                <w:rFonts w:ascii="宋体" w:hAnsi="宋体" w:cs="宋体" w:eastAsia="宋体" w:hint="default"/>
                <w:spacing w:val="-62"/>
                <w:sz w:val="18"/>
                <w:szCs w:val="18"/>
              </w:rPr>
              <w:t> </w:t>
            </w:r>
            <w:r>
              <w:rPr>
                <w:rFonts w:ascii="宋体" w:hAnsi="宋体" w:cs="宋体" w:eastAsia="宋体" w:hint="default"/>
                <w:spacing w:val="13"/>
                <w:sz w:val="18"/>
                <w:szCs w:val="18"/>
              </w:rPr>
              <w:t>尼亚</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24"/>
                <w:szCs w:val="24"/>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6" w:space="0" w:color="000000"/>
              <w:left w:val="single" w:sz="6" w:space="0" w:color="000000"/>
              <w:bottom w:val="single" w:sz="6" w:space="0" w:color="000000"/>
              <w:right w:val="single" w:sz="6" w:space="0" w:color="000000"/>
            </w:tcBorders>
          </w:tcPr>
          <w:p>
            <w:pP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26"/>
                <w:szCs w:val="26"/>
              </w:rPr>
            </w:pP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spacing w:val="-1"/>
                <w:sz w:val="18"/>
              </w:rPr>
              <w:t>569,541.09</w:t>
            </w:r>
            <w:r>
              <w:rPr>
                <w:rFonts w:ascii="Century Gothic"/>
                <w:sz w:val="18"/>
              </w:rPr>
            </w:r>
          </w:p>
        </w:tc>
        <w:tc>
          <w:tcPr>
            <w:tcW w:w="1262" w:type="dxa"/>
            <w:tcBorders>
              <w:top w:val="single" w:sz="6" w:space="0" w:color="000000"/>
              <w:left w:val="single" w:sz="6" w:space="0" w:color="000000"/>
              <w:bottom w:val="single" w:sz="6" w:space="0" w:color="000000"/>
              <w:right w:val="single" w:sz="6" w:space="0" w:color="000000"/>
            </w:tcBorders>
          </w:tcPr>
          <w:p>
            <w:pPr/>
          </w:p>
        </w:tc>
        <w:tc>
          <w:tcPr>
            <w:tcW w:w="2150"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651"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上海珐迩玛</w:t>
            </w:r>
            <w:r>
              <w:rPr>
                <w:rFonts w:ascii="宋体" w:hAnsi="宋体" w:cs="宋体" w:eastAsia="宋体" w:hint="default"/>
                <w:spacing w:val="-59"/>
                <w:sz w:val="18"/>
                <w:szCs w:val="18"/>
              </w:rPr>
              <w:t> </w:t>
            </w:r>
            <w:r>
              <w:rPr>
                <w:rFonts w:ascii="宋体" w:hAnsi="宋体" w:cs="宋体" w:eastAsia="宋体" w:hint="default"/>
                <w:spacing w:val="13"/>
                <w:sz w:val="18"/>
                <w:szCs w:val="18"/>
              </w:rPr>
              <w:t>实业</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55"/>
              <w:jc w:val="right"/>
              <w:rPr>
                <w:rFonts w:ascii="Century Gothic" w:hAnsi="Century Gothic" w:cs="Century Gothic" w:eastAsia="Century Gothic" w:hint="default"/>
                <w:sz w:val="18"/>
                <w:szCs w:val="18"/>
              </w:rPr>
            </w:pPr>
            <w:r>
              <w:rPr>
                <w:rFonts w:ascii="Century Gothic"/>
                <w:spacing w:val="-1"/>
                <w:w w:val="95"/>
                <w:sz w:val="18"/>
              </w:rPr>
              <w:t>79568411-8</w:t>
            </w:r>
            <w:r>
              <w:rPr>
                <w:rFonts w:ascii="Century Gothic"/>
                <w:sz w:val="18"/>
              </w:rPr>
            </w:r>
          </w:p>
        </w:tc>
        <w:tc>
          <w:tcPr>
            <w:tcW w:w="12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58,344.49</w:t>
            </w:r>
            <w:r>
              <w:rPr>
                <w:rFonts w:ascii="Century Gothic"/>
                <w:sz w:val="18"/>
              </w:rPr>
            </w:r>
          </w:p>
        </w:tc>
        <w:tc>
          <w:tcPr>
            <w:tcW w:w="1262" w:type="dxa"/>
            <w:tcBorders>
              <w:top w:val="single" w:sz="6" w:space="0" w:color="000000"/>
              <w:left w:val="single" w:sz="6" w:space="0" w:color="000000"/>
              <w:bottom w:val="single" w:sz="6" w:space="0" w:color="000000"/>
              <w:right w:val="single" w:sz="6" w:space="0" w:color="000000"/>
            </w:tcBorders>
          </w:tcPr>
          <w:p>
            <w:pPr/>
          </w:p>
        </w:tc>
        <w:tc>
          <w:tcPr>
            <w:tcW w:w="2150" w:type="dxa"/>
            <w:tcBorders>
              <w:top w:val="single" w:sz="6" w:space="0" w:color="000000"/>
              <w:left w:val="single" w:sz="6" w:space="0" w:color="000000"/>
              <w:bottom w:val="single" w:sz="6" w:space="0" w:color="000000"/>
              <w:right w:val="nil" w:sz="6" w:space="0" w:color="auto"/>
            </w:tcBorders>
          </w:tcPr>
          <w:p>
            <w:pPr/>
          </w:p>
        </w:tc>
      </w:tr>
      <w:tr>
        <w:trPr>
          <w:trHeight w:val="491" w:hRule="exact"/>
        </w:trPr>
        <w:tc>
          <w:tcPr>
            <w:tcW w:w="1651"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广州市华立</w:t>
            </w:r>
            <w:r>
              <w:rPr>
                <w:rFonts w:ascii="宋体" w:hAnsi="宋体" w:cs="宋体" w:eastAsia="宋体" w:hint="default"/>
                <w:spacing w:val="-59"/>
                <w:sz w:val="18"/>
                <w:szCs w:val="18"/>
              </w:rPr>
              <w:t> </w:t>
            </w:r>
            <w:r>
              <w:rPr>
                <w:rFonts w:ascii="宋体" w:hAnsi="宋体" w:cs="宋体" w:eastAsia="宋体" w:hint="default"/>
                <w:spacing w:val="13"/>
                <w:sz w:val="18"/>
                <w:szCs w:val="18"/>
              </w:rPr>
              <w:t>健药</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业有限公司</w:t>
            </w:r>
          </w:p>
        </w:tc>
        <w:tc>
          <w:tcPr>
            <w:tcW w:w="14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34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101"/>
              <w:jc w:val="right"/>
              <w:rPr>
                <w:rFonts w:ascii="Century Gothic" w:hAnsi="Century Gothic" w:cs="Century Gothic" w:eastAsia="Century Gothic" w:hint="default"/>
                <w:sz w:val="18"/>
                <w:szCs w:val="18"/>
              </w:rPr>
            </w:pPr>
            <w:r>
              <w:rPr>
                <w:rFonts w:ascii="Century Gothic"/>
                <w:spacing w:val="-1"/>
                <w:w w:val="95"/>
                <w:sz w:val="18"/>
              </w:rPr>
              <w:t>732967725-X</w:t>
            </w:r>
            <w:r>
              <w:rPr>
                <w:rFonts w:ascii="Century Gothic"/>
                <w:sz w:val="18"/>
              </w:rPr>
            </w:r>
          </w:p>
        </w:tc>
        <w:tc>
          <w:tcPr>
            <w:tcW w:w="12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2,110,346.58</w:t>
            </w:r>
          </w:p>
        </w:tc>
        <w:tc>
          <w:tcPr>
            <w:tcW w:w="1262" w:type="dxa"/>
            <w:tcBorders>
              <w:top w:val="single" w:sz="6" w:space="0" w:color="000000"/>
              <w:left w:val="single" w:sz="6" w:space="0" w:color="000000"/>
              <w:bottom w:val="single" w:sz="12" w:space="0" w:color="000000"/>
              <w:right w:val="single" w:sz="6" w:space="0" w:color="000000"/>
            </w:tcBorders>
          </w:tcPr>
          <w:p>
            <w:pPr/>
          </w:p>
        </w:tc>
        <w:tc>
          <w:tcPr>
            <w:tcW w:w="2150" w:type="dxa"/>
            <w:tcBorders>
              <w:top w:val="single" w:sz="6" w:space="0" w:color="000000"/>
              <w:left w:val="single" w:sz="6" w:space="0" w:color="000000"/>
              <w:bottom w:val="single" w:sz="12" w:space="0" w:color="000000"/>
              <w:right w:val="nil" w:sz="6" w:space="0" w:color="auto"/>
            </w:tcBorders>
          </w:tcPr>
          <w:p>
            <w:pPr/>
          </w:p>
        </w:tc>
      </w:tr>
    </w:tbl>
    <w:p>
      <w:pPr>
        <w:pStyle w:val="Heading4"/>
        <w:spacing w:line="240" w:lineRule="auto" w:before="94"/>
        <w:ind w:right="152"/>
        <w:jc w:val="left"/>
        <w:rPr>
          <w:rFonts w:ascii="宋体" w:hAnsi="宋体" w:cs="宋体" w:eastAsia="宋体" w:hint="default"/>
          <w:b w:val="0"/>
          <w:bCs w:val="0"/>
        </w:rPr>
      </w:pPr>
      <w:r>
        <w:rPr>
          <w:rFonts w:ascii="Century Gothic" w:hAnsi="Century Gothic" w:cs="Century Gothic" w:eastAsia="Century Gothic" w:hint="default"/>
        </w:rPr>
        <w:t>4.</w:t>
      </w:r>
      <w:r>
        <w:rPr>
          <w:rFonts w:ascii="Century Gothic" w:hAnsi="Century Gothic" w:cs="Century Gothic" w:eastAsia="Century Gothic" w:hint="default"/>
          <w:spacing w:val="12"/>
        </w:rPr>
        <w:t> </w:t>
      </w:r>
      <w:r>
        <w:rPr>
          <w:rFonts w:ascii="宋体" w:hAnsi="宋体" w:cs="宋体" w:eastAsia="宋体" w:hint="default"/>
        </w:rPr>
        <w:t>其他说明</w:t>
      </w:r>
      <w:r>
        <w:rPr>
          <w:rFonts w:ascii="宋体" w:hAnsi="宋体" w:cs="宋体" w:eastAsia="宋体" w:hint="default"/>
          <w:b w:val="0"/>
          <w:bCs w:val="0"/>
        </w:rPr>
      </w:r>
    </w:p>
    <w:p>
      <w:pPr>
        <w:pStyle w:val="BodyText"/>
        <w:spacing w:line="336" w:lineRule="auto"/>
        <w:ind w:right="203" w:firstLine="420"/>
        <w:jc w:val="left"/>
      </w:pPr>
      <w:r>
        <w:rPr/>
        <w:t>子公司美联制药拥有华立美联</w:t>
      </w:r>
      <w:r>
        <w:rPr>
          <w:spacing w:val="-29"/>
        </w:rPr>
        <w:t> </w:t>
      </w:r>
      <w:r>
        <w:rPr>
          <w:rFonts w:ascii="Century Gothic" w:hAnsi="Century Gothic" w:cs="Century Gothic" w:eastAsia="Century Gothic" w:hint="default"/>
          <w:spacing w:val="-3"/>
        </w:rPr>
        <w:t>100.00%</w:t>
      </w:r>
      <w:r>
        <w:rPr>
          <w:spacing w:val="-3"/>
        </w:rPr>
        <w:t>表决权但未纳入合并财务报表范围，其原因是公司对其不</w:t>
      </w:r>
      <w:r>
        <w:rPr/>
        <w:t> 具有实质控制权。公司董事会已审议通过注销华立美联，但目前尚未完善注销手续。</w:t>
      </w:r>
    </w:p>
    <w:p>
      <w:pPr>
        <w:spacing w:line="357" w:lineRule="auto" w:before="51"/>
        <w:ind w:left="558" w:right="152"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78"/>
          <w:sz w:val="21"/>
          <w:szCs w:val="21"/>
        </w:rPr>
        <w:t> </w:t>
      </w:r>
      <w:r>
        <w:rPr>
          <w:rFonts w:ascii="宋体" w:hAnsi="宋体" w:cs="宋体" w:eastAsia="宋体" w:hint="default"/>
          <w:b/>
          <w:bCs/>
          <w:sz w:val="21"/>
          <w:szCs w:val="21"/>
        </w:rPr>
        <w:t>合并范围发生变更的说明</w:t>
      </w:r>
      <w:r>
        <w:rPr>
          <w:rFonts w:ascii="宋体" w:hAnsi="宋体" w:cs="宋体" w:eastAsia="宋体" w:hint="default"/>
          <w:b/>
          <w:bCs/>
          <w:w w:val="99"/>
          <w:sz w:val="21"/>
          <w:szCs w:val="21"/>
        </w:rPr>
        <w:t> </w:t>
      </w:r>
      <w:r>
        <w:rPr>
          <w:rFonts w:ascii="宋体" w:hAnsi="宋体" w:cs="宋体" w:eastAsia="宋体" w:hint="default"/>
          <w:spacing w:val="-2"/>
          <w:sz w:val="21"/>
          <w:szCs w:val="21"/>
        </w:rPr>
        <w:t>本年新纳入合并范围的公司为杭州蓝创电力科技有限公司，期末不再纳入合并范围的公司为北京</w:t>
      </w:r>
    </w:p>
    <w:p>
      <w:pPr>
        <w:pStyle w:val="BodyText"/>
        <w:spacing w:line="357" w:lineRule="auto" w:before="31"/>
        <w:ind w:right="152"/>
        <w:jc w:val="left"/>
      </w:pPr>
      <w:r>
        <w:rPr>
          <w:spacing w:val="-2"/>
        </w:rPr>
        <w:t>华立九州医药有限公司、北京华立永正医药有限责任公司、广州华立万特医药有限公司、四川同人泰</w:t>
      </w:r>
      <w:r>
        <w:rPr>
          <w:spacing w:val="-68"/>
        </w:rPr>
        <w:t> </w:t>
      </w:r>
      <w:r>
        <w:rPr>
          <w:spacing w:val="-68"/>
        </w:rPr>
      </w:r>
      <w:r>
        <w:rPr/>
        <w:t>药业有限公司。</w:t>
      </w:r>
    </w:p>
    <w:p>
      <w:pPr>
        <w:pStyle w:val="Heading4"/>
        <w:spacing w:line="240" w:lineRule="auto" w:before="32"/>
        <w:ind w:right="152"/>
        <w:jc w:val="left"/>
        <w:rPr>
          <w:rFonts w:ascii="宋体" w:hAnsi="宋体" w:cs="宋体" w:eastAsia="宋体" w:hint="default"/>
          <w:b w:val="0"/>
          <w:bCs w:val="0"/>
        </w:rPr>
      </w:pPr>
      <w:r>
        <w:rPr>
          <w:rFonts w:ascii="宋体" w:hAnsi="宋体" w:cs="宋体" w:eastAsia="宋体" w:hint="default"/>
        </w:rPr>
        <w:t>（三）</w:t>
      </w:r>
      <w:r>
        <w:rPr>
          <w:rFonts w:ascii="宋体" w:hAnsi="宋体" w:cs="宋体" w:eastAsia="宋体" w:hint="default"/>
          <w:spacing w:val="-95"/>
        </w:rPr>
        <w:t> </w:t>
      </w:r>
      <w:r>
        <w:rPr>
          <w:rFonts w:ascii="宋体" w:hAnsi="宋体" w:cs="宋体" w:eastAsia="宋体" w:hint="default"/>
        </w:rPr>
        <w:t>本期新纳入合并范围的主体和本期不再纳入合并范围的主体</w:t>
      </w:r>
      <w:r>
        <w:rPr>
          <w:rFonts w:ascii="宋体" w:hAnsi="宋体" w:cs="宋体" w:eastAsia="宋体" w:hint="default"/>
          <w:b w:val="0"/>
          <w:bCs w:val="0"/>
        </w:rPr>
      </w:r>
    </w:p>
    <w:p>
      <w:pPr>
        <w:pStyle w:val="Heading4"/>
        <w:spacing w:line="240" w:lineRule="auto" w:before="134"/>
        <w:ind w:right="152"/>
        <w:jc w:val="left"/>
        <w:rPr>
          <w:rFonts w:ascii="宋体" w:hAnsi="宋体" w:cs="宋体" w:eastAsia="宋体" w:hint="default"/>
          <w:b w:val="0"/>
          <w:bCs w:val="0"/>
        </w:rPr>
      </w:pP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rFonts w:ascii="宋体" w:hAnsi="宋体" w:cs="宋体" w:eastAsia="宋体" w:hint="default"/>
        </w:rPr>
        <w:t>本年新纳入合并范围的子公司</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tbl>
      <w:tblPr>
        <w:tblW w:w="0" w:type="auto"/>
        <w:jc w:val="left"/>
        <w:tblInd w:w="226" w:type="dxa"/>
        <w:tblLayout w:type="fixed"/>
        <w:tblCellMar>
          <w:top w:w="0" w:type="dxa"/>
          <w:left w:w="0" w:type="dxa"/>
          <w:bottom w:w="0" w:type="dxa"/>
          <w:right w:w="0" w:type="dxa"/>
        </w:tblCellMar>
        <w:tblLook w:val="01E0"/>
      </w:tblPr>
      <w:tblGrid>
        <w:gridCol w:w="3485"/>
        <w:gridCol w:w="2099"/>
        <w:gridCol w:w="1691"/>
        <w:gridCol w:w="1693"/>
      </w:tblGrid>
      <w:tr>
        <w:trPr>
          <w:trHeight w:val="307" w:hRule="exact"/>
        </w:trPr>
        <w:tc>
          <w:tcPr>
            <w:tcW w:w="3485"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099"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变更原因</w:t>
            </w:r>
          </w:p>
        </w:tc>
        <w:tc>
          <w:tcPr>
            <w:tcW w:w="1691"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年末净资产</w:t>
            </w:r>
          </w:p>
        </w:tc>
        <w:tc>
          <w:tcPr>
            <w:tcW w:w="1693"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本年净利润</w:t>
            </w:r>
          </w:p>
        </w:tc>
      </w:tr>
      <w:tr>
        <w:trPr>
          <w:trHeight w:val="307" w:hRule="exact"/>
        </w:trPr>
        <w:tc>
          <w:tcPr>
            <w:tcW w:w="3485" w:type="dxa"/>
            <w:tcBorders>
              <w:top w:val="single" w:sz="6" w:space="0" w:color="000000"/>
              <w:left w:val="nil" w:sz="6" w:space="0" w:color="auto"/>
              <w:bottom w:val="single" w:sz="12"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杭州蓝创电力科技有限公司</w:t>
            </w:r>
          </w:p>
        </w:tc>
        <w:tc>
          <w:tcPr>
            <w:tcW w:w="2099"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新设</w:t>
            </w:r>
          </w:p>
        </w:tc>
        <w:tc>
          <w:tcPr>
            <w:tcW w:w="1691" w:type="dxa"/>
            <w:tcBorders>
              <w:top w:val="single" w:sz="6" w:space="0" w:color="000000"/>
              <w:left w:val="single" w:sz="6" w:space="0" w:color="000000"/>
              <w:bottom w:val="single" w:sz="12" w:space="0" w:color="000000"/>
              <w:right w:val="single" w:sz="6" w:space="0" w:color="000000"/>
            </w:tcBorders>
          </w:tcPr>
          <w:p>
            <w:pPr>
              <w:pStyle w:val="TableParagraph"/>
              <w:spacing w:line="263" w:lineRule="exact"/>
              <w:ind w:left="339" w:right="0"/>
              <w:jc w:val="left"/>
              <w:rPr>
                <w:rFonts w:ascii="宋体" w:hAnsi="宋体" w:cs="宋体" w:eastAsia="宋体" w:hint="default"/>
                <w:sz w:val="21"/>
                <w:szCs w:val="21"/>
              </w:rPr>
            </w:pPr>
            <w:r>
              <w:rPr>
                <w:rFonts w:ascii="Century Gothic" w:hAnsi="Century Gothic" w:cs="Century Gothic" w:eastAsia="Century Gothic" w:hint="default"/>
                <w:sz w:val="21"/>
                <w:szCs w:val="21"/>
              </w:rPr>
              <w:t>29.78</w:t>
            </w:r>
            <w:r>
              <w:rPr>
                <w:rFonts w:ascii="Century Gothic" w:hAnsi="Century Gothic" w:cs="Century Gothic" w:eastAsia="Century Gothic" w:hint="default"/>
                <w:spacing w:val="-9"/>
                <w:sz w:val="21"/>
                <w:szCs w:val="21"/>
              </w:rPr>
              <w:t> </w:t>
            </w:r>
            <w:r>
              <w:rPr>
                <w:rFonts w:ascii="宋体" w:hAnsi="宋体" w:cs="宋体" w:eastAsia="宋体" w:hint="default"/>
                <w:sz w:val="21"/>
                <w:szCs w:val="21"/>
              </w:rPr>
              <w:t>万元</w:t>
            </w:r>
          </w:p>
        </w:tc>
        <w:tc>
          <w:tcPr>
            <w:tcW w:w="1693" w:type="dxa"/>
            <w:tcBorders>
              <w:top w:val="single" w:sz="6" w:space="0" w:color="000000"/>
              <w:left w:val="single" w:sz="6" w:space="0" w:color="000000"/>
              <w:bottom w:val="single" w:sz="12" w:space="0" w:color="000000"/>
              <w:right w:val="nil" w:sz="6" w:space="0" w:color="auto"/>
            </w:tcBorders>
          </w:tcPr>
          <w:p>
            <w:pPr>
              <w:pStyle w:val="TableParagraph"/>
              <w:spacing w:line="263" w:lineRule="exact"/>
              <w:ind w:right="5"/>
              <w:jc w:val="center"/>
              <w:rPr>
                <w:rFonts w:ascii="宋体" w:hAnsi="宋体" w:cs="宋体" w:eastAsia="宋体" w:hint="default"/>
                <w:sz w:val="21"/>
                <w:szCs w:val="21"/>
              </w:rPr>
            </w:pPr>
            <w:r>
              <w:rPr>
                <w:rFonts w:ascii="Century Gothic" w:hAnsi="Century Gothic" w:cs="Century Gothic" w:eastAsia="Century Gothic" w:hint="default"/>
                <w:sz w:val="21"/>
                <w:szCs w:val="21"/>
              </w:rPr>
              <w:t>-0.22</w:t>
            </w:r>
            <w:r>
              <w:rPr>
                <w:rFonts w:ascii="Century Gothic" w:hAnsi="Century Gothic" w:cs="Century Gothic" w:eastAsia="Century Gothic" w:hint="default"/>
                <w:spacing w:val="-9"/>
                <w:sz w:val="21"/>
                <w:szCs w:val="21"/>
              </w:rPr>
              <w:t> </w:t>
            </w:r>
            <w:r>
              <w:rPr>
                <w:rFonts w:ascii="宋体" w:hAnsi="宋体" w:cs="宋体" w:eastAsia="宋体" w:hint="default"/>
                <w:sz w:val="21"/>
                <w:szCs w:val="21"/>
              </w:rPr>
              <w:t>万元</w:t>
            </w:r>
          </w:p>
        </w:tc>
      </w:tr>
    </w:tbl>
    <w:p>
      <w:pPr>
        <w:spacing w:line="240" w:lineRule="auto" w:before="6"/>
        <w:rPr>
          <w:rFonts w:ascii="宋体" w:hAnsi="宋体" w:cs="宋体" w:eastAsia="宋体" w:hint="default"/>
          <w:b/>
          <w:bCs/>
          <w:sz w:val="8"/>
          <w:szCs w:val="8"/>
        </w:rPr>
      </w:pPr>
    </w:p>
    <w:p>
      <w:pPr>
        <w:pStyle w:val="Heading4"/>
        <w:spacing w:line="240" w:lineRule="auto"/>
        <w:ind w:right="152"/>
        <w:jc w:val="left"/>
        <w:rPr>
          <w:rFonts w:ascii="宋体" w:hAnsi="宋体" w:cs="宋体" w:eastAsia="宋体" w:hint="default"/>
          <w:b w:val="0"/>
          <w:bCs w:val="0"/>
        </w:rPr>
      </w:pPr>
      <w:r>
        <w:rPr>
          <w:rFonts w:ascii="Century Gothic" w:hAnsi="Century Gothic" w:cs="Century Gothic" w:eastAsia="Century Gothic" w:hint="default"/>
        </w:rPr>
        <w:t>2.</w:t>
      </w:r>
      <w:r>
        <w:rPr>
          <w:rFonts w:ascii="Century Gothic" w:hAnsi="Century Gothic" w:cs="Century Gothic" w:eastAsia="Century Gothic" w:hint="default"/>
          <w:spacing w:val="6"/>
        </w:rPr>
        <w:t> </w:t>
      </w:r>
      <w:r>
        <w:rPr>
          <w:rFonts w:ascii="宋体" w:hAnsi="宋体" w:cs="宋体" w:eastAsia="宋体" w:hint="default"/>
        </w:rPr>
        <w:t>本年不再纳入合并范围的子公司</w:t>
      </w:r>
      <w:r>
        <w:rPr>
          <w:rFonts w:ascii="宋体" w:hAnsi="宋体" w:cs="宋体" w:eastAsia="宋体" w:hint="default"/>
          <w:b w:val="0"/>
          <w:bCs w:val="0"/>
        </w:rPr>
      </w:r>
    </w:p>
    <w:p>
      <w:pPr>
        <w:spacing w:line="240" w:lineRule="auto" w:before="2"/>
        <w:rPr>
          <w:rFonts w:ascii="宋体" w:hAnsi="宋体" w:cs="宋体" w:eastAsia="宋体" w:hint="default"/>
          <w:b/>
          <w:bCs/>
          <w:sz w:val="16"/>
          <w:szCs w:val="16"/>
        </w:rPr>
      </w:pPr>
    </w:p>
    <w:tbl>
      <w:tblPr>
        <w:tblW w:w="0" w:type="auto"/>
        <w:jc w:val="left"/>
        <w:tblInd w:w="226" w:type="dxa"/>
        <w:tblLayout w:type="fixed"/>
        <w:tblCellMar>
          <w:top w:w="0" w:type="dxa"/>
          <w:left w:w="0" w:type="dxa"/>
          <w:bottom w:w="0" w:type="dxa"/>
          <w:right w:w="0" w:type="dxa"/>
        </w:tblCellMar>
        <w:tblLook w:val="01E0"/>
      </w:tblPr>
      <w:tblGrid>
        <w:gridCol w:w="3482"/>
        <w:gridCol w:w="2090"/>
        <w:gridCol w:w="1634"/>
        <w:gridCol w:w="1763"/>
      </w:tblGrid>
      <w:tr>
        <w:trPr>
          <w:trHeight w:val="568" w:hRule="exact"/>
        </w:trPr>
        <w:tc>
          <w:tcPr>
            <w:tcW w:w="348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0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变更原因</w:t>
            </w:r>
          </w:p>
        </w:tc>
        <w:tc>
          <w:tcPr>
            <w:tcW w:w="163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处置日净资产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763"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年初至处置日净</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利润（万元）</w:t>
            </w:r>
          </w:p>
        </w:tc>
      </w:tr>
      <w:tr>
        <w:trPr>
          <w:trHeight w:val="299" w:hRule="exact"/>
        </w:trPr>
        <w:tc>
          <w:tcPr>
            <w:tcW w:w="348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北京华立九州医药有限公司</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股权转让</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Century Gothic" w:hAnsi="Century Gothic" w:cs="Century Gothic" w:eastAsia="Century Gothic" w:hint="default"/>
                <w:sz w:val="21"/>
                <w:szCs w:val="21"/>
              </w:rPr>
            </w:pPr>
            <w:r>
              <w:rPr>
                <w:rFonts w:ascii="Century Gothic"/>
                <w:sz w:val="21"/>
              </w:rPr>
              <w:t>5,746.51</w:t>
            </w:r>
          </w:p>
        </w:tc>
        <w:tc>
          <w:tcPr>
            <w:tcW w:w="17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left="519" w:right="0"/>
              <w:jc w:val="left"/>
              <w:rPr>
                <w:rFonts w:ascii="Century Gothic" w:hAnsi="Century Gothic" w:cs="Century Gothic" w:eastAsia="Century Gothic" w:hint="default"/>
                <w:sz w:val="21"/>
                <w:szCs w:val="21"/>
              </w:rPr>
            </w:pPr>
            <w:r>
              <w:rPr>
                <w:rFonts w:ascii="Century Gothic"/>
                <w:sz w:val="21"/>
              </w:rPr>
              <w:t>-130.49</w:t>
            </w:r>
          </w:p>
        </w:tc>
      </w:tr>
      <w:tr>
        <w:trPr>
          <w:trHeight w:val="299" w:hRule="exact"/>
        </w:trPr>
        <w:tc>
          <w:tcPr>
            <w:tcW w:w="348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北京华立永正医药有限责任公司</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股权转让</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Century Gothic" w:hAnsi="Century Gothic" w:cs="Century Gothic" w:eastAsia="Century Gothic" w:hint="default"/>
                <w:sz w:val="21"/>
                <w:szCs w:val="21"/>
              </w:rPr>
            </w:pPr>
            <w:r>
              <w:rPr>
                <w:rFonts w:ascii="Century Gothic"/>
                <w:sz w:val="21"/>
              </w:rPr>
              <w:t>5,111.00</w:t>
            </w:r>
          </w:p>
        </w:tc>
        <w:tc>
          <w:tcPr>
            <w:tcW w:w="17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left="578" w:right="0"/>
              <w:jc w:val="left"/>
              <w:rPr>
                <w:rFonts w:ascii="Century Gothic" w:hAnsi="Century Gothic" w:cs="Century Gothic" w:eastAsia="Century Gothic" w:hint="default"/>
                <w:sz w:val="21"/>
                <w:szCs w:val="21"/>
              </w:rPr>
            </w:pPr>
            <w:r>
              <w:rPr>
                <w:rFonts w:ascii="Century Gothic"/>
                <w:sz w:val="21"/>
              </w:rPr>
              <w:t>-23.25</w:t>
            </w:r>
          </w:p>
        </w:tc>
      </w:tr>
      <w:tr>
        <w:trPr>
          <w:trHeight w:val="300" w:hRule="exact"/>
        </w:trPr>
        <w:tc>
          <w:tcPr>
            <w:tcW w:w="348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广州华立万特医药有限公司</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股权转让</w:t>
            </w:r>
          </w:p>
        </w:tc>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Century Gothic" w:hAnsi="Century Gothic" w:cs="Century Gothic" w:eastAsia="Century Gothic" w:hint="default"/>
                <w:sz w:val="21"/>
                <w:szCs w:val="21"/>
              </w:rPr>
            </w:pPr>
            <w:r>
              <w:rPr>
                <w:rFonts w:ascii="Century Gothic"/>
                <w:sz w:val="21"/>
              </w:rPr>
              <w:t>1,694.57</w:t>
            </w:r>
          </w:p>
        </w:tc>
        <w:tc>
          <w:tcPr>
            <w:tcW w:w="17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left="519" w:right="0"/>
              <w:jc w:val="left"/>
              <w:rPr>
                <w:rFonts w:ascii="Century Gothic" w:hAnsi="Century Gothic" w:cs="Century Gothic" w:eastAsia="Century Gothic" w:hint="default"/>
                <w:sz w:val="21"/>
                <w:szCs w:val="21"/>
              </w:rPr>
            </w:pPr>
            <w:r>
              <w:rPr>
                <w:rFonts w:ascii="Century Gothic"/>
                <w:sz w:val="21"/>
              </w:rPr>
              <w:t>-634.18</w:t>
            </w:r>
          </w:p>
        </w:tc>
      </w:tr>
      <w:tr>
        <w:trPr>
          <w:trHeight w:val="307" w:hRule="exact"/>
        </w:trPr>
        <w:tc>
          <w:tcPr>
            <w:tcW w:w="3482" w:type="dxa"/>
            <w:tcBorders>
              <w:top w:val="single" w:sz="6" w:space="0" w:color="000000"/>
              <w:left w:val="nil" w:sz="6" w:space="0" w:color="auto"/>
              <w:bottom w:val="single" w:sz="12"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四川同人泰药业有限公司</w:t>
            </w:r>
          </w:p>
        </w:tc>
        <w:tc>
          <w:tcPr>
            <w:tcW w:w="2090"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股权转让</w:t>
            </w:r>
          </w:p>
        </w:tc>
        <w:tc>
          <w:tcPr>
            <w:tcW w:w="16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center"/>
              <w:rPr>
                <w:rFonts w:ascii="Century Gothic" w:hAnsi="Century Gothic" w:cs="Century Gothic" w:eastAsia="Century Gothic" w:hint="default"/>
                <w:sz w:val="21"/>
                <w:szCs w:val="21"/>
              </w:rPr>
            </w:pPr>
            <w:r>
              <w:rPr>
                <w:rFonts w:ascii="Century Gothic"/>
                <w:sz w:val="21"/>
              </w:rPr>
              <w:t>768.58</w:t>
            </w:r>
          </w:p>
        </w:tc>
        <w:tc>
          <w:tcPr>
            <w:tcW w:w="17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left="519" w:right="0"/>
              <w:jc w:val="left"/>
              <w:rPr>
                <w:rFonts w:ascii="Century Gothic" w:hAnsi="Century Gothic" w:cs="Century Gothic" w:eastAsia="Century Gothic" w:hint="default"/>
                <w:sz w:val="21"/>
                <w:szCs w:val="21"/>
              </w:rPr>
            </w:pPr>
            <w:r>
              <w:rPr>
                <w:rFonts w:ascii="Century Gothic"/>
                <w:sz w:val="21"/>
              </w:rPr>
              <w:t>-154.18</w:t>
            </w:r>
          </w:p>
        </w:tc>
      </w:tr>
    </w:tbl>
    <w:p>
      <w:pPr>
        <w:pStyle w:val="Heading4"/>
        <w:spacing w:line="240" w:lineRule="auto" w:before="86"/>
        <w:ind w:right="152"/>
        <w:jc w:val="left"/>
        <w:rPr>
          <w:rFonts w:ascii="宋体" w:hAnsi="宋体" w:cs="宋体" w:eastAsia="宋体" w:hint="default"/>
          <w:b w:val="0"/>
          <w:bCs w:val="0"/>
        </w:rPr>
      </w:pPr>
      <w:r>
        <w:rPr>
          <w:rFonts w:ascii="宋体" w:hAnsi="宋体" w:cs="宋体" w:eastAsia="宋体" w:hint="default"/>
        </w:rPr>
        <w:t>（四）</w:t>
      </w:r>
      <w:r>
        <w:rPr>
          <w:rFonts w:ascii="宋体" w:hAnsi="宋体" w:cs="宋体" w:eastAsia="宋体" w:hint="default"/>
          <w:spacing w:val="-90"/>
        </w:rPr>
        <w:t> </w:t>
      </w:r>
      <w:r>
        <w:rPr>
          <w:rFonts w:ascii="宋体" w:hAnsi="宋体" w:cs="宋体" w:eastAsia="宋体" w:hint="default"/>
        </w:rPr>
        <w:t>境外经营实体主要报表项目的折算汇率</w:t>
      </w:r>
      <w:r>
        <w:rPr>
          <w:rFonts w:ascii="宋体" w:hAnsi="宋体" w:cs="宋体" w:eastAsia="宋体" w:hint="default"/>
          <w:b w:val="0"/>
          <w:bCs w:val="0"/>
        </w:rPr>
      </w:r>
    </w:p>
    <w:p>
      <w:pPr>
        <w:pStyle w:val="BodyText"/>
        <w:spacing w:line="336" w:lineRule="auto" w:before="134"/>
        <w:ind w:right="101" w:firstLine="525"/>
        <w:jc w:val="left"/>
      </w:pPr>
      <w:r>
        <w:rPr>
          <w:rFonts w:ascii="Century Gothic" w:hAnsi="Century Gothic" w:cs="Century Gothic" w:eastAsia="Century Gothic" w:hint="default"/>
        </w:rPr>
        <w:t>HOLLEYPHARMA TANZANIA</w:t>
      </w:r>
      <w:r>
        <w:rPr>
          <w:rFonts w:ascii="Century Gothic" w:hAnsi="Century Gothic" w:cs="Century Gothic" w:eastAsia="Century Gothic" w:hint="default"/>
          <w:spacing w:val="-39"/>
        </w:rPr>
        <w:t> </w:t>
      </w:r>
      <w:r>
        <w:rPr>
          <w:rFonts w:ascii="Century Gothic" w:hAnsi="Century Gothic" w:cs="Century Gothic" w:eastAsia="Century Gothic" w:hint="default"/>
        </w:rPr>
        <w:t>LTD</w:t>
      </w:r>
      <w:r>
        <w:rPr/>
        <w:t>（华立药业坦桑尼亚有限公司）采用坦先令作为记账本位币， 期末对资产负债表中的资产和负债项目采用</w:t>
      </w:r>
      <w:r>
        <w:rPr>
          <w:spacing w:val="-54"/>
        </w:rPr>
        <w:t> </w:t>
      </w:r>
      <w:r>
        <w:rPr>
          <w:rFonts w:ascii="Century Gothic" w:hAnsi="Century Gothic" w:cs="Century Gothic" w:eastAsia="Century Gothic" w:hint="default"/>
        </w:rPr>
        <w:t>2009</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t>日汇率</w:t>
      </w:r>
      <w:r>
        <w:rPr>
          <w:spacing w:val="-54"/>
        </w:rPr>
        <w:t> </w:t>
      </w:r>
      <w:r>
        <w:rPr>
          <w:rFonts w:ascii="Century Gothic" w:hAnsi="Century Gothic" w:cs="Century Gothic" w:eastAsia="Century Gothic" w:hint="default"/>
        </w:rPr>
        <w:t>0.0052</w:t>
      </w:r>
      <w:r>
        <w:rPr>
          <w:rFonts w:ascii="Century Gothic" w:hAnsi="Century Gothic" w:cs="Century Gothic" w:eastAsia="Century Gothic" w:hint="default"/>
          <w:spacing w:val="-7"/>
        </w:rPr>
        <w:t> </w:t>
      </w:r>
      <w:r>
        <w:rPr/>
        <w:t>折算，利润表中的收入</w:t>
      </w:r>
    </w:p>
    <w:p>
      <w:pPr>
        <w:pStyle w:val="BodyText"/>
        <w:spacing w:line="338" w:lineRule="auto" w:before="17"/>
        <w:ind w:right="1191"/>
        <w:jc w:val="left"/>
        <w:rPr>
          <w:rFonts w:ascii="宋体" w:hAnsi="宋体" w:cs="宋体" w:eastAsia="宋体" w:hint="default"/>
        </w:rPr>
      </w:pPr>
      <w:r>
        <w:rPr/>
        <w:t>和费用项目，采用</w:t>
      </w:r>
      <w:r>
        <w:rPr>
          <w:spacing w:val="-54"/>
        </w:rPr>
        <w:t> </w:t>
      </w:r>
      <w:r>
        <w:rPr>
          <w:rFonts w:ascii="Century Gothic" w:hAnsi="Century Gothic" w:cs="Century Gothic" w:eastAsia="Century Gothic" w:hint="default"/>
        </w:rPr>
        <w:t>2009</w:t>
      </w:r>
      <w:r>
        <w:rPr>
          <w:rFonts w:ascii="Century Gothic" w:hAnsi="Century Gothic" w:cs="Century Gothic" w:eastAsia="Century Gothic" w:hint="default"/>
          <w:spacing w:val="-8"/>
        </w:rPr>
        <w:t> </w:t>
      </w:r>
      <w:r>
        <w:rPr/>
        <w:t>年</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日与</w:t>
      </w:r>
      <w:r>
        <w:rPr>
          <w:spacing w:val="-54"/>
        </w:rPr>
        <w:t> </w:t>
      </w:r>
      <w:r>
        <w:rPr>
          <w:rFonts w:ascii="Century Gothic" w:hAnsi="Century Gothic" w:cs="Century Gothic" w:eastAsia="Century Gothic" w:hint="default"/>
        </w:rPr>
        <w:t>2009</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t>日的平均汇率</w:t>
      </w:r>
      <w:r>
        <w:rPr>
          <w:spacing w:val="-54"/>
        </w:rPr>
        <w:t> </w:t>
      </w:r>
      <w:r>
        <w:rPr>
          <w:rFonts w:ascii="Century Gothic" w:hAnsi="Century Gothic" w:cs="Century Gothic" w:eastAsia="Century Gothic" w:hint="default"/>
        </w:rPr>
        <w:t>0.0053</w:t>
      </w:r>
      <w:r>
        <w:rPr>
          <w:rFonts w:ascii="Century Gothic" w:hAnsi="Century Gothic" w:cs="Century Gothic" w:eastAsia="Century Gothic" w:hint="default"/>
          <w:spacing w:val="-7"/>
        </w:rPr>
        <w:t> </w:t>
      </w:r>
      <w:r>
        <w:rPr/>
        <w:t>折算。 </w:t>
      </w:r>
      <w:r>
        <w:rPr>
          <w:rFonts w:ascii="宋体" w:hAnsi="宋体" w:cs="宋体" w:eastAsia="宋体" w:hint="default"/>
          <w:b/>
          <w:bCs/>
        </w:rPr>
        <w:t>五、</w:t>
      </w:r>
      <w:r>
        <w:rPr>
          <w:rFonts w:ascii="宋体" w:hAnsi="宋体" w:cs="宋体" w:eastAsia="宋体" w:hint="default"/>
          <w:b/>
          <w:bCs/>
          <w:spacing w:val="-54"/>
        </w:rPr>
        <w:t> </w:t>
      </w:r>
      <w:r>
        <w:rPr>
          <w:rFonts w:ascii="宋体" w:hAnsi="宋体" w:cs="宋体" w:eastAsia="宋体" w:hint="default"/>
          <w:b/>
          <w:bCs/>
        </w:rPr>
        <w:t>合并财务报表项目注释</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66</w:t>
      </w:r>
    </w:p>
    <w:p>
      <w:pPr>
        <w:spacing w:after="0"/>
        <w:jc w:val="center"/>
        <w:rPr>
          <w:rFonts w:ascii="Times New Roman" w:hAnsi="Times New Roman" w:cs="Times New Roman" w:eastAsia="Times New Roman" w:hint="default"/>
          <w:sz w:val="18"/>
          <w:szCs w:val="18"/>
        </w:rPr>
        <w:sectPr>
          <w:pgSz w:w="11910" w:h="16840"/>
          <w:pgMar w:top="780" w:bottom="280" w:left="1160" w:right="120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70.860001pt;margin-top:-9.926001pt;width:84.0pt;height:23.94pt;mso-position-horizontal-relative:page;mso-position-vertical-relative:paragraph;z-index:4864"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Heading4"/>
        <w:tabs>
          <w:tab w:pos="1413" w:val="left" w:leader="none"/>
        </w:tabs>
        <w:spacing w:line="240" w:lineRule="auto" w:before="0"/>
        <w:ind w:right="0"/>
        <w:jc w:val="left"/>
        <w:rPr>
          <w:rFonts w:ascii="宋体" w:hAnsi="宋体" w:cs="宋体" w:eastAsia="宋体" w:hint="default"/>
          <w:b w:val="0"/>
          <w:bCs w:val="0"/>
        </w:rPr>
      </w:pPr>
      <w:r>
        <w:rPr>
          <w:rFonts w:ascii="宋体" w:hAnsi="宋体" w:cs="宋体" w:eastAsia="宋体" w:hint="default"/>
          <w:w w:val="95"/>
        </w:rPr>
        <w:t>（一）</w:t>
        <w:tab/>
      </w:r>
      <w:r>
        <w:rPr>
          <w:rFonts w:ascii="宋体" w:hAnsi="宋体" w:cs="宋体" w:eastAsia="宋体" w:hint="default"/>
        </w:rPr>
        <w:t>货币资金</w:t>
      </w:r>
      <w:r>
        <w:rPr>
          <w:rFonts w:ascii="宋体" w:hAnsi="宋体" w:cs="宋体" w:eastAsia="宋体" w:hint="default"/>
          <w:b w:val="0"/>
          <w:bCs w:val="0"/>
        </w:rPr>
      </w:r>
    </w:p>
    <w:p>
      <w:pPr>
        <w:spacing w:line="240" w:lineRule="auto" w:before="11"/>
        <w:rPr>
          <w:rFonts w:ascii="宋体" w:hAnsi="宋体" w:cs="宋体" w:eastAsia="宋体" w:hint="default"/>
          <w:b/>
          <w:bCs/>
          <w:sz w:val="12"/>
          <w:szCs w:val="12"/>
        </w:rPr>
      </w:pPr>
    </w:p>
    <w:tbl>
      <w:tblPr>
        <w:tblW w:w="0" w:type="auto"/>
        <w:jc w:val="left"/>
        <w:tblInd w:w="202" w:type="dxa"/>
        <w:tblLayout w:type="fixed"/>
        <w:tblCellMar>
          <w:top w:w="0" w:type="dxa"/>
          <w:left w:w="0" w:type="dxa"/>
          <w:bottom w:w="0" w:type="dxa"/>
          <w:right w:w="0" w:type="dxa"/>
        </w:tblCellMar>
        <w:tblLook w:val="01E0"/>
      </w:tblPr>
      <w:tblGrid>
        <w:gridCol w:w="590"/>
        <w:gridCol w:w="1672"/>
        <w:gridCol w:w="856"/>
        <w:gridCol w:w="1686"/>
        <w:gridCol w:w="1672"/>
        <w:gridCol w:w="856"/>
        <w:gridCol w:w="1686"/>
      </w:tblGrid>
      <w:tr>
        <w:trPr>
          <w:trHeight w:val="363" w:hRule="exact"/>
        </w:trPr>
        <w:tc>
          <w:tcPr>
            <w:tcW w:w="590" w:type="dxa"/>
            <w:vMerge w:val="restart"/>
            <w:tcBorders>
              <w:top w:val="single" w:sz="12" w:space="0" w:color="000000"/>
              <w:left w:val="nil" w:sz="6" w:space="0" w:color="auto"/>
              <w:right w:val="single" w:sz="6" w:space="0" w:color="000000"/>
            </w:tcBorders>
          </w:tcPr>
          <w:p>
            <w:pPr>
              <w:pStyle w:val="TableParagraph"/>
              <w:spacing w:line="240" w:lineRule="auto" w:before="24"/>
              <w:ind w:left="196" w:right="174"/>
              <w:jc w:val="left"/>
              <w:rPr>
                <w:rFonts w:ascii="宋体" w:hAnsi="宋体" w:cs="宋体" w:eastAsia="宋体" w:hint="default"/>
                <w:sz w:val="21"/>
                <w:szCs w:val="21"/>
              </w:rPr>
            </w:pPr>
            <w:r>
              <w:rPr>
                <w:rFonts w:ascii="宋体" w:hAnsi="宋体" w:cs="宋体" w:eastAsia="宋体" w:hint="default"/>
                <w:sz w:val="21"/>
                <w:szCs w:val="21"/>
              </w:rPr>
              <w:t>项 目</w:t>
            </w:r>
          </w:p>
        </w:tc>
        <w:tc>
          <w:tcPr>
            <w:tcW w:w="4213"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4213" w:type="dxa"/>
            <w:gridSpan w:val="3"/>
            <w:tcBorders>
              <w:top w:val="single" w:sz="12"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4" w:hRule="exact"/>
        </w:trPr>
        <w:tc>
          <w:tcPr>
            <w:tcW w:w="590" w:type="dxa"/>
            <w:vMerge/>
            <w:tcBorders>
              <w:left w:val="nil" w:sz="6" w:space="0" w:color="auto"/>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原币</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原币</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left="310"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484" w:hRule="exact"/>
        </w:trPr>
        <w:tc>
          <w:tcPr>
            <w:tcW w:w="59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59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Century Gothic" w:hAnsi="Century Gothic" w:cs="Century Gothic" w:eastAsia="Century Gothic" w:hint="default"/>
                <w:sz w:val="21"/>
                <w:szCs w:val="21"/>
              </w:rPr>
            </w:pPr>
            <w:r>
              <w:rPr>
                <w:rFonts w:ascii="Century Gothic"/>
                <w:spacing w:val="-1"/>
                <w:sz w:val="21"/>
              </w:rPr>
              <w:t>931,640.23</w:t>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7"/>
              <w:jc w:val="right"/>
              <w:rPr>
                <w:rFonts w:ascii="Century Gothic" w:hAnsi="Century Gothic" w:cs="Century Gothic" w:eastAsia="Century Gothic" w:hint="default"/>
                <w:sz w:val="21"/>
                <w:szCs w:val="21"/>
              </w:rPr>
            </w:pPr>
            <w:r>
              <w:rPr>
                <w:rFonts w:ascii="Century Gothic"/>
                <w:spacing w:val="-1"/>
                <w:sz w:val="21"/>
              </w:rPr>
              <w:t>1,381,570.93</w:t>
            </w:r>
          </w:p>
        </w:tc>
      </w:tr>
      <w:tr>
        <w:trPr>
          <w:trHeight w:val="355" w:hRule="exact"/>
        </w:trPr>
        <w:tc>
          <w:tcPr>
            <w:tcW w:w="590"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2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955.00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6.8346</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6,527.04</w:t>
            </w:r>
          </w:p>
        </w:tc>
      </w:tr>
      <w:tr>
        <w:trPr>
          <w:trHeight w:val="484" w:hRule="exact"/>
        </w:trPr>
        <w:tc>
          <w:tcPr>
            <w:tcW w:w="59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坦先</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令</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Century Gothic" w:hAnsi="Century Gothic" w:cs="Century Gothic" w:eastAsia="Century Gothic" w:hint="default"/>
                <w:sz w:val="21"/>
                <w:szCs w:val="21"/>
              </w:rPr>
            </w:pPr>
            <w:r>
              <w:rPr>
                <w:rFonts w:ascii="Century Gothic"/>
                <w:spacing w:val="-1"/>
                <w:sz w:val="21"/>
              </w:rPr>
              <w:t>35,444,221.79</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Century Gothic" w:hAnsi="Century Gothic" w:cs="Century Gothic" w:eastAsia="Century Gothic" w:hint="default"/>
                <w:sz w:val="21"/>
                <w:szCs w:val="21"/>
              </w:rPr>
            </w:pPr>
            <w:r>
              <w:rPr>
                <w:rFonts w:ascii="Century Gothic"/>
                <w:spacing w:val="-1"/>
                <w:sz w:val="21"/>
              </w:rPr>
              <w:t>184,284.83</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11,140,606.39</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0.0053</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59,471.68</w:t>
            </w:r>
          </w:p>
        </w:tc>
      </w:tr>
      <w:tr>
        <w:trPr>
          <w:trHeight w:val="482" w:hRule="exact"/>
        </w:trPr>
        <w:tc>
          <w:tcPr>
            <w:tcW w:w="59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现金</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Century Gothic" w:hAnsi="Century Gothic" w:cs="Century Gothic" w:eastAsia="Century Gothic" w:hint="default"/>
                <w:sz w:val="21"/>
                <w:szCs w:val="21"/>
              </w:rPr>
            </w:pPr>
            <w:r>
              <w:rPr>
                <w:rFonts w:ascii="Century Gothic"/>
                <w:spacing w:val="-1"/>
                <w:sz w:val="21"/>
              </w:rPr>
              <w:t>1,115,925.06</w:t>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7"/>
              <w:jc w:val="right"/>
              <w:rPr>
                <w:rFonts w:ascii="Century Gothic" w:hAnsi="Century Gothic" w:cs="Century Gothic" w:eastAsia="Century Gothic" w:hint="default"/>
                <w:sz w:val="21"/>
                <w:szCs w:val="21"/>
              </w:rPr>
            </w:pPr>
            <w:r>
              <w:rPr>
                <w:rFonts w:ascii="Century Gothic"/>
                <w:spacing w:val="-1"/>
                <w:sz w:val="21"/>
              </w:rPr>
              <w:t>1,447,569.65</w:t>
            </w:r>
          </w:p>
        </w:tc>
      </w:tr>
      <w:tr>
        <w:trPr>
          <w:trHeight w:val="718" w:hRule="exact"/>
        </w:trPr>
        <w:tc>
          <w:tcPr>
            <w:tcW w:w="59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40" w:lineRule="auto"/>
              <w:ind w:left="122" w:right="98"/>
              <w:jc w:val="left"/>
              <w:rPr>
                <w:rFonts w:ascii="宋体" w:hAnsi="宋体" w:cs="宋体" w:eastAsia="宋体" w:hint="default"/>
                <w:sz w:val="18"/>
                <w:szCs w:val="18"/>
              </w:rPr>
            </w:pPr>
            <w:r>
              <w:rPr>
                <w:rFonts w:ascii="宋体" w:hAnsi="宋体" w:cs="宋体" w:eastAsia="宋体" w:hint="default"/>
                <w:sz w:val="18"/>
                <w:szCs w:val="18"/>
              </w:rPr>
              <w:t>银行 存款</w:t>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59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Century Gothic" w:hAnsi="Century Gothic" w:cs="Century Gothic" w:eastAsia="Century Gothic" w:hint="default"/>
                <w:sz w:val="21"/>
                <w:szCs w:val="21"/>
              </w:rPr>
            </w:pPr>
            <w:r>
              <w:rPr>
                <w:rFonts w:ascii="Century Gothic"/>
                <w:spacing w:val="-1"/>
                <w:sz w:val="21"/>
              </w:rPr>
              <w:t>370,109,886.60</w:t>
            </w:r>
            <w:r>
              <w:rPr>
                <w:rFonts w:ascii="Century Gothic"/>
                <w:sz w:val="21"/>
              </w:rPr>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270,895,117.42</w:t>
            </w:r>
            <w:r>
              <w:rPr>
                <w:rFonts w:ascii="Century Gothic"/>
                <w:sz w:val="21"/>
              </w:rPr>
            </w:r>
          </w:p>
        </w:tc>
      </w:tr>
      <w:tr>
        <w:trPr>
          <w:trHeight w:val="355" w:hRule="exact"/>
        </w:trPr>
        <w:tc>
          <w:tcPr>
            <w:tcW w:w="590"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2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95,019.61</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6.8282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648,812.93</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143,142.63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6.8346</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978,322.62</w:t>
            </w:r>
          </w:p>
        </w:tc>
      </w:tr>
      <w:tr>
        <w:trPr>
          <w:trHeight w:val="484" w:hRule="exact"/>
        </w:trPr>
        <w:tc>
          <w:tcPr>
            <w:tcW w:w="59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坦先</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令</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Century Gothic" w:hAnsi="Century Gothic" w:cs="Century Gothic" w:eastAsia="Century Gothic" w:hint="default"/>
                <w:sz w:val="21"/>
                <w:szCs w:val="21"/>
              </w:rPr>
            </w:pPr>
            <w:r>
              <w:rPr>
                <w:rFonts w:ascii="Century Gothic"/>
                <w:spacing w:val="-1"/>
                <w:sz w:val="21"/>
              </w:rPr>
              <w:t>232,862,683.86</w:t>
            </w:r>
            <w:r>
              <w:rPr>
                <w:rFonts w:ascii="Century Gothic"/>
                <w:sz w:val="21"/>
              </w:rPr>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Century Gothic" w:hAnsi="Century Gothic" w:cs="Century Gothic" w:eastAsia="Century Gothic" w:hint="default"/>
                <w:sz w:val="21"/>
                <w:szCs w:val="21"/>
              </w:rPr>
            </w:pPr>
            <w:r>
              <w:rPr>
                <w:rFonts w:ascii="Century Gothic"/>
                <w:sz w:val="21"/>
              </w:rPr>
              <w:t>0.0052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Century Gothic" w:hAnsi="Century Gothic" w:cs="Century Gothic" w:eastAsia="Century Gothic" w:hint="default"/>
                <w:sz w:val="21"/>
                <w:szCs w:val="21"/>
              </w:rPr>
            </w:pPr>
            <w:r>
              <w:rPr>
                <w:rFonts w:ascii="Century Gothic"/>
                <w:spacing w:val="-1"/>
                <w:sz w:val="21"/>
              </w:rPr>
              <w:t>1,210,720.90</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225,590,576.59</w:t>
            </w:r>
            <w:r>
              <w:rPr>
                <w:rFonts w:ascii="Century Gothic"/>
                <w:sz w:val="21"/>
              </w:rPr>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0.0053</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7"/>
              <w:jc w:val="right"/>
              <w:rPr>
                <w:rFonts w:ascii="Century Gothic" w:hAnsi="Century Gothic" w:cs="Century Gothic" w:eastAsia="Century Gothic" w:hint="default"/>
                <w:sz w:val="21"/>
                <w:szCs w:val="21"/>
              </w:rPr>
            </w:pPr>
            <w:r>
              <w:rPr>
                <w:rFonts w:ascii="Century Gothic"/>
                <w:spacing w:val="-1"/>
                <w:sz w:val="21"/>
              </w:rPr>
              <w:t>1,204,265.68</w:t>
            </w:r>
          </w:p>
        </w:tc>
      </w:tr>
      <w:tr>
        <w:trPr>
          <w:trHeight w:val="354" w:hRule="exact"/>
        </w:trPr>
        <w:tc>
          <w:tcPr>
            <w:tcW w:w="590"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21"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1,489.97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9.7971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14,597.39</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33,198.69</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9.6590</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320,666.15</w:t>
            </w:r>
          </w:p>
        </w:tc>
      </w:tr>
      <w:tr>
        <w:trPr>
          <w:trHeight w:val="718" w:hRule="exact"/>
        </w:trPr>
        <w:tc>
          <w:tcPr>
            <w:tcW w:w="59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w:t>
            </w:r>
          </w:p>
          <w:p>
            <w:pPr>
              <w:pStyle w:val="TableParagraph"/>
              <w:spacing w:line="240" w:lineRule="auto"/>
              <w:ind w:left="122" w:right="98"/>
              <w:jc w:val="left"/>
              <w:rPr>
                <w:rFonts w:ascii="宋体" w:hAnsi="宋体" w:cs="宋体" w:eastAsia="宋体" w:hint="default"/>
                <w:sz w:val="18"/>
                <w:szCs w:val="18"/>
              </w:rPr>
            </w:pPr>
            <w:r>
              <w:rPr>
                <w:rFonts w:ascii="宋体" w:hAnsi="宋体" w:cs="宋体" w:eastAsia="宋体" w:hint="default"/>
                <w:sz w:val="18"/>
                <w:szCs w:val="18"/>
              </w:rPr>
              <w:t>存款 小计</w:t>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371,984,017.82</w:t>
            </w:r>
            <w:r>
              <w:rPr>
                <w:rFonts w:ascii="Century Gothic"/>
                <w:sz w:val="21"/>
              </w:rPr>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273,398,371.87</w:t>
            </w:r>
            <w:r>
              <w:rPr>
                <w:rFonts w:ascii="Century Gothic"/>
                <w:sz w:val="21"/>
              </w:rPr>
            </w:r>
          </w:p>
        </w:tc>
      </w:tr>
      <w:tr>
        <w:trPr>
          <w:trHeight w:val="950" w:hRule="exact"/>
        </w:trPr>
        <w:tc>
          <w:tcPr>
            <w:tcW w:w="59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both"/>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40" w:lineRule="auto"/>
              <w:ind w:left="122" w:right="98"/>
              <w:jc w:val="both"/>
              <w:rPr>
                <w:rFonts w:ascii="宋体" w:hAnsi="宋体" w:cs="宋体" w:eastAsia="宋体" w:hint="default"/>
                <w:sz w:val="18"/>
                <w:szCs w:val="18"/>
              </w:rPr>
            </w:pPr>
            <w:r>
              <w:rPr>
                <w:rFonts w:ascii="宋体" w:hAnsi="宋体" w:cs="宋体" w:eastAsia="宋体" w:hint="default"/>
                <w:sz w:val="18"/>
                <w:szCs w:val="18"/>
              </w:rPr>
              <w:t>其他 货币 资金</w:t>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
        </w:tc>
      </w:tr>
      <w:tr>
        <w:trPr>
          <w:trHeight w:val="484" w:hRule="exact"/>
        </w:trPr>
        <w:tc>
          <w:tcPr>
            <w:tcW w:w="59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Century Gothic" w:hAnsi="Century Gothic" w:cs="Century Gothic" w:eastAsia="Century Gothic" w:hint="default"/>
                <w:sz w:val="21"/>
                <w:szCs w:val="21"/>
              </w:rPr>
            </w:pPr>
            <w:r>
              <w:rPr>
                <w:rFonts w:ascii="Century Gothic"/>
                <w:spacing w:val="-1"/>
                <w:sz w:val="21"/>
              </w:rPr>
              <w:t>61,478,945.89</w:t>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70,993,246.44</w:t>
            </w:r>
          </w:p>
        </w:tc>
      </w:tr>
      <w:tr>
        <w:trPr>
          <w:trHeight w:val="355" w:hRule="exact"/>
        </w:trPr>
        <w:tc>
          <w:tcPr>
            <w:tcW w:w="590"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2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2,400.00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sz w:val="21"/>
              </w:rPr>
              <w:t>6.8346</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16,403.04</w:t>
            </w:r>
          </w:p>
        </w:tc>
      </w:tr>
      <w:tr>
        <w:trPr>
          <w:trHeight w:val="950" w:hRule="exact"/>
        </w:trPr>
        <w:tc>
          <w:tcPr>
            <w:tcW w:w="59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ind w:left="122" w:right="98"/>
              <w:jc w:val="both"/>
              <w:rPr>
                <w:rFonts w:ascii="宋体" w:hAnsi="宋体" w:cs="宋体" w:eastAsia="宋体" w:hint="default"/>
                <w:sz w:val="18"/>
                <w:szCs w:val="18"/>
              </w:rPr>
            </w:pPr>
            <w:r>
              <w:rPr>
                <w:rFonts w:ascii="宋体" w:hAnsi="宋体" w:cs="宋体" w:eastAsia="宋体" w:hint="default"/>
                <w:sz w:val="18"/>
                <w:szCs w:val="18"/>
              </w:rPr>
              <w:t>货币 资金 小计</w:t>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61,478,945.89</w:t>
            </w:r>
          </w:p>
        </w:tc>
        <w:tc>
          <w:tcPr>
            <w:tcW w:w="1672"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71,009,649.48</w:t>
            </w:r>
          </w:p>
        </w:tc>
      </w:tr>
      <w:tr>
        <w:trPr>
          <w:trHeight w:val="569" w:hRule="exact"/>
        </w:trPr>
        <w:tc>
          <w:tcPr>
            <w:tcW w:w="590" w:type="dxa"/>
            <w:tcBorders>
              <w:top w:val="single" w:sz="6" w:space="0" w:color="000000"/>
              <w:left w:val="nil" w:sz="6" w:space="0" w:color="auto"/>
              <w:bottom w:val="single" w:sz="12"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96"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72" w:type="dxa"/>
            <w:tcBorders>
              <w:top w:val="single" w:sz="6" w:space="0" w:color="000000"/>
              <w:left w:val="single" w:sz="6" w:space="0" w:color="000000"/>
              <w:bottom w:val="single" w:sz="12" w:space="0" w:color="000000"/>
              <w:right w:val="single" w:sz="6" w:space="0" w:color="000000"/>
            </w:tcBorders>
          </w:tcPr>
          <w:p>
            <w:pPr/>
          </w:p>
        </w:tc>
        <w:tc>
          <w:tcPr>
            <w:tcW w:w="856"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434,578,888.77</w:t>
            </w:r>
            <w:r>
              <w:rPr>
                <w:rFonts w:ascii="Century Gothic"/>
                <w:b/>
                <w:w w:val="95"/>
                <w:sz w:val="21"/>
              </w:rPr>
            </w:r>
            <w:r>
              <w:rPr>
                <w:rFonts w:ascii="Century Gothic"/>
                <w:sz w:val="21"/>
              </w:rPr>
            </w:r>
          </w:p>
        </w:tc>
        <w:tc>
          <w:tcPr>
            <w:tcW w:w="1672" w:type="dxa"/>
            <w:tcBorders>
              <w:top w:val="single" w:sz="6" w:space="0" w:color="000000"/>
              <w:left w:val="single" w:sz="6" w:space="0" w:color="000000"/>
              <w:bottom w:val="single" w:sz="12" w:space="0" w:color="000000"/>
              <w:right w:val="single" w:sz="6" w:space="0" w:color="000000"/>
            </w:tcBorders>
          </w:tcPr>
          <w:p>
            <w:pPr/>
          </w:p>
        </w:tc>
        <w:tc>
          <w:tcPr>
            <w:tcW w:w="856"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345,855,591.00</w:t>
            </w:r>
            <w:r>
              <w:rPr>
                <w:rFonts w:ascii="Century Gothic"/>
                <w:b/>
                <w:w w:val="95"/>
                <w:sz w:val="21"/>
              </w:rPr>
            </w:r>
            <w:r>
              <w:rPr>
                <w:rFonts w:ascii="Century Gothic"/>
                <w:sz w:val="21"/>
              </w:rPr>
            </w:r>
          </w:p>
        </w:tc>
      </w:tr>
    </w:tbl>
    <w:p>
      <w:pPr>
        <w:pStyle w:val="BodyText"/>
        <w:spacing w:line="240" w:lineRule="auto" w:before="86"/>
        <w:ind w:left="558" w:right="0"/>
        <w:jc w:val="left"/>
      </w:pPr>
      <w:r>
        <w:rPr/>
        <w:t>截至</w:t>
      </w:r>
      <w:r>
        <w:rPr>
          <w:spacing w:val="-44"/>
        </w:rPr>
        <w:t> </w:t>
      </w:r>
      <w:r>
        <w:rPr>
          <w:rFonts w:ascii="Century Gothic" w:hAnsi="Century Gothic" w:cs="Century Gothic" w:eastAsia="Century Gothic" w:hint="default"/>
        </w:rPr>
        <w:t>2009</w:t>
      </w:r>
      <w:r>
        <w:rPr>
          <w:rFonts w:ascii="Century Gothic" w:hAnsi="Century Gothic" w:cs="Century Gothic" w:eastAsia="Century Gothic" w:hint="default"/>
          <w:spacing w:val="2"/>
        </w:rPr>
        <w:t> </w:t>
      </w:r>
      <w:r>
        <w:rPr/>
        <w:t>年</w:t>
      </w:r>
      <w:r>
        <w:rPr>
          <w:spacing w:val="-44"/>
        </w:rPr>
        <w:t> </w:t>
      </w:r>
      <w:r>
        <w:rPr>
          <w:rFonts w:ascii="Century Gothic" w:hAnsi="Century Gothic" w:cs="Century Gothic" w:eastAsia="Century Gothic" w:hint="default"/>
        </w:rPr>
        <w:t>12</w:t>
      </w:r>
      <w:r>
        <w:rPr>
          <w:rFonts w:ascii="Century Gothic" w:hAnsi="Century Gothic" w:cs="Century Gothic" w:eastAsia="Century Gothic" w:hint="default"/>
          <w:spacing w:val="3"/>
        </w:rPr>
        <w:t> </w:t>
      </w:r>
      <w:r>
        <w:rPr/>
        <w:t>月</w:t>
      </w:r>
      <w:r>
        <w:rPr>
          <w:spacing w:val="-44"/>
        </w:rPr>
        <w:t> </w:t>
      </w:r>
      <w:r>
        <w:rPr>
          <w:rFonts w:ascii="Century Gothic" w:hAnsi="Century Gothic" w:cs="Century Gothic" w:eastAsia="Century Gothic" w:hint="default"/>
        </w:rPr>
        <w:t>31</w:t>
      </w:r>
      <w:r>
        <w:rPr>
          <w:rFonts w:ascii="Century Gothic" w:hAnsi="Century Gothic" w:cs="Century Gothic" w:eastAsia="Century Gothic" w:hint="default"/>
          <w:spacing w:val="2"/>
        </w:rPr>
        <w:t> </w:t>
      </w:r>
      <w:r>
        <w:rPr/>
        <w:t>日止，银行存款中含质押定期存款</w:t>
      </w:r>
      <w:r>
        <w:rPr>
          <w:spacing w:val="-44"/>
        </w:rPr>
        <w:t> </w:t>
      </w:r>
      <w:r>
        <w:rPr>
          <w:rFonts w:ascii="Century Gothic" w:hAnsi="Century Gothic" w:cs="Century Gothic" w:eastAsia="Century Gothic" w:hint="default"/>
        </w:rPr>
        <w:t>100,497,500.00</w:t>
      </w:r>
      <w:r>
        <w:rPr>
          <w:rFonts w:ascii="Century Gothic" w:hAnsi="Century Gothic" w:cs="Century Gothic" w:eastAsia="Century Gothic" w:hint="default"/>
          <w:spacing w:val="3"/>
        </w:rPr>
        <w:t> </w:t>
      </w:r>
      <w:r>
        <w:rPr/>
        <w:t>元；其他货币资金含</w:t>
      </w:r>
    </w:p>
    <w:p>
      <w:pPr>
        <w:pStyle w:val="BodyText"/>
        <w:spacing w:line="336" w:lineRule="auto"/>
        <w:ind w:right="0"/>
        <w:jc w:val="left"/>
      </w:pPr>
      <w:r>
        <w:rPr/>
        <w:t>银行承兑汇票保证金</w:t>
      </w:r>
      <w:r>
        <w:rPr>
          <w:spacing w:val="-57"/>
        </w:rPr>
        <w:t> </w:t>
      </w:r>
      <w:r>
        <w:rPr>
          <w:rFonts w:ascii="Century Gothic" w:hAnsi="Century Gothic" w:cs="Century Gothic" w:eastAsia="Century Gothic" w:hint="default"/>
        </w:rPr>
        <w:t>59,018,125.49</w:t>
      </w:r>
      <w:r>
        <w:rPr>
          <w:rFonts w:ascii="Century Gothic" w:hAnsi="Century Gothic" w:cs="Century Gothic" w:eastAsia="Century Gothic" w:hint="default"/>
          <w:spacing w:val="-10"/>
        </w:rPr>
        <w:t> </w:t>
      </w:r>
      <w:r>
        <w:rPr>
          <w:spacing w:val="-5"/>
        </w:rPr>
        <w:t>元，保函保证金</w:t>
      </w:r>
      <w:r>
        <w:rPr>
          <w:spacing w:val="-57"/>
        </w:rPr>
        <w:t> </w:t>
      </w:r>
      <w:r>
        <w:rPr>
          <w:rFonts w:ascii="Century Gothic" w:hAnsi="Century Gothic" w:cs="Century Gothic" w:eastAsia="Century Gothic" w:hint="default"/>
        </w:rPr>
        <w:t>2,460,820.40</w:t>
      </w:r>
      <w:r>
        <w:rPr>
          <w:rFonts w:ascii="Century Gothic" w:hAnsi="Century Gothic" w:cs="Century Gothic" w:eastAsia="Century Gothic" w:hint="default"/>
          <w:spacing w:val="-10"/>
        </w:rPr>
        <w:t> </w:t>
      </w:r>
      <w:r>
        <w:rPr>
          <w:spacing w:val="-4"/>
        </w:rPr>
        <w:t>元。公司在编制现金流量表时，对</w:t>
      </w:r>
      <w:r>
        <w:rPr/>
        <w:t> 以上不符合现金及现金等价物的项目已从现金流量表中剔除。</w:t>
      </w:r>
    </w:p>
    <w:p>
      <w:pPr>
        <w:tabs>
          <w:tab w:pos="1413" w:val="left" w:leader="none"/>
        </w:tabs>
        <w:spacing w:line="357" w:lineRule="auto" w:before="50"/>
        <w:ind w:left="768" w:right="7187" w:hanging="210"/>
        <w:jc w:val="left"/>
        <w:rPr>
          <w:rFonts w:ascii="宋体" w:hAnsi="宋体" w:cs="宋体" w:eastAsia="宋体" w:hint="default"/>
          <w:sz w:val="21"/>
          <w:szCs w:val="21"/>
        </w:rPr>
      </w:pPr>
      <w:r>
        <w:rPr>
          <w:rFonts w:ascii="宋体" w:hAnsi="宋体" w:cs="宋体" w:eastAsia="宋体" w:hint="default"/>
          <w:b/>
          <w:bCs/>
          <w:w w:val="95"/>
          <w:sz w:val="21"/>
          <w:szCs w:val="21"/>
        </w:rPr>
        <w:t>（二）</w:t>
        <w:tab/>
      </w:r>
      <w:r>
        <w:rPr>
          <w:rFonts w:ascii="宋体" w:hAnsi="宋体" w:cs="宋体" w:eastAsia="宋体" w:hint="default"/>
          <w:b/>
          <w:bCs/>
          <w:sz w:val="21"/>
          <w:szCs w:val="21"/>
        </w:rPr>
        <w:t>应收票据</w:t>
      </w:r>
      <w:r>
        <w:rPr>
          <w:rFonts w:ascii="宋体" w:hAnsi="宋体" w:cs="宋体" w:eastAsia="宋体" w:hint="default"/>
          <w:b/>
          <w:bCs/>
          <w:w w:val="99"/>
          <w:sz w:val="21"/>
          <w:szCs w:val="21"/>
        </w:rPr>
        <w:t> </w:t>
      </w:r>
      <w:r>
        <w:rPr>
          <w:rFonts w:ascii="宋体" w:hAnsi="宋体" w:cs="宋体" w:eastAsia="宋体" w:hint="default"/>
          <w:sz w:val="21"/>
          <w:szCs w:val="21"/>
        </w:rPr>
        <w:t>应收票据分类</w:t>
      </w:r>
    </w:p>
    <w:p>
      <w:pPr>
        <w:spacing w:line="240" w:lineRule="auto" w:before="0"/>
        <w:rPr>
          <w:rFonts w:ascii="宋体" w:hAnsi="宋体" w:cs="宋体" w:eastAsia="宋体" w:hint="default"/>
          <w:sz w:val="5"/>
          <w:szCs w:val="5"/>
        </w:rPr>
      </w:pPr>
    </w:p>
    <w:tbl>
      <w:tblPr>
        <w:tblW w:w="0" w:type="auto"/>
        <w:jc w:val="left"/>
        <w:tblInd w:w="281" w:type="dxa"/>
        <w:tblLayout w:type="fixed"/>
        <w:tblCellMar>
          <w:top w:w="0" w:type="dxa"/>
          <w:left w:w="0" w:type="dxa"/>
          <w:bottom w:w="0" w:type="dxa"/>
          <w:right w:w="0" w:type="dxa"/>
        </w:tblCellMar>
        <w:tblLook w:val="01E0"/>
      </w:tblPr>
      <w:tblGrid>
        <w:gridCol w:w="2963"/>
        <w:gridCol w:w="2948"/>
        <w:gridCol w:w="2947"/>
      </w:tblGrid>
      <w:tr>
        <w:trPr>
          <w:trHeight w:val="362" w:hRule="exact"/>
        </w:trPr>
        <w:tc>
          <w:tcPr>
            <w:tcW w:w="2963" w:type="dxa"/>
            <w:tcBorders>
              <w:top w:val="single" w:sz="12" w:space="0" w:color="000000"/>
              <w:left w:val="nil" w:sz="6" w:space="0" w:color="auto"/>
              <w:bottom w:val="single" w:sz="6" w:space="0" w:color="000000"/>
              <w:right w:val="single" w:sz="6" w:space="0" w:color="000000"/>
            </w:tcBorders>
          </w:tcPr>
          <w:p>
            <w:pPr>
              <w:pStyle w:val="TableParagraph"/>
              <w:tabs>
                <w:tab w:pos="418" w:val="left" w:leader="none"/>
              </w:tabs>
              <w:spacing w:line="274" w:lineRule="exact"/>
              <w:ind w:right="1151"/>
              <w:jc w:val="right"/>
              <w:rPr>
                <w:rFonts w:ascii="宋体" w:hAnsi="宋体" w:cs="宋体" w:eastAsia="宋体" w:hint="default"/>
                <w:sz w:val="21"/>
                <w:szCs w:val="21"/>
              </w:rPr>
            </w:pPr>
            <w:r>
              <w:rPr>
                <w:rFonts w:ascii="宋体" w:hAnsi="宋体" w:cs="宋体" w:eastAsia="宋体" w:hint="default"/>
                <w:sz w:val="21"/>
                <w:szCs w:val="21"/>
              </w:rPr>
              <w:t>种</w:t>
              <w:tab/>
              <w:t>类</w:t>
            </w:r>
          </w:p>
        </w:tc>
        <w:tc>
          <w:tcPr>
            <w:tcW w:w="2948"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83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947"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83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96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12,309,650.40</w:t>
            </w:r>
            <w:r>
              <w:rPr>
                <w:rFonts w:ascii="Century Gothic"/>
                <w:sz w:val="21"/>
              </w:rPr>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4"/>
              <w:jc w:val="right"/>
              <w:rPr>
                <w:rFonts w:ascii="Century Gothic" w:hAnsi="Century Gothic" w:cs="Century Gothic" w:eastAsia="Century Gothic" w:hint="default"/>
                <w:sz w:val="21"/>
                <w:szCs w:val="21"/>
              </w:rPr>
            </w:pPr>
            <w:r>
              <w:rPr>
                <w:rFonts w:ascii="Century Gothic"/>
                <w:spacing w:val="-1"/>
                <w:sz w:val="21"/>
              </w:rPr>
              <w:t>19,854,388.79</w:t>
            </w:r>
            <w:r>
              <w:rPr>
                <w:rFonts w:ascii="Century Gothic"/>
                <w:sz w:val="21"/>
              </w:rPr>
            </w:r>
          </w:p>
        </w:tc>
      </w:tr>
      <w:tr>
        <w:trPr>
          <w:trHeight w:val="355" w:hRule="exact"/>
        </w:trPr>
        <w:tc>
          <w:tcPr>
            <w:tcW w:w="296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18,400.00</w:t>
            </w:r>
          </w:p>
        </w:tc>
        <w:tc>
          <w:tcPr>
            <w:tcW w:w="294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4"/>
              <w:jc w:val="right"/>
              <w:rPr>
                <w:rFonts w:ascii="Century Gothic" w:hAnsi="Century Gothic" w:cs="Century Gothic" w:eastAsia="Century Gothic" w:hint="default"/>
                <w:sz w:val="21"/>
                <w:szCs w:val="21"/>
              </w:rPr>
            </w:pPr>
            <w:r>
              <w:rPr>
                <w:rFonts w:ascii="Century Gothic"/>
                <w:spacing w:val="-1"/>
                <w:sz w:val="21"/>
              </w:rPr>
              <w:t>6,487,795.60</w:t>
            </w:r>
          </w:p>
        </w:tc>
      </w:tr>
      <w:tr>
        <w:trPr>
          <w:trHeight w:val="363" w:hRule="exact"/>
        </w:trPr>
        <w:tc>
          <w:tcPr>
            <w:tcW w:w="2963" w:type="dxa"/>
            <w:tcBorders>
              <w:top w:val="single" w:sz="6" w:space="0" w:color="000000"/>
              <w:left w:val="nil" w:sz="6" w:space="0" w:color="auto"/>
              <w:bottom w:val="single" w:sz="12" w:space="0" w:color="000000"/>
              <w:right w:val="single" w:sz="6" w:space="0" w:color="000000"/>
            </w:tcBorders>
          </w:tcPr>
          <w:p>
            <w:pPr>
              <w:pStyle w:val="TableParagraph"/>
              <w:tabs>
                <w:tab w:pos="418" w:val="left" w:leader="none"/>
              </w:tabs>
              <w:spacing w:line="240" w:lineRule="auto"/>
              <w:ind w:right="1151"/>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29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b/>
                <w:sz w:val="21"/>
              </w:rPr>
            </w:r>
            <w:r>
              <w:rPr>
                <w:rFonts w:ascii="Century Gothic"/>
                <w:b/>
                <w:sz w:val="21"/>
                <w:u w:val="single" w:color="000000"/>
              </w:rPr>
              <w:t> </w:t>
            </w:r>
            <w:r>
              <w:rPr>
                <w:rFonts w:ascii="Century Gothic"/>
                <w:b/>
                <w:spacing w:val="-12"/>
                <w:sz w:val="21"/>
                <w:u w:val="single" w:color="000000"/>
              </w:rPr>
              <w:t> </w:t>
            </w:r>
            <w:r>
              <w:rPr>
                <w:rFonts w:ascii="Century Gothic"/>
                <w:b/>
                <w:sz w:val="21"/>
                <w:u w:val="single" w:color="000000"/>
              </w:rPr>
              <w:t>12,328,050.40</w:t>
            </w:r>
            <w:r>
              <w:rPr>
                <w:rFonts w:ascii="Century Gothic"/>
                <w:b/>
                <w:sz w:val="21"/>
              </w:rPr>
            </w:r>
            <w:r>
              <w:rPr>
                <w:rFonts w:ascii="Century Gothic"/>
                <w:sz w:val="21"/>
              </w:rPr>
            </w:r>
          </w:p>
        </w:tc>
        <w:tc>
          <w:tcPr>
            <w:tcW w:w="2947"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104"/>
              <w:jc w:val="right"/>
              <w:rPr>
                <w:rFonts w:ascii="Century Gothic" w:hAnsi="Century Gothic" w:cs="Century Gothic" w:eastAsia="Century Gothic" w:hint="default"/>
                <w:sz w:val="21"/>
                <w:szCs w:val="21"/>
              </w:rPr>
            </w:pPr>
            <w:r>
              <w:rPr>
                <w:rFonts w:ascii="Century Gothic"/>
                <w:b/>
                <w:sz w:val="21"/>
              </w:rPr>
            </w:r>
            <w:r>
              <w:rPr>
                <w:rFonts w:ascii="Century Gothic"/>
                <w:b/>
                <w:sz w:val="21"/>
                <w:u w:val="single" w:color="000000"/>
              </w:rPr>
              <w:t> </w:t>
            </w:r>
            <w:r>
              <w:rPr>
                <w:rFonts w:ascii="Century Gothic"/>
                <w:b/>
                <w:spacing w:val="-12"/>
                <w:sz w:val="21"/>
                <w:u w:val="single" w:color="000000"/>
              </w:rPr>
              <w:t> </w:t>
            </w:r>
            <w:r>
              <w:rPr>
                <w:rFonts w:ascii="Century Gothic"/>
                <w:b/>
                <w:sz w:val="21"/>
                <w:u w:val="single" w:color="000000"/>
              </w:rPr>
              <w:t>26,342,184.39</w:t>
            </w:r>
            <w:r>
              <w:rPr>
                <w:rFonts w:ascii="Century Gothic"/>
                <w:b/>
                <w:sz w:val="21"/>
              </w:rPr>
            </w:r>
            <w:r>
              <w:rPr>
                <w:rFonts w:ascii="Century Gothic"/>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spacing w:before="76"/>
        <w:ind w:left="4577" w:right="4555" w:firstLine="0"/>
        <w:jc w:val="center"/>
        <w:rPr>
          <w:rFonts w:ascii="Times New Roman" w:hAnsi="Times New Roman" w:cs="Times New Roman" w:eastAsia="Times New Roman" w:hint="default"/>
          <w:sz w:val="18"/>
          <w:szCs w:val="18"/>
        </w:rPr>
      </w:pPr>
      <w:r>
        <w:rPr>
          <w:rFonts w:ascii="Times New Roman"/>
          <w:sz w:val="18"/>
        </w:rPr>
        <w:t>67</w:t>
      </w:r>
    </w:p>
    <w:p>
      <w:pPr>
        <w:spacing w:after="0"/>
        <w:jc w:val="center"/>
        <w:rPr>
          <w:rFonts w:ascii="Times New Roman" w:hAnsi="Times New Roman" w:cs="Times New Roman" w:eastAsia="Times New Roman" w:hint="default"/>
          <w:sz w:val="18"/>
          <w:szCs w:val="18"/>
        </w:rPr>
        <w:sectPr>
          <w:pgSz w:w="11910" w:h="16840"/>
          <w:pgMar w:top="780" w:bottom="280" w:left="1280" w:right="11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64.860001pt;margin-top:-9.926001pt;width:84.0pt;height:23.94pt;mso-position-horizontal-relative:page;mso-position-vertical-relative:paragraph;z-index:4912"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Heading4"/>
        <w:tabs>
          <w:tab w:pos="1413" w:val="left" w:leader="none"/>
        </w:tabs>
        <w:spacing w:line="240" w:lineRule="auto" w:before="0"/>
        <w:ind w:right="152"/>
        <w:jc w:val="left"/>
        <w:rPr>
          <w:rFonts w:ascii="宋体" w:hAnsi="宋体" w:cs="宋体" w:eastAsia="宋体" w:hint="default"/>
          <w:b w:val="0"/>
          <w:bCs w:val="0"/>
        </w:rPr>
      </w:pPr>
      <w:r>
        <w:rPr>
          <w:rFonts w:ascii="宋体" w:hAnsi="宋体" w:cs="宋体" w:eastAsia="宋体" w:hint="default"/>
          <w:w w:val="95"/>
        </w:rPr>
        <w:t>（三）</w:t>
        <w:tab/>
      </w:r>
      <w:r>
        <w:rPr>
          <w:rFonts w:ascii="宋体" w:hAnsi="宋体" w:cs="宋体" w:eastAsia="宋体" w:hint="default"/>
        </w:rPr>
        <w:t>应收账款</w:t>
      </w:r>
      <w:r>
        <w:rPr>
          <w:rFonts w:ascii="宋体" w:hAnsi="宋体" w:cs="宋体" w:eastAsia="宋体" w:hint="default"/>
          <w:b w:val="0"/>
          <w:bCs w:val="0"/>
        </w:rPr>
      </w:r>
    </w:p>
    <w:p>
      <w:pPr>
        <w:pStyle w:val="BodyText"/>
        <w:spacing w:line="240" w:lineRule="auto" w:before="134"/>
        <w:ind w:left="558" w:right="152"/>
        <w:jc w:val="left"/>
      </w:pPr>
      <w:r>
        <w:rPr/>
        <w:t>（</w:t>
      </w:r>
      <w:r>
        <w:rPr>
          <w:rFonts w:ascii="Century Gothic" w:hAnsi="Century Gothic" w:cs="Century Gothic" w:eastAsia="Century Gothic" w:hint="default"/>
        </w:rPr>
        <w:t>1</w:t>
      </w:r>
      <w:r>
        <w:rPr/>
        <w:t>）应收账款按类别列示如下：</w:t>
      </w:r>
    </w:p>
    <w:p>
      <w:pPr>
        <w:spacing w:line="240" w:lineRule="auto" w:before="8"/>
        <w:rPr>
          <w:rFonts w:ascii="宋体" w:hAnsi="宋体" w:cs="宋体" w:eastAsia="宋体" w:hint="default"/>
          <w:sz w:val="11"/>
          <w:szCs w:val="11"/>
        </w:rPr>
      </w:pPr>
    </w:p>
    <w:tbl>
      <w:tblPr>
        <w:tblW w:w="0" w:type="auto"/>
        <w:jc w:val="left"/>
        <w:tblInd w:w="281" w:type="dxa"/>
        <w:tblLayout w:type="fixed"/>
        <w:tblCellMar>
          <w:top w:w="0" w:type="dxa"/>
          <w:left w:w="0" w:type="dxa"/>
          <w:bottom w:w="0" w:type="dxa"/>
          <w:right w:w="0" w:type="dxa"/>
        </w:tblCellMar>
        <w:tblLook w:val="01E0"/>
      </w:tblPr>
      <w:tblGrid>
        <w:gridCol w:w="2119"/>
        <w:gridCol w:w="1686"/>
        <w:gridCol w:w="864"/>
        <w:gridCol w:w="1573"/>
        <w:gridCol w:w="930"/>
        <w:gridCol w:w="1686"/>
      </w:tblGrid>
      <w:tr>
        <w:trPr>
          <w:trHeight w:val="363" w:hRule="exact"/>
        </w:trPr>
        <w:tc>
          <w:tcPr>
            <w:tcW w:w="211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739" w:type="dxa"/>
            <w:gridSpan w:val="5"/>
            <w:tcBorders>
              <w:top w:val="single" w:sz="12"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119" w:type="dxa"/>
            <w:vMerge/>
            <w:tcBorders>
              <w:left w:val="nil" w:sz="6" w:space="0" w:color="auto"/>
              <w:right w:val="single" w:sz="6" w:space="0" w:color="000000"/>
            </w:tcBorders>
          </w:tcPr>
          <w:p>
            <w:pPr/>
          </w:p>
        </w:tc>
        <w:tc>
          <w:tcPr>
            <w:tcW w:w="25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25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8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6" w:type="dxa"/>
            <w:vMerge w:val="restart"/>
            <w:tcBorders>
              <w:top w:val="single" w:sz="6" w:space="0" w:color="000000"/>
              <w:left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60" w:hRule="exact"/>
        </w:trPr>
        <w:tc>
          <w:tcPr>
            <w:tcW w:w="2119" w:type="dxa"/>
            <w:vMerge/>
            <w:tcBorders>
              <w:left w:val="nil" w:sz="6" w:space="0" w:color="auto"/>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90" w:lineRule="exact"/>
              <w:ind w:left="132" w:right="0"/>
              <w:jc w:val="left"/>
              <w:rPr>
                <w:rFonts w:ascii="宋体" w:hAnsi="宋体" w:cs="宋体" w:eastAsia="宋体" w:hint="default"/>
                <w:sz w:val="21"/>
                <w:szCs w:val="21"/>
              </w:rPr>
            </w:pPr>
            <w:r>
              <w:rPr>
                <w:rFonts w:ascii="宋体" w:hAnsi="宋体" w:cs="宋体" w:eastAsia="宋体" w:hint="default"/>
                <w:sz w:val="21"/>
                <w:szCs w:val="21"/>
              </w:rPr>
              <w:t>（</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 w:right="0" w:firstLine="44"/>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96" w:right="0"/>
              <w:jc w:val="left"/>
              <w:rPr>
                <w:rFonts w:ascii="宋体" w:hAnsi="宋体" w:cs="宋体" w:eastAsia="宋体" w:hint="default"/>
                <w:sz w:val="21"/>
                <w:szCs w:val="21"/>
              </w:rPr>
            </w:pPr>
            <w:r>
              <w:rPr>
                <w:rFonts w:ascii="宋体" w:hAnsi="宋体" w:cs="宋体" w:eastAsia="宋体" w:hint="default"/>
                <w:sz w:val="21"/>
                <w:szCs w:val="21"/>
              </w:rPr>
              <w:t>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686" w:type="dxa"/>
            <w:vMerge/>
            <w:tcBorders>
              <w:left w:val="single" w:sz="6" w:space="0" w:color="000000"/>
              <w:bottom w:val="single" w:sz="6" w:space="0" w:color="000000"/>
              <w:right w:val="nil" w:sz="6" w:space="0" w:color="auto"/>
            </w:tcBorders>
          </w:tcPr>
          <w:p>
            <w:pPr/>
          </w:p>
        </w:tc>
      </w:tr>
      <w:tr>
        <w:trPr>
          <w:trHeight w:val="562" w:hRule="exact"/>
        </w:trPr>
        <w:tc>
          <w:tcPr>
            <w:tcW w:w="211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单项金额重</w:t>
            </w:r>
            <w:r>
              <w:rPr>
                <w:rFonts w:ascii="宋体" w:hAnsi="宋体" w:cs="宋体" w:eastAsia="宋体" w:hint="default"/>
                <w:spacing w:val="-77"/>
                <w:sz w:val="21"/>
                <w:szCs w:val="21"/>
              </w:rPr>
              <w:t> </w:t>
            </w:r>
            <w:r>
              <w:rPr>
                <w:rFonts w:ascii="宋体" w:hAnsi="宋体" w:cs="宋体" w:eastAsia="宋体" w:hint="default"/>
                <w:spacing w:val="20"/>
                <w:sz w:val="21"/>
                <w:szCs w:val="21"/>
              </w:rPr>
              <w:t>大的应</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5" w:right="0"/>
              <w:jc w:val="center"/>
              <w:rPr>
                <w:rFonts w:ascii="Century Gothic" w:hAnsi="Century Gothic" w:cs="Century Gothic" w:eastAsia="Century Gothic" w:hint="default"/>
                <w:sz w:val="21"/>
                <w:szCs w:val="21"/>
              </w:rPr>
            </w:pPr>
            <w:r>
              <w:rPr>
                <w:rFonts w:ascii="Century Gothic"/>
                <w:sz w:val="21"/>
              </w:rPr>
              <w:t>132,483,882.47</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32.87</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3"/>
              <w:jc w:val="right"/>
              <w:rPr>
                <w:rFonts w:ascii="Century Gothic" w:hAnsi="Century Gothic" w:cs="Century Gothic" w:eastAsia="Century Gothic" w:hint="default"/>
                <w:sz w:val="21"/>
                <w:szCs w:val="21"/>
              </w:rPr>
            </w:pPr>
            <w:r>
              <w:rPr>
                <w:rFonts w:ascii="Century Gothic"/>
                <w:spacing w:val="-1"/>
                <w:sz w:val="21"/>
              </w:rPr>
              <w:t>11,986,426.94</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2"/>
                <w:sz w:val="21"/>
              </w:rPr>
              <w:t>0.5-100</w:t>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7" w:right="0"/>
              <w:jc w:val="center"/>
              <w:rPr>
                <w:rFonts w:ascii="Century Gothic" w:hAnsi="Century Gothic" w:cs="Century Gothic" w:eastAsia="Century Gothic" w:hint="default"/>
                <w:sz w:val="21"/>
                <w:szCs w:val="21"/>
              </w:rPr>
            </w:pPr>
            <w:r>
              <w:rPr>
                <w:rFonts w:ascii="Century Gothic"/>
                <w:sz w:val="21"/>
              </w:rPr>
              <w:t>120,497,455.53</w:t>
            </w:r>
          </w:p>
        </w:tc>
      </w:tr>
      <w:tr>
        <w:trPr>
          <w:trHeight w:val="560" w:hRule="exact"/>
        </w:trPr>
        <w:tc>
          <w:tcPr>
            <w:tcW w:w="211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其他不重大</w:t>
            </w:r>
            <w:r>
              <w:rPr>
                <w:rFonts w:ascii="宋体" w:hAnsi="宋体" w:cs="宋体" w:eastAsia="宋体" w:hint="default"/>
                <w:spacing w:val="-77"/>
                <w:sz w:val="21"/>
                <w:szCs w:val="21"/>
              </w:rPr>
              <w:t> </w:t>
            </w:r>
            <w:r>
              <w:rPr>
                <w:rFonts w:ascii="宋体" w:hAnsi="宋体" w:cs="宋体" w:eastAsia="宋体" w:hint="default"/>
                <w:spacing w:val="20"/>
                <w:sz w:val="21"/>
                <w:szCs w:val="21"/>
              </w:rPr>
              <w:t>应收账</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5" w:right="0"/>
              <w:jc w:val="center"/>
              <w:rPr>
                <w:rFonts w:ascii="Century Gothic" w:hAnsi="Century Gothic" w:cs="Century Gothic" w:eastAsia="Century Gothic" w:hint="default"/>
                <w:sz w:val="21"/>
                <w:szCs w:val="21"/>
              </w:rPr>
            </w:pPr>
            <w:r>
              <w:rPr>
                <w:rFonts w:ascii="Century Gothic"/>
                <w:sz w:val="21"/>
              </w:rPr>
              <w:t>270,538,607.27</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2"/>
                <w:sz w:val="21"/>
              </w:rPr>
              <w:t>67.13</w:t>
            </w:r>
            <w:r>
              <w:rPr>
                <w:rFonts w:ascii="Century Gothic"/>
                <w:sz w:val="21"/>
              </w:rPr>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3"/>
              <w:jc w:val="right"/>
              <w:rPr>
                <w:rFonts w:ascii="Century Gothic" w:hAnsi="Century Gothic" w:cs="Century Gothic" w:eastAsia="Century Gothic" w:hint="default"/>
                <w:sz w:val="21"/>
                <w:szCs w:val="21"/>
              </w:rPr>
            </w:pPr>
            <w:r>
              <w:rPr>
                <w:rFonts w:ascii="Century Gothic"/>
                <w:spacing w:val="-1"/>
                <w:sz w:val="21"/>
              </w:rPr>
              <w:t>24,592,302.77</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2"/>
                <w:sz w:val="21"/>
              </w:rPr>
              <w:t>0.5-100</w:t>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7" w:right="0"/>
              <w:jc w:val="center"/>
              <w:rPr>
                <w:rFonts w:ascii="Century Gothic" w:hAnsi="Century Gothic" w:cs="Century Gothic" w:eastAsia="Century Gothic" w:hint="default"/>
                <w:sz w:val="21"/>
                <w:szCs w:val="21"/>
              </w:rPr>
            </w:pPr>
            <w:r>
              <w:rPr>
                <w:rFonts w:ascii="Century Gothic"/>
                <w:sz w:val="21"/>
              </w:rPr>
              <w:t>245,946,304.50</w:t>
            </w:r>
          </w:p>
        </w:tc>
      </w:tr>
      <w:tr>
        <w:trPr>
          <w:trHeight w:val="355" w:hRule="exact"/>
        </w:trPr>
        <w:tc>
          <w:tcPr>
            <w:tcW w:w="2119" w:type="dxa"/>
            <w:tcBorders>
              <w:top w:val="single" w:sz="6" w:space="0" w:color="000000"/>
              <w:left w:val="nil" w:sz="6" w:space="0" w:color="auto"/>
              <w:bottom w:val="single" w:sz="6" w:space="0" w:color="000000"/>
              <w:right w:val="single" w:sz="6" w:space="0" w:color="000000"/>
            </w:tcBorders>
          </w:tcPr>
          <w:p>
            <w:pPr>
              <w:pStyle w:val="TableParagraph"/>
              <w:tabs>
                <w:tab w:pos="440"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403,022,489.74</w:t>
            </w:r>
            <w:r>
              <w:rPr>
                <w:rFonts w:ascii="Century Gothic"/>
                <w:b/>
                <w:sz w:val="21"/>
              </w:rPr>
            </w:r>
            <w:r>
              <w:rPr>
                <w:rFonts w:ascii="Century Gothic"/>
                <w:sz w:val="21"/>
              </w:rPr>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spacing w:val="-1"/>
                <w:w w:val="95"/>
                <w:sz w:val="21"/>
                <w:u w:val="single" w:color="000000"/>
              </w:rPr>
              <w:t>100.00</w:t>
            </w:r>
            <w:r>
              <w:rPr>
                <w:rFonts w:ascii="Century Gothic"/>
                <w:b/>
                <w:spacing w:val="-1"/>
                <w:w w:val="95"/>
                <w:sz w:val="21"/>
              </w:rPr>
            </w:r>
            <w:r>
              <w:rPr>
                <w:rFonts w:ascii="Century Gothic"/>
                <w:sz w:val="21"/>
              </w:rPr>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36,578,729.71</w:t>
            </w:r>
            <w:r>
              <w:rPr>
                <w:rFonts w:ascii="Century Gothic"/>
                <w:b/>
                <w:w w:val="95"/>
                <w:sz w:val="21"/>
              </w:rPr>
            </w:r>
            <w:r>
              <w:rPr>
                <w:rFonts w:ascii="Century Gothic"/>
                <w:sz w:val="21"/>
              </w:rPr>
            </w:r>
          </w:p>
        </w:tc>
        <w:tc>
          <w:tcPr>
            <w:tcW w:w="9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5"/>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366,443,760.03</w:t>
            </w:r>
            <w:r>
              <w:rPr>
                <w:rFonts w:ascii="Century Gothic"/>
                <w:b/>
                <w:sz w:val="21"/>
              </w:rPr>
            </w:r>
            <w:r>
              <w:rPr>
                <w:rFonts w:ascii="Century Gothic"/>
                <w:sz w:val="21"/>
              </w:rPr>
            </w:r>
          </w:p>
        </w:tc>
      </w:tr>
      <w:tr>
        <w:trPr>
          <w:trHeight w:val="355" w:hRule="exact"/>
        </w:trPr>
        <w:tc>
          <w:tcPr>
            <w:tcW w:w="2119"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739"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119" w:type="dxa"/>
            <w:vMerge/>
            <w:tcBorders>
              <w:left w:val="nil" w:sz="6" w:space="0" w:color="auto"/>
              <w:right w:val="single" w:sz="6" w:space="0" w:color="000000"/>
            </w:tcBorders>
          </w:tcPr>
          <w:p>
            <w:pPr/>
          </w:p>
        </w:tc>
        <w:tc>
          <w:tcPr>
            <w:tcW w:w="255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25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8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6" w:type="dxa"/>
            <w:vMerge w:val="restart"/>
            <w:tcBorders>
              <w:top w:val="single" w:sz="6" w:space="0" w:color="000000"/>
              <w:left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60" w:hRule="exact"/>
        </w:trPr>
        <w:tc>
          <w:tcPr>
            <w:tcW w:w="2119" w:type="dxa"/>
            <w:vMerge/>
            <w:tcBorders>
              <w:left w:val="nil" w:sz="6" w:space="0" w:color="auto"/>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90" w:lineRule="exact"/>
              <w:ind w:left="132" w:right="0"/>
              <w:jc w:val="left"/>
              <w:rPr>
                <w:rFonts w:ascii="宋体" w:hAnsi="宋体" w:cs="宋体" w:eastAsia="宋体" w:hint="default"/>
                <w:sz w:val="21"/>
                <w:szCs w:val="21"/>
              </w:rPr>
            </w:pPr>
            <w:r>
              <w:rPr>
                <w:rFonts w:ascii="宋体" w:hAnsi="宋体" w:cs="宋体" w:eastAsia="宋体" w:hint="default"/>
                <w:sz w:val="21"/>
                <w:szCs w:val="21"/>
              </w:rPr>
              <w:t>（</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firstLine="39"/>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105" w:right="0"/>
              <w:jc w:val="left"/>
              <w:rPr>
                <w:rFonts w:ascii="宋体" w:hAnsi="宋体" w:cs="宋体" w:eastAsia="宋体" w:hint="default"/>
                <w:sz w:val="21"/>
                <w:szCs w:val="21"/>
              </w:rPr>
            </w:pPr>
            <w:r>
              <w:rPr>
                <w:rFonts w:ascii="宋体" w:hAnsi="宋体" w:cs="宋体" w:eastAsia="宋体" w:hint="default"/>
                <w:sz w:val="21"/>
                <w:szCs w:val="21"/>
              </w:rPr>
              <w:t>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686" w:type="dxa"/>
            <w:vMerge/>
            <w:tcBorders>
              <w:left w:val="single" w:sz="6" w:space="0" w:color="000000"/>
              <w:bottom w:val="single" w:sz="6" w:space="0" w:color="000000"/>
              <w:right w:val="nil" w:sz="6" w:space="0" w:color="auto"/>
            </w:tcBorders>
          </w:tcPr>
          <w:p>
            <w:pPr/>
          </w:p>
        </w:tc>
      </w:tr>
      <w:tr>
        <w:trPr>
          <w:trHeight w:val="562" w:hRule="exact"/>
        </w:trPr>
        <w:tc>
          <w:tcPr>
            <w:tcW w:w="211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单项金额重</w:t>
            </w:r>
            <w:r>
              <w:rPr>
                <w:rFonts w:ascii="宋体" w:hAnsi="宋体" w:cs="宋体" w:eastAsia="宋体" w:hint="default"/>
                <w:spacing w:val="-77"/>
                <w:sz w:val="21"/>
                <w:szCs w:val="21"/>
              </w:rPr>
              <w:t> </w:t>
            </w:r>
            <w:r>
              <w:rPr>
                <w:rFonts w:ascii="宋体" w:hAnsi="宋体" w:cs="宋体" w:eastAsia="宋体" w:hint="default"/>
                <w:spacing w:val="20"/>
                <w:sz w:val="21"/>
                <w:szCs w:val="21"/>
              </w:rPr>
              <w:t>大的应</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收账款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5" w:right="0"/>
              <w:jc w:val="center"/>
              <w:rPr>
                <w:rFonts w:ascii="Century Gothic" w:hAnsi="Century Gothic" w:cs="Century Gothic" w:eastAsia="Century Gothic" w:hint="default"/>
                <w:sz w:val="21"/>
                <w:szCs w:val="21"/>
              </w:rPr>
            </w:pPr>
            <w:r>
              <w:rPr>
                <w:rFonts w:ascii="Century Gothic"/>
                <w:sz w:val="21"/>
              </w:rPr>
              <w:t>270,890,573.10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37.30</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5"/>
              <w:jc w:val="right"/>
              <w:rPr>
                <w:rFonts w:ascii="Century Gothic" w:hAnsi="Century Gothic" w:cs="Century Gothic" w:eastAsia="Century Gothic" w:hint="default"/>
                <w:sz w:val="21"/>
                <w:szCs w:val="21"/>
              </w:rPr>
            </w:pPr>
            <w:r>
              <w:rPr>
                <w:rFonts w:ascii="Century Gothic"/>
                <w:spacing w:val="-1"/>
                <w:sz w:val="21"/>
              </w:rPr>
              <w:t>7,924,208.86</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2"/>
                <w:sz w:val="21"/>
              </w:rPr>
              <w:t>0.5-100</w:t>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7" w:right="0"/>
              <w:jc w:val="center"/>
              <w:rPr>
                <w:rFonts w:ascii="Century Gothic" w:hAnsi="Century Gothic" w:cs="Century Gothic" w:eastAsia="Century Gothic" w:hint="default"/>
                <w:sz w:val="21"/>
                <w:szCs w:val="21"/>
              </w:rPr>
            </w:pPr>
            <w:r>
              <w:rPr>
                <w:rFonts w:ascii="Century Gothic"/>
                <w:sz w:val="21"/>
              </w:rPr>
              <w:t>262,966,364.24</w:t>
            </w:r>
          </w:p>
        </w:tc>
      </w:tr>
      <w:tr>
        <w:trPr>
          <w:trHeight w:val="560" w:hRule="exact"/>
        </w:trPr>
        <w:tc>
          <w:tcPr>
            <w:tcW w:w="211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其他不重大</w:t>
            </w:r>
            <w:r>
              <w:rPr>
                <w:rFonts w:ascii="宋体" w:hAnsi="宋体" w:cs="宋体" w:eastAsia="宋体" w:hint="default"/>
                <w:spacing w:val="-77"/>
                <w:sz w:val="21"/>
                <w:szCs w:val="21"/>
              </w:rPr>
              <w:t> </w:t>
            </w:r>
            <w:r>
              <w:rPr>
                <w:rFonts w:ascii="宋体" w:hAnsi="宋体" w:cs="宋体" w:eastAsia="宋体" w:hint="default"/>
                <w:spacing w:val="20"/>
                <w:sz w:val="21"/>
                <w:szCs w:val="21"/>
              </w:rPr>
              <w:t>应收账</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5" w:right="0"/>
              <w:jc w:val="center"/>
              <w:rPr>
                <w:rFonts w:ascii="Century Gothic" w:hAnsi="Century Gothic" w:cs="Century Gothic" w:eastAsia="Century Gothic" w:hint="default"/>
                <w:sz w:val="21"/>
                <w:szCs w:val="21"/>
              </w:rPr>
            </w:pPr>
            <w:r>
              <w:rPr>
                <w:rFonts w:ascii="Century Gothic"/>
                <w:sz w:val="21"/>
              </w:rPr>
              <w:t>455,381,982.23</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62.70</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4"/>
              <w:jc w:val="right"/>
              <w:rPr>
                <w:rFonts w:ascii="Century Gothic" w:hAnsi="Century Gothic" w:cs="Century Gothic" w:eastAsia="Century Gothic" w:hint="default"/>
                <w:sz w:val="21"/>
                <w:szCs w:val="21"/>
              </w:rPr>
            </w:pPr>
            <w:r>
              <w:rPr>
                <w:rFonts w:ascii="Century Gothic"/>
                <w:spacing w:val="-1"/>
                <w:sz w:val="21"/>
              </w:rPr>
              <w:t>24,628,416.25</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2"/>
                <w:sz w:val="21"/>
              </w:rPr>
              <w:t>0.5-100</w:t>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7" w:right="0"/>
              <w:jc w:val="center"/>
              <w:rPr>
                <w:rFonts w:ascii="Century Gothic" w:hAnsi="Century Gothic" w:cs="Century Gothic" w:eastAsia="Century Gothic" w:hint="default"/>
                <w:sz w:val="21"/>
                <w:szCs w:val="21"/>
              </w:rPr>
            </w:pPr>
            <w:r>
              <w:rPr>
                <w:rFonts w:ascii="Century Gothic"/>
                <w:sz w:val="21"/>
              </w:rPr>
              <w:t>430,753,565.98</w:t>
            </w:r>
          </w:p>
        </w:tc>
      </w:tr>
      <w:tr>
        <w:trPr>
          <w:trHeight w:val="363" w:hRule="exact"/>
        </w:trPr>
        <w:tc>
          <w:tcPr>
            <w:tcW w:w="2119" w:type="dxa"/>
            <w:tcBorders>
              <w:top w:val="single" w:sz="6" w:space="0" w:color="000000"/>
              <w:left w:val="nil" w:sz="6" w:space="0" w:color="auto"/>
              <w:bottom w:val="single" w:sz="12" w:space="0" w:color="000000"/>
              <w:right w:val="single" w:sz="6" w:space="0" w:color="000000"/>
            </w:tcBorders>
          </w:tcPr>
          <w:p>
            <w:pPr>
              <w:pStyle w:val="TableParagraph"/>
              <w:tabs>
                <w:tab w:pos="440"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726,272,555.33</w:t>
            </w:r>
            <w:r>
              <w:rPr>
                <w:rFonts w:ascii="Century Gothic"/>
                <w:b/>
                <w:sz w:val="21"/>
              </w:rPr>
            </w:r>
            <w:r>
              <w:rPr>
                <w:rFonts w:ascii="Century Gothic"/>
                <w:sz w:val="21"/>
              </w:rPr>
            </w:r>
          </w:p>
        </w:tc>
        <w:tc>
          <w:tcPr>
            <w:tcW w:w="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spacing w:val="-1"/>
                <w:w w:val="95"/>
                <w:sz w:val="21"/>
                <w:u w:val="single" w:color="000000"/>
              </w:rPr>
              <w:t>100.00</w:t>
            </w:r>
            <w:r>
              <w:rPr>
                <w:rFonts w:ascii="Century Gothic"/>
                <w:b/>
                <w:spacing w:val="-1"/>
                <w:w w:val="95"/>
                <w:sz w:val="21"/>
              </w:rPr>
            </w:r>
            <w:r>
              <w:rPr>
                <w:rFonts w:ascii="Century Gothic"/>
                <w:sz w:val="21"/>
              </w:rPr>
            </w:r>
          </w:p>
        </w:tc>
        <w:tc>
          <w:tcPr>
            <w:tcW w:w="15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4"/>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32,552,625.11</w:t>
            </w:r>
            <w:r>
              <w:rPr>
                <w:rFonts w:ascii="Century Gothic"/>
                <w:b/>
                <w:w w:val="95"/>
                <w:sz w:val="21"/>
              </w:rPr>
            </w:r>
            <w:r>
              <w:rPr>
                <w:rFonts w:ascii="Century Gothic"/>
                <w:sz w:val="21"/>
              </w:rPr>
            </w:r>
          </w:p>
        </w:tc>
        <w:tc>
          <w:tcPr>
            <w:tcW w:w="930"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5"/>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693,719,930.22</w:t>
            </w:r>
            <w:r>
              <w:rPr>
                <w:rFonts w:ascii="Century Gothic"/>
                <w:b/>
                <w:sz w:val="21"/>
              </w:rPr>
            </w:r>
            <w:r>
              <w:rPr>
                <w:rFonts w:ascii="Century Gothic"/>
                <w:sz w:val="21"/>
              </w:rPr>
            </w:r>
          </w:p>
        </w:tc>
      </w:tr>
    </w:tbl>
    <w:p>
      <w:pPr>
        <w:pStyle w:val="BodyText"/>
        <w:spacing w:line="240" w:lineRule="auto" w:before="86"/>
        <w:ind w:left="558" w:right="152"/>
        <w:jc w:val="left"/>
      </w:pPr>
      <w:r>
        <w:rPr/>
        <w:t>（</w:t>
      </w:r>
      <w:r>
        <w:rPr>
          <w:rFonts w:ascii="Century Gothic" w:hAnsi="Century Gothic" w:cs="Century Gothic" w:eastAsia="Century Gothic" w:hint="default"/>
        </w:rPr>
        <w:t>2</w:t>
      </w:r>
      <w:r>
        <w:rPr/>
        <w:t>）应收账款按账龄分析列示如下：</w:t>
      </w:r>
    </w:p>
    <w:p>
      <w:pPr>
        <w:spacing w:line="240" w:lineRule="auto" w:before="10"/>
        <w:rPr>
          <w:rFonts w:ascii="宋体" w:hAnsi="宋体" w:cs="宋体" w:eastAsia="宋体" w:hint="default"/>
          <w:sz w:val="20"/>
          <w:szCs w:val="20"/>
        </w:rPr>
      </w:pPr>
    </w:p>
    <w:tbl>
      <w:tblPr>
        <w:tblW w:w="0" w:type="auto"/>
        <w:jc w:val="left"/>
        <w:tblInd w:w="281" w:type="dxa"/>
        <w:tblLayout w:type="fixed"/>
        <w:tblCellMar>
          <w:top w:w="0" w:type="dxa"/>
          <w:left w:w="0" w:type="dxa"/>
          <w:bottom w:w="0" w:type="dxa"/>
          <w:right w:w="0" w:type="dxa"/>
        </w:tblCellMar>
        <w:tblLook w:val="01E0"/>
      </w:tblPr>
      <w:tblGrid>
        <w:gridCol w:w="2086"/>
        <w:gridCol w:w="1960"/>
        <w:gridCol w:w="1072"/>
        <w:gridCol w:w="1782"/>
        <w:gridCol w:w="1960"/>
      </w:tblGrid>
      <w:tr>
        <w:trPr>
          <w:trHeight w:val="307"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06"/>
              <w:ind w:left="63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12" w:space="0" w:color="000000"/>
              <w:left w:val="single" w:sz="6" w:space="0" w:color="000000"/>
              <w:bottom w:val="single" w:sz="6"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299" w:hRule="exact"/>
        </w:trPr>
        <w:tc>
          <w:tcPr>
            <w:tcW w:w="2086" w:type="dxa"/>
            <w:vMerge/>
            <w:tcBorders>
              <w:left w:val="nil" w:sz="6" w:space="0" w:color="auto"/>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4"/>
              <w:jc w:val="right"/>
              <w:rPr>
                <w:rFonts w:ascii="宋体" w:hAnsi="宋体" w:cs="宋体" w:eastAsia="宋体" w:hint="default"/>
                <w:sz w:val="21"/>
                <w:szCs w:val="21"/>
              </w:rPr>
            </w:pPr>
            <w:r>
              <w:rPr>
                <w:rFonts w:ascii="宋体" w:hAnsi="宋体" w:cs="宋体" w:eastAsia="宋体" w:hint="default"/>
                <w:spacing w:val="-9"/>
                <w:sz w:val="21"/>
                <w:szCs w:val="21"/>
              </w:rPr>
              <w:t>比例（</w:t>
            </w:r>
            <w:r>
              <w:rPr>
                <w:rFonts w:ascii="Century Gothic" w:hAnsi="Century Gothic" w:cs="Century Gothic" w:eastAsia="Century Gothic" w:hint="default"/>
                <w:spacing w:val="-9"/>
                <w:sz w:val="21"/>
                <w:szCs w:val="21"/>
              </w:rPr>
              <w:t>%</w:t>
            </w:r>
            <w:r>
              <w:rPr>
                <w:rFonts w:ascii="宋体" w:hAnsi="宋体" w:cs="宋体" w:eastAsia="宋体" w:hint="default"/>
                <w:spacing w:val="-9"/>
                <w:sz w:val="21"/>
                <w:szCs w:val="21"/>
              </w:rPr>
              <w:t>）</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284,652,616.44</w:t>
            </w:r>
            <w:r>
              <w:rPr>
                <w:rFonts w:ascii="Century Gothic"/>
                <w:sz w:val="21"/>
              </w:rPr>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70.63</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14,793,451.60</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269,859,164.84</w:t>
            </w:r>
            <w:r>
              <w:rPr>
                <w:rFonts w:ascii="Century Gothic"/>
                <w:sz w:val="21"/>
              </w:rPr>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w:t>
            </w:r>
            <w:r>
              <w:rPr>
                <w:rFonts w:ascii="Century Gothic" w:hAnsi="Century Gothic" w:cs="Century Gothic" w:eastAsia="Century Gothic" w:hint="default"/>
                <w:sz w:val="21"/>
                <w:szCs w:val="21"/>
              </w:rPr>
              <w:t>2</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年（含）</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75,927,541.49</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18.84</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9,080,036.20</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66,847,505.29</w:t>
            </w:r>
          </w:p>
        </w:tc>
      </w:tr>
      <w:tr>
        <w:trPr>
          <w:trHeight w:val="30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w:t>
            </w: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年（含）</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17,255,400.80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4.28</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3,170,879.27</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14,084,521.53</w:t>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年以上</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25,186,931.01</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6.25</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9,534,362.64</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15,652,568.37</w:t>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tabs>
                <w:tab w:pos="440" w:val="left" w:leader="none"/>
              </w:tabs>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403,022,489.74</w:t>
            </w:r>
            <w:r>
              <w:rPr>
                <w:rFonts w:ascii="Century Gothic"/>
                <w:b/>
                <w:w w:val="95"/>
                <w:sz w:val="21"/>
              </w:rPr>
            </w:r>
            <w:r>
              <w:rPr>
                <w:rFonts w:ascii="Century Gothic"/>
                <w:sz w:val="21"/>
              </w:rPr>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09" w:right="0"/>
              <w:jc w:val="left"/>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100.00</w:t>
            </w:r>
            <w:r>
              <w:rPr>
                <w:rFonts w:ascii="Century Gothic"/>
                <w:b/>
                <w:sz w:val="21"/>
              </w:rPr>
            </w:r>
            <w:r>
              <w:rPr>
                <w:rFonts w:ascii="Century Gothic"/>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36,578,729.71</w:t>
            </w:r>
            <w:r>
              <w:rPr>
                <w:rFonts w:ascii="Century Gothic"/>
                <w:b/>
                <w:w w:val="95"/>
                <w:sz w:val="21"/>
              </w:rPr>
            </w:r>
            <w:r>
              <w:rPr>
                <w:rFonts w:ascii="Century Gothic"/>
                <w:sz w:val="21"/>
              </w:rPr>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366,443,760.03</w:t>
            </w:r>
            <w:r>
              <w:rPr>
                <w:rFonts w:ascii="Century Gothic"/>
                <w:b/>
                <w:w w:val="95"/>
                <w:sz w:val="21"/>
              </w:rPr>
            </w:r>
            <w:r>
              <w:rPr>
                <w:rFonts w:ascii="Century Gothic"/>
                <w:sz w:val="21"/>
              </w:rPr>
            </w:r>
          </w:p>
        </w:tc>
      </w:tr>
      <w:tr>
        <w:trPr>
          <w:trHeight w:val="299"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114"/>
              <w:ind w:left="63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6" w:space="0" w:color="000000"/>
              <w:left w:val="single" w:sz="6" w:space="0" w:color="000000"/>
              <w:bottom w:val="single" w:sz="6"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9" w:hRule="exact"/>
        </w:trPr>
        <w:tc>
          <w:tcPr>
            <w:tcW w:w="2086" w:type="dxa"/>
            <w:vMerge/>
            <w:tcBorders>
              <w:left w:val="nil" w:sz="6" w:space="0" w:color="auto"/>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4"/>
              <w:jc w:val="right"/>
              <w:rPr>
                <w:rFonts w:ascii="宋体" w:hAnsi="宋体" w:cs="宋体" w:eastAsia="宋体" w:hint="default"/>
                <w:sz w:val="21"/>
                <w:szCs w:val="21"/>
              </w:rPr>
            </w:pPr>
            <w:r>
              <w:rPr>
                <w:rFonts w:ascii="宋体" w:hAnsi="宋体" w:cs="宋体" w:eastAsia="宋体" w:hint="default"/>
                <w:spacing w:val="-9"/>
                <w:sz w:val="21"/>
                <w:szCs w:val="21"/>
              </w:rPr>
              <w:t>比例（</w:t>
            </w:r>
            <w:r>
              <w:rPr>
                <w:rFonts w:ascii="Century Gothic" w:hAnsi="Century Gothic" w:cs="Century Gothic" w:eastAsia="Century Gothic" w:hint="default"/>
                <w:spacing w:val="-9"/>
                <w:sz w:val="21"/>
                <w:szCs w:val="21"/>
              </w:rPr>
              <w:t>%</w:t>
            </w:r>
            <w:r>
              <w:rPr>
                <w:rFonts w:ascii="宋体" w:hAnsi="宋体" w:cs="宋体" w:eastAsia="宋体" w:hint="default"/>
                <w:spacing w:val="-9"/>
                <w:sz w:val="21"/>
                <w:szCs w:val="21"/>
              </w:rPr>
              <w:t>）</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631,314,426.36</w:t>
            </w:r>
            <w:r>
              <w:rPr>
                <w:rFonts w:ascii="Century Gothic"/>
                <w:sz w:val="21"/>
              </w:rPr>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86.93</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14,758,692.06</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616,555,734.30</w:t>
            </w:r>
            <w:r>
              <w:rPr>
                <w:rFonts w:ascii="Century Gothic"/>
                <w:sz w:val="21"/>
              </w:rPr>
            </w:r>
          </w:p>
        </w:tc>
      </w:tr>
      <w:tr>
        <w:trPr>
          <w:trHeight w:val="300"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w:t>
            </w:r>
            <w:r>
              <w:rPr>
                <w:rFonts w:ascii="Century Gothic" w:hAnsi="Century Gothic" w:cs="Century Gothic" w:eastAsia="Century Gothic" w:hint="default"/>
                <w:sz w:val="21"/>
                <w:szCs w:val="21"/>
              </w:rPr>
              <w:t>2</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年（含）</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51,795,418.30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7.13</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6,404,639.07</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45,390,779.23</w:t>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w:t>
            </w: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年（含）</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12,621,501.02</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1.74</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2,123,424.06</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10,498,076.96</w:t>
            </w:r>
          </w:p>
        </w:tc>
      </w:tr>
      <w:tr>
        <w:trPr>
          <w:trHeight w:val="299"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年以上</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30,541,209.65</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4.2</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9,265,869.92</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21,275,339.73</w:t>
            </w:r>
          </w:p>
        </w:tc>
      </w:tr>
      <w:tr>
        <w:trPr>
          <w:trHeight w:val="307"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tabs>
                <w:tab w:pos="440" w:val="left" w:leader="none"/>
              </w:tabs>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726,272,555.33</w:t>
            </w:r>
            <w:r>
              <w:rPr>
                <w:rFonts w:ascii="Century Gothic"/>
                <w:b/>
                <w:w w:val="95"/>
                <w:sz w:val="21"/>
              </w:rPr>
            </w:r>
            <w:r>
              <w:rPr>
                <w:rFonts w:ascii="Century Gothic"/>
                <w:sz w:val="21"/>
              </w:rPr>
            </w:r>
          </w:p>
        </w:tc>
        <w:tc>
          <w:tcPr>
            <w:tcW w:w="10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left="309" w:right="0"/>
              <w:jc w:val="left"/>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100.00</w:t>
            </w:r>
            <w:r>
              <w:rPr>
                <w:rFonts w:ascii="Century Gothic"/>
                <w:b/>
                <w:sz w:val="21"/>
              </w:rPr>
            </w:r>
            <w:r>
              <w:rPr>
                <w:rFonts w:ascii="Century Gothic"/>
                <w:sz w:val="21"/>
              </w:rPr>
            </w:r>
          </w:p>
        </w:tc>
        <w:tc>
          <w:tcPr>
            <w:tcW w:w="1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32,552,625.11</w:t>
            </w:r>
            <w:r>
              <w:rPr>
                <w:rFonts w:ascii="Century Gothic"/>
                <w:b/>
                <w:w w:val="95"/>
                <w:sz w:val="21"/>
              </w:rPr>
            </w:r>
            <w:r>
              <w:rPr>
                <w:rFonts w:ascii="Century Gothic"/>
                <w:sz w:val="21"/>
              </w:rPr>
            </w:r>
          </w:p>
        </w:tc>
        <w:tc>
          <w:tcPr>
            <w:tcW w:w="19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693,719,930.22</w:t>
            </w:r>
            <w:r>
              <w:rPr>
                <w:rFonts w:ascii="Century Gothic"/>
                <w:b/>
                <w:w w:val="95"/>
                <w:sz w:val="21"/>
              </w:rPr>
            </w:r>
            <w:r>
              <w:rPr>
                <w:rFonts w:ascii="Century Gothic"/>
                <w:sz w:val="21"/>
              </w:rPr>
            </w:r>
          </w:p>
        </w:tc>
      </w:tr>
    </w:tbl>
    <w:p>
      <w:pPr>
        <w:pStyle w:val="BodyText"/>
        <w:spacing w:line="336" w:lineRule="auto" w:before="86"/>
        <w:ind w:left="757" w:right="209" w:hanging="200"/>
        <w:jc w:val="left"/>
      </w:pPr>
      <w:r>
        <w:rPr/>
        <w:t>（</w:t>
      </w:r>
      <w:r>
        <w:rPr>
          <w:rFonts w:ascii="Century Gothic" w:hAnsi="Century Gothic" w:cs="Century Gothic" w:eastAsia="Century Gothic" w:hint="default"/>
        </w:rPr>
        <w:t>3</w:t>
      </w:r>
      <w:r>
        <w:rPr/>
        <w:t>）本年实际核销的应收账款情况 子公司华立仪表集团股份有限公司本年核销无法收回的应收账款</w:t>
      </w:r>
      <w:r>
        <w:rPr>
          <w:spacing w:val="-56"/>
        </w:rPr>
        <w:t> </w:t>
      </w:r>
      <w:r>
        <w:rPr>
          <w:rFonts w:ascii="Century Gothic" w:hAnsi="Century Gothic" w:cs="Century Gothic" w:eastAsia="Century Gothic" w:hint="default"/>
        </w:rPr>
        <w:t>10,459,982.20</w:t>
      </w:r>
      <w:r>
        <w:rPr>
          <w:rFonts w:ascii="Century Gothic" w:hAnsi="Century Gothic" w:cs="Century Gothic" w:eastAsia="Century Gothic" w:hint="default"/>
          <w:spacing w:val="-9"/>
        </w:rPr>
        <w:t> </w:t>
      </w:r>
      <w:r>
        <w:rPr>
          <w:spacing w:val="-3"/>
        </w:rPr>
        <w:t>元，子公司华</w:t>
      </w:r>
    </w:p>
    <w:p>
      <w:pPr>
        <w:pStyle w:val="BodyText"/>
        <w:spacing w:line="240" w:lineRule="auto" w:before="19"/>
        <w:ind w:right="152"/>
        <w:jc w:val="left"/>
      </w:pPr>
      <w:r>
        <w:rPr/>
        <w:t>立仪表集团重庆仪表有限公司本年核销无法收回的应收账款</w:t>
      </w:r>
      <w:r>
        <w:rPr>
          <w:spacing w:val="-60"/>
        </w:rPr>
        <w:t> </w:t>
      </w:r>
      <w:r>
        <w:rPr>
          <w:rFonts w:ascii="Century Gothic" w:hAnsi="Century Gothic" w:cs="Century Gothic" w:eastAsia="Century Gothic" w:hint="default"/>
        </w:rPr>
        <w:t>1,646,654.82</w:t>
      </w:r>
      <w:r>
        <w:rPr>
          <w:rFonts w:ascii="Century Gothic" w:hAnsi="Century Gothic" w:cs="Century Gothic" w:eastAsia="Century Gothic" w:hint="default"/>
          <w:spacing w:val="-13"/>
        </w:rPr>
        <w:t> </w:t>
      </w:r>
      <w:r>
        <w:rPr/>
        <w:t>元。</w:t>
      </w:r>
    </w:p>
    <w:p>
      <w:pPr>
        <w:pStyle w:val="BodyText"/>
        <w:spacing w:line="240" w:lineRule="auto"/>
        <w:ind w:left="558" w:right="0"/>
        <w:jc w:val="left"/>
      </w:pPr>
      <w:r>
        <w:rPr/>
        <w:t>（</w:t>
      </w:r>
      <w:r>
        <w:rPr>
          <w:rFonts w:ascii="Century Gothic" w:hAnsi="Century Gothic" w:cs="Century Gothic" w:eastAsia="Century Gothic" w:hint="default"/>
        </w:rPr>
        <w:t>4</w:t>
      </w:r>
      <w:r>
        <w:rPr/>
        <w:t>）本报告期应收账款中无应收持有本公司</w:t>
      </w:r>
      <w:r>
        <w:rPr>
          <w:spacing w:val="-87"/>
        </w:rPr>
        <w:t> </w:t>
      </w:r>
      <w:r>
        <w:rPr>
          <w:rFonts w:ascii="Century Gothic" w:hAnsi="Century Gothic" w:cs="Century Gothic" w:eastAsia="Century Gothic" w:hint="default"/>
          <w:spacing w:val="-8"/>
        </w:rPr>
        <w:t>5%</w:t>
      </w:r>
      <w:r>
        <w:rPr>
          <w:spacing w:val="-8"/>
        </w:rPr>
        <w:t>（含</w:t>
      </w:r>
      <w:r>
        <w:rPr>
          <w:spacing w:val="-87"/>
        </w:rPr>
        <w:t> </w:t>
      </w:r>
      <w:r>
        <w:rPr>
          <w:rFonts w:ascii="Century Gothic" w:hAnsi="Century Gothic" w:cs="Century Gothic" w:eastAsia="Century Gothic" w:hint="default"/>
        </w:rPr>
        <w:t>5%</w:t>
      </w:r>
      <w:r>
        <w:rPr/>
        <w:t>）以上表决权股份的股东单位欠款情况。</w:t>
      </w:r>
    </w:p>
    <w:p>
      <w:pPr>
        <w:pStyle w:val="BodyText"/>
        <w:spacing w:line="240" w:lineRule="auto"/>
        <w:ind w:left="558" w:right="152"/>
        <w:jc w:val="left"/>
      </w:pPr>
      <w:r>
        <w:rPr/>
        <w:t>（</w:t>
      </w:r>
      <w:r>
        <w:rPr>
          <w:rFonts w:ascii="Century Gothic" w:hAnsi="Century Gothic" w:cs="Century Gothic" w:eastAsia="Century Gothic" w:hint="default"/>
        </w:rPr>
        <w:t>5</w:t>
      </w:r>
      <w:r>
        <w:rPr/>
        <w:t>）年末应收账款前五名单位列示如下：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68</w:t>
      </w:r>
    </w:p>
    <w:p>
      <w:pPr>
        <w:spacing w:after="0"/>
        <w:jc w:val="center"/>
        <w:rPr>
          <w:rFonts w:ascii="Times New Roman" w:hAnsi="Times New Roman" w:cs="Times New Roman" w:eastAsia="Times New Roman" w:hint="default"/>
          <w:sz w:val="18"/>
          <w:szCs w:val="18"/>
        </w:rPr>
        <w:sectPr>
          <w:pgSz w:w="11910" w:h="16840"/>
          <w:pgMar w:top="780" w:bottom="280" w:left="1160" w:right="120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70.860001pt;margin-top:-9.926001pt;width:84.0pt;height:23.94pt;mso-position-horizontal-relative:page;mso-position-vertical-relative:paragraph;z-index:4960"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81" w:type="dxa"/>
        <w:tblLayout w:type="fixed"/>
        <w:tblCellMar>
          <w:top w:w="0" w:type="dxa"/>
          <w:left w:w="0" w:type="dxa"/>
          <w:bottom w:w="0" w:type="dxa"/>
          <w:right w:w="0" w:type="dxa"/>
        </w:tblCellMar>
        <w:tblLook w:val="01E0"/>
      </w:tblPr>
      <w:tblGrid>
        <w:gridCol w:w="1916"/>
        <w:gridCol w:w="1855"/>
        <w:gridCol w:w="1601"/>
        <w:gridCol w:w="1572"/>
        <w:gridCol w:w="1914"/>
      </w:tblGrid>
      <w:tr>
        <w:trPr>
          <w:trHeight w:val="568" w:hRule="exact"/>
        </w:trPr>
        <w:tc>
          <w:tcPr>
            <w:tcW w:w="191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年末金额</w:t>
            </w:r>
          </w:p>
        </w:tc>
        <w:tc>
          <w:tcPr>
            <w:tcW w:w="15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914"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占应收账款总额的</w:t>
            </w:r>
          </w:p>
          <w:p>
            <w:pPr>
              <w:pStyle w:val="TableParagraph"/>
              <w:spacing w:line="290" w:lineRule="exact"/>
              <w:ind w:right="6"/>
              <w:jc w:val="center"/>
              <w:rPr>
                <w:rFonts w:ascii="宋体" w:hAnsi="宋体" w:cs="宋体" w:eastAsia="宋体" w:hint="default"/>
                <w:sz w:val="21"/>
                <w:szCs w:val="21"/>
              </w:rPr>
            </w:pPr>
            <w:r>
              <w:rPr>
                <w:rFonts w:ascii="宋体" w:hAnsi="宋体" w:cs="宋体" w:eastAsia="宋体" w:hint="default"/>
                <w:sz w:val="21"/>
                <w:szCs w:val="21"/>
              </w:rPr>
              <w:t>比例（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r>
      <w:tr>
        <w:trPr>
          <w:trHeight w:val="560" w:hRule="exact"/>
        </w:trPr>
        <w:tc>
          <w:tcPr>
            <w:tcW w:w="191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浙江华立国际发展</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销售电表客户</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46" w:right="0"/>
              <w:jc w:val="center"/>
              <w:rPr>
                <w:rFonts w:ascii="Century Gothic" w:hAnsi="Century Gothic" w:cs="Century Gothic" w:eastAsia="Century Gothic" w:hint="default"/>
                <w:sz w:val="21"/>
                <w:szCs w:val="21"/>
              </w:rPr>
            </w:pPr>
            <w:r>
              <w:rPr>
                <w:rFonts w:ascii="Century Gothic"/>
                <w:sz w:val="21"/>
              </w:rPr>
              <w:t>37,248,224.25</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746" w:right="0"/>
              <w:jc w:val="left"/>
              <w:rPr>
                <w:rFonts w:ascii="Century Gothic" w:hAnsi="Century Gothic" w:cs="Century Gothic" w:eastAsia="Century Gothic" w:hint="default"/>
                <w:sz w:val="21"/>
                <w:szCs w:val="21"/>
              </w:rPr>
            </w:pPr>
            <w:r>
              <w:rPr>
                <w:rFonts w:ascii="Century Gothic"/>
                <w:sz w:val="21"/>
              </w:rPr>
              <w:t>9.24</w:t>
            </w:r>
          </w:p>
        </w:tc>
      </w:tr>
      <w:tr>
        <w:trPr>
          <w:trHeight w:val="562" w:hRule="exact"/>
        </w:trPr>
        <w:tc>
          <w:tcPr>
            <w:tcW w:w="191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华立集团（泰国）</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电气有限公司</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销售电表客户</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46" w:right="0"/>
              <w:jc w:val="center"/>
              <w:rPr>
                <w:rFonts w:ascii="Century Gothic" w:hAnsi="Century Gothic" w:cs="Century Gothic" w:eastAsia="Century Gothic" w:hint="default"/>
                <w:sz w:val="21"/>
                <w:szCs w:val="21"/>
              </w:rPr>
            </w:pPr>
            <w:r>
              <w:rPr>
                <w:rFonts w:ascii="Century Gothic"/>
                <w:sz w:val="21"/>
              </w:rPr>
              <w:t>16,720,463.93</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746" w:right="0"/>
              <w:jc w:val="left"/>
              <w:rPr>
                <w:rFonts w:ascii="Century Gothic" w:hAnsi="Century Gothic" w:cs="Century Gothic" w:eastAsia="Century Gothic" w:hint="default"/>
                <w:sz w:val="21"/>
                <w:szCs w:val="21"/>
              </w:rPr>
            </w:pPr>
            <w:r>
              <w:rPr>
                <w:rFonts w:ascii="Century Gothic"/>
                <w:sz w:val="21"/>
              </w:rPr>
              <w:t>4.15</w:t>
            </w:r>
          </w:p>
        </w:tc>
      </w:tr>
      <w:tr>
        <w:trPr>
          <w:trHeight w:val="299" w:hRule="exact"/>
        </w:trPr>
        <w:tc>
          <w:tcPr>
            <w:tcW w:w="19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21" w:right="0"/>
              <w:jc w:val="center"/>
              <w:rPr>
                <w:rFonts w:ascii="Times New Roman" w:hAnsi="Times New Roman" w:cs="Times New Roman" w:eastAsia="Times New Roman" w:hint="default"/>
                <w:sz w:val="21"/>
                <w:szCs w:val="21"/>
              </w:rPr>
            </w:pPr>
            <w:r>
              <w:rPr>
                <w:rFonts w:ascii="Times New Roman"/>
                <w:sz w:val="21"/>
              </w:rPr>
              <w:t>Sanofi-AentisS.P.A.</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销售青蒿素客户</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61" w:right="0"/>
              <w:jc w:val="center"/>
              <w:rPr>
                <w:rFonts w:ascii="Century Gothic" w:hAnsi="Century Gothic" w:cs="Century Gothic" w:eastAsia="Century Gothic" w:hint="default"/>
                <w:sz w:val="21"/>
                <w:szCs w:val="21"/>
              </w:rPr>
            </w:pPr>
            <w:r>
              <w:rPr>
                <w:rFonts w:ascii="Century Gothic"/>
                <w:sz w:val="21"/>
              </w:rPr>
              <w:t>8,739,712.04</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0"/>
              <w:jc w:val="center"/>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left="746" w:right="0"/>
              <w:jc w:val="left"/>
              <w:rPr>
                <w:rFonts w:ascii="Century Gothic" w:hAnsi="Century Gothic" w:cs="Century Gothic" w:eastAsia="Century Gothic" w:hint="default"/>
                <w:sz w:val="21"/>
                <w:szCs w:val="21"/>
              </w:rPr>
            </w:pPr>
            <w:r>
              <w:rPr>
                <w:rFonts w:ascii="Century Gothic"/>
                <w:sz w:val="21"/>
              </w:rPr>
              <w:t>2.17</w:t>
            </w:r>
          </w:p>
        </w:tc>
      </w:tr>
      <w:tr>
        <w:trPr>
          <w:trHeight w:val="562" w:hRule="exact"/>
        </w:trPr>
        <w:tc>
          <w:tcPr>
            <w:tcW w:w="191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新疆新能源物资集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销售电表客户</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61" w:right="0"/>
              <w:jc w:val="center"/>
              <w:rPr>
                <w:rFonts w:ascii="Century Gothic" w:hAnsi="Century Gothic" w:cs="Century Gothic" w:eastAsia="Century Gothic" w:hint="default"/>
                <w:sz w:val="21"/>
                <w:szCs w:val="21"/>
              </w:rPr>
            </w:pPr>
            <w:r>
              <w:rPr>
                <w:rFonts w:ascii="Century Gothic"/>
                <w:sz w:val="21"/>
              </w:rPr>
              <w:t>7,918,898.85</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746" w:right="0"/>
              <w:jc w:val="left"/>
              <w:rPr>
                <w:rFonts w:ascii="Century Gothic" w:hAnsi="Century Gothic" w:cs="Century Gothic" w:eastAsia="Century Gothic" w:hint="default"/>
                <w:sz w:val="21"/>
                <w:szCs w:val="21"/>
              </w:rPr>
            </w:pPr>
            <w:r>
              <w:rPr>
                <w:rFonts w:ascii="Century Gothic"/>
                <w:sz w:val="21"/>
              </w:rPr>
              <w:t>1.96</w:t>
            </w:r>
          </w:p>
        </w:tc>
      </w:tr>
      <w:tr>
        <w:trPr>
          <w:trHeight w:val="560" w:hRule="exact"/>
        </w:trPr>
        <w:tc>
          <w:tcPr>
            <w:tcW w:w="191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湖北鄂能物资有限</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销售电表客户</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61" w:right="0"/>
              <w:jc w:val="center"/>
              <w:rPr>
                <w:rFonts w:ascii="Century Gothic" w:hAnsi="Century Gothic" w:cs="Century Gothic" w:eastAsia="Century Gothic" w:hint="default"/>
                <w:sz w:val="21"/>
                <w:szCs w:val="21"/>
              </w:rPr>
            </w:pPr>
            <w:r>
              <w:rPr>
                <w:rFonts w:ascii="Century Gothic"/>
                <w:sz w:val="21"/>
              </w:rPr>
              <w:t>7,322,533.00</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9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746" w:right="0"/>
              <w:jc w:val="left"/>
              <w:rPr>
                <w:rFonts w:ascii="Century Gothic" w:hAnsi="Century Gothic" w:cs="Century Gothic" w:eastAsia="Century Gothic" w:hint="default"/>
                <w:sz w:val="21"/>
                <w:szCs w:val="21"/>
              </w:rPr>
            </w:pPr>
            <w:r>
              <w:rPr>
                <w:rFonts w:ascii="Century Gothic"/>
                <w:sz w:val="21"/>
              </w:rPr>
              <w:t>1.82</w:t>
            </w:r>
          </w:p>
        </w:tc>
      </w:tr>
      <w:tr>
        <w:trPr>
          <w:trHeight w:val="307" w:hRule="exact"/>
        </w:trPr>
        <w:tc>
          <w:tcPr>
            <w:tcW w:w="1916"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7"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55" w:type="dxa"/>
            <w:tcBorders>
              <w:top w:val="single" w:sz="6" w:space="0" w:color="000000"/>
              <w:left w:val="single" w:sz="6" w:space="0" w:color="000000"/>
              <w:bottom w:val="single" w:sz="12" w:space="0" w:color="000000"/>
              <w:right w:val="single" w:sz="6" w:space="0" w:color="000000"/>
            </w:tcBorders>
          </w:tcPr>
          <w:p>
            <w:pP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left="32"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77,949,832.07</w:t>
            </w:r>
            <w:r>
              <w:rPr>
                <w:rFonts w:ascii="Century Gothic"/>
                <w:b/>
                <w:sz w:val="21"/>
              </w:rPr>
            </w:r>
            <w:r>
              <w:rPr>
                <w:rFonts w:ascii="Century Gothic"/>
                <w:sz w:val="21"/>
              </w:rPr>
            </w:r>
          </w:p>
        </w:tc>
        <w:tc>
          <w:tcPr>
            <w:tcW w:w="1572" w:type="dxa"/>
            <w:tcBorders>
              <w:top w:val="single" w:sz="6" w:space="0" w:color="000000"/>
              <w:left w:val="single" w:sz="6" w:space="0" w:color="000000"/>
              <w:bottom w:val="single" w:sz="12" w:space="0" w:color="000000"/>
              <w:right w:val="single" w:sz="6" w:space="0" w:color="000000"/>
            </w:tcBorders>
          </w:tcPr>
          <w:p>
            <w:pPr/>
          </w:p>
        </w:tc>
        <w:tc>
          <w:tcPr>
            <w:tcW w:w="191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left="685" w:right="0"/>
              <w:jc w:val="left"/>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19.34</w:t>
            </w:r>
            <w:r>
              <w:rPr>
                <w:rFonts w:ascii="Century Gothic"/>
                <w:b/>
                <w:sz w:val="21"/>
              </w:rPr>
            </w:r>
            <w:r>
              <w:rPr>
                <w:rFonts w:ascii="Century Gothic"/>
                <w:sz w:val="21"/>
              </w:rPr>
            </w:r>
          </w:p>
        </w:tc>
      </w:tr>
    </w:tbl>
    <w:p>
      <w:pPr>
        <w:pStyle w:val="BodyText"/>
        <w:spacing w:line="240" w:lineRule="auto" w:before="94"/>
        <w:ind w:left="558" w:right="0"/>
        <w:jc w:val="left"/>
      </w:pPr>
      <w:r>
        <w:rPr/>
        <w:t>（</w:t>
      </w:r>
      <w:r>
        <w:rPr>
          <w:rFonts w:ascii="Century Gothic" w:hAnsi="Century Gothic" w:cs="Century Gothic" w:eastAsia="Century Gothic" w:hint="default"/>
        </w:rPr>
        <w:t>6</w:t>
      </w:r>
      <w:r>
        <w:rPr/>
        <w:t>）应收关联方账款情况</w:t>
      </w:r>
    </w:p>
    <w:p>
      <w:pPr>
        <w:spacing w:line="240" w:lineRule="auto" w:before="9"/>
        <w:rPr>
          <w:rFonts w:ascii="宋体" w:hAnsi="宋体" w:cs="宋体" w:eastAsia="宋体" w:hint="default"/>
          <w:sz w:val="11"/>
          <w:szCs w:val="11"/>
        </w:rPr>
      </w:pPr>
    </w:p>
    <w:tbl>
      <w:tblPr>
        <w:tblW w:w="0" w:type="auto"/>
        <w:jc w:val="left"/>
        <w:tblInd w:w="297" w:type="dxa"/>
        <w:tblLayout w:type="fixed"/>
        <w:tblCellMar>
          <w:top w:w="0" w:type="dxa"/>
          <w:left w:w="0" w:type="dxa"/>
          <w:bottom w:w="0" w:type="dxa"/>
          <w:right w:w="0" w:type="dxa"/>
        </w:tblCellMar>
        <w:tblLook w:val="01E0"/>
      </w:tblPr>
      <w:tblGrid>
        <w:gridCol w:w="2453"/>
        <w:gridCol w:w="2158"/>
        <w:gridCol w:w="2273"/>
        <w:gridCol w:w="1945"/>
      </w:tblGrid>
      <w:tr>
        <w:trPr>
          <w:trHeight w:val="568" w:hRule="exact"/>
        </w:trPr>
        <w:tc>
          <w:tcPr>
            <w:tcW w:w="245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2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709"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945"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占应收账款总额的</w:t>
            </w:r>
          </w:p>
          <w:p>
            <w:pPr>
              <w:pStyle w:val="TableParagraph"/>
              <w:spacing w:line="290" w:lineRule="exact"/>
              <w:ind w:right="6"/>
              <w:jc w:val="center"/>
              <w:rPr>
                <w:rFonts w:ascii="宋体" w:hAnsi="宋体" w:cs="宋体" w:eastAsia="宋体" w:hint="default"/>
                <w:sz w:val="21"/>
                <w:szCs w:val="21"/>
              </w:rPr>
            </w:pPr>
            <w:r>
              <w:rPr>
                <w:rFonts w:ascii="宋体" w:hAnsi="宋体" w:cs="宋体" w:eastAsia="宋体" w:hint="default"/>
                <w:sz w:val="21"/>
                <w:szCs w:val="21"/>
              </w:rPr>
              <w:t>比例（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r>
      <w:tr>
        <w:trPr>
          <w:trHeight w:val="560" w:hRule="exact"/>
        </w:trPr>
        <w:tc>
          <w:tcPr>
            <w:tcW w:w="245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浙江华立国际发展有限</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同受华立集团股份有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限公司控制</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37,248,224.25</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9.24</w:t>
            </w:r>
          </w:p>
        </w:tc>
      </w:tr>
      <w:tr>
        <w:trPr>
          <w:trHeight w:val="562" w:hRule="exact"/>
        </w:trPr>
        <w:tc>
          <w:tcPr>
            <w:tcW w:w="245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华立集团（泰国）电气有</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同受华立集团股份有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限公司控制</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16,720,463.93</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4.15</w:t>
            </w:r>
          </w:p>
        </w:tc>
      </w:tr>
      <w:tr>
        <w:trPr>
          <w:trHeight w:val="560" w:hRule="exact"/>
        </w:trPr>
        <w:tc>
          <w:tcPr>
            <w:tcW w:w="2453"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3"/>
                <w:sz w:val="21"/>
                <w:szCs w:val="21"/>
              </w:rPr>
              <w:t>杭州华立电力系统工程</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同受华立集团股份有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限公司控制</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1,226,524.81</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0.30</w:t>
            </w:r>
          </w:p>
        </w:tc>
      </w:tr>
      <w:tr>
        <w:trPr>
          <w:trHeight w:val="307" w:hRule="exact"/>
        </w:trPr>
        <w:tc>
          <w:tcPr>
            <w:tcW w:w="2453" w:type="dxa"/>
            <w:tcBorders>
              <w:top w:val="single" w:sz="6" w:space="0" w:color="000000"/>
              <w:left w:val="nil" w:sz="6" w:space="0" w:color="auto"/>
              <w:bottom w:val="single" w:sz="12"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58" w:type="dxa"/>
            <w:tcBorders>
              <w:top w:val="single" w:sz="6" w:space="0" w:color="000000"/>
              <w:left w:val="single" w:sz="6" w:space="0" w:color="000000"/>
              <w:bottom w:val="single" w:sz="12" w:space="0" w:color="000000"/>
              <w:right w:val="single" w:sz="6" w:space="0" w:color="000000"/>
            </w:tcBorders>
          </w:tcPr>
          <w:p>
            <w:pPr/>
          </w:p>
        </w:tc>
        <w:tc>
          <w:tcPr>
            <w:tcW w:w="22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55,195,212.99</w:t>
            </w:r>
            <w:r>
              <w:rPr>
                <w:rFonts w:ascii="Century Gothic"/>
                <w:b/>
                <w:w w:val="95"/>
                <w:sz w:val="21"/>
              </w:rPr>
            </w:r>
            <w:r>
              <w:rPr>
                <w:rFonts w:ascii="Century Gothic"/>
                <w:sz w:val="21"/>
              </w:rPr>
            </w:r>
          </w:p>
        </w:tc>
        <w:tc>
          <w:tcPr>
            <w:tcW w:w="1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13.69</w:t>
            </w:r>
            <w:r>
              <w:rPr>
                <w:rFonts w:ascii="Century Gothic"/>
                <w:b/>
                <w:w w:val="95"/>
                <w:sz w:val="21"/>
              </w:rPr>
            </w:r>
            <w:r>
              <w:rPr>
                <w:rFonts w:ascii="Century Gothic"/>
                <w:sz w:val="21"/>
              </w:rPr>
            </w:r>
          </w:p>
        </w:tc>
      </w:tr>
    </w:tbl>
    <w:p>
      <w:pPr>
        <w:pStyle w:val="Heading4"/>
        <w:tabs>
          <w:tab w:pos="1413" w:val="left" w:leader="none"/>
        </w:tabs>
        <w:spacing w:line="240" w:lineRule="auto" w:before="26"/>
        <w:ind w:right="0"/>
        <w:jc w:val="left"/>
        <w:rPr>
          <w:rFonts w:ascii="宋体" w:hAnsi="宋体" w:cs="宋体" w:eastAsia="宋体" w:hint="default"/>
          <w:b w:val="0"/>
          <w:bCs w:val="0"/>
        </w:rPr>
      </w:pPr>
      <w:r>
        <w:rPr>
          <w:rFonts w:ascii="宋体" w:hAnsi="宋体" w:cs="宋体" w:eastAsia="宋体" w:hint="default"/>
          <w:w w:val="95"/>
        </w:rPr>
        <w:t>（四）</w:t>
        <w:tab/>
      </w:r>
      <w:r>
        <w:rPr>
          <w:rFonts w:ascii="宋体" w:hAnsi="宋体" w:cs="宋体" w:eastAsia="宋体" w:hint="default"/>
        </w:rPr>
        <w:t>其他应收款</w:t>
      </w:r>
      <w:r>
        <w:rPr>
          <w:rFonts w:ascii="宋体" w:hAnsi="宋体" w:cs="宋体" w:eastAsia="宋体" w:hint="default"/>
          <w:b w:val="0"/>
          <w:bCs w:val="0"/>
        </w:rPr>
      </w:r>
    </w:p>
    <w:p>
      <w:pPr>
        <w:spacing w:line="240" w:lineRule="auto" w:before="11"/>
        <w:rPr>
          <w:rFonts w:ascii="宋体" w:hAnsi="宋体" w:cs="宋体" w:eastAsia="宋体" w:hint="default"/>
          <w:b/>
          <w:bCs/>
          <w:sz w:val="14"/>
          <w:szCs w:val="14"/>
        </w:rPr>
      </w:pPr>
    </w:p>
    <w:p>
      <w:pPr>
        <w:pStyle w:val="BodyText"/>
        <w:spacing w:line="240" w:lineRule="auto" w:before="0"/>
        <w:ind w:left="558" w:right="0"/>
        <w:jc w:val="left"/>
      </w:pPr>
      <w:r>
        <w:rPr/>
        <w:t>（</w:t>
      </w:r>
      <w:r>
        <w:rPr>
          <w:rFonts w:ascii="Century Gothic" w:hAnsi="Century Gothic" w:cs="Century Gothic" w:eastAsia="Century Gothic" w:hint="default"/>
        </w:rPr>
        <w:t>1</w:t>
      </w:r>
      <w:r>
        <w:rPr/>
        <w:t>）其他应收款按类别分析列示如下：</w:t>
      </w:r>
    </w:p>
    <w:p>
      <w:pPr>
        <w:spacing w:line="240" w:lineRule="auto" w:before="11"/>
        <w:rPr>
          <w:rFonts w:ascii="宋体" w:hAnsi="宋体" w:cs="宋体" w:eastAsia="宋体" w:hint="default"/>
          <w:sz w:val="20"/>
          <w:szCs w:val="20"/>
        </w:rPr>
      </w:pPr>
    </w:p>
    <w:tbl>
      <w:tblPr>
        <w:tblW w:w="0" w:type="auto"/>
        <w:jc w:val="left"/>
        <w:tblInd w:w="281" w:type="dxa"/>
        <w:tblLayout w:type="fixed"/>
        <w:tblCellMar>
          <w:top w:w="0" w:type="dxa"/>
          <w:left w:w="0" w:type="dxa"/>
          <w:bottom w:w="0" w:type="dxa"/>
          <w:right w:w="0" w:type="dxa"/>
        </w:tblCellMar>
        <w:tblLook w:val="01E0"/>
      </w:tblPr>
      <w:tblGrid>
        <w:gridCol w:w="2107"/>
        <w:gridCol w:w="1686"/>
        <w:gridCol w:w="884"/>
        <w:gridCol w:w="1570"/>
        <w:gridCol w:w="925"/>
        <w:gridCol w:w="1686"/>
      </w:tblGrid>
      <w:tr>
        <w:trPr>
          <w:trHeight w:val="362" w:hRule="exact"/>
        </w:trPr>
        <w:tc>
          <w:tcPr>
            <w:tcW w:w="2107"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751" w:type="dxa"/>
            <w:gridSpan w:val="5"/>
            <w:tcBorders>
              <w:top w:val="single" w:sz="12"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107" w:type="dxa"/>
            <w:vMerge/>
            <w:tcBorders>
              <w:left w:val="nil" w:sz="6" w:space="0" w:color="auto"/>
              <w:right w:val="single" w:sz="6" w:space="0" w:color="000000"/>
            </w:tcBorders>
          </w:tcPr>
          <w:p>
            <w:pPr/>
          </w:p>
        </w:tc>
        <w:tc>
          <w:tcPr>
            <w:tcW w:w="2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24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8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6" w:type="dxa"/>
            <w:vMerge w:val="restart"/>
            <w:tcBorders>
              <w:top w:val="single" w:sz="6" w:space="0" w:color="000000"/>
              <w:left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60" w:hRule="exact"/>
        </w:trPr>
        <w:tc>
          <w:tcPr>
            <w:tcW w:w="2107" w:type="dxa"/>
            <w:vMerge/>
            <w:tcBorders>
              <w:left w:val="nil" w:sz="6" w:space="0" w:color="auto"/>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90" w:lineRule="exact"/>
              <w:ind w:left="142" w:right="0"/>
              <w:jc w:val="left"/>
              <w:rPr>
                <w:rFonts w:ascii="宋体" w:hAnsi="宋体" w:cs="宋体" w:eastAsia="宋体" w:hint="default"/>
                <w:sz w:val="21"/>
                <w:szCs w:val="21"/>
              </w:rPr>
            </w:pPr>
            <w:r>
              <w:rPr>
                <w:rFonts w:ascii="宋体" w:hAnsi="宋体" w:cs="宋体" w:eastAsia="宋体" w:hint="default"/>
                <w:sz w:val="21"/>
                <w:szCs w:val="21"/>
              </w:rPr>
              <w:t>（</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39"/>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100" w:right="0"/>
              <w:jc w:val="left"/>
              <w:rPr>
                <w:rFonts w:ascii="宋体" w:hAnsi="宋体" w:cs="宋体" w:eastAsia="宋体" w:hint="default"/>
                <w:sz w:val="21"/>
                <w:szCs w:val="21"/>
              </w:rPr>
            </w:pPr>
            <w:r>
              <w:rPr>
                <w:rFonts w:ascii="宋体" w:hAnsi="宋体" w:cs="宋体" w:eastAsia="宋体" w:hint="default"/>
                <w:sz w:val="21"/>
                <w:szCs w:val="21"/>
              </w:rPr>
              <w:t>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686" w:type="dxa"/>
            <w:vMerge/>
            <w:tcBorders>
              <w:left w:val="single" w:sz="6" w:space="0" w:color="000000"/>
              <w:bottom w:val="single" w:sz="6" w:space="0" w:color="000000"/>
              <w:right w:val="nil" w:sz="6" w:space="0" w:color="auto"/>
            </w:tcBorders>
          </w:tcPr>
          <w:p>
            <w:pPr/>
          </w:p>
        </w:tc>
      </w:tr>
      <w:tr>
        <w:trPr>
          <w:trHeight w:val="562" w:hRule="exact"/>
        </w:trPr>
        <w:tc>
          <w:tcPr>
            <w:tcW w:w="210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单项金额</w:t>
            </w:r>
            <w:r>
              <w:rPr>
                <w:rFonts w:ascii="宋体" w:hAnsi="宋体" w:cs="宋体" w:eastAsia="宋体" w:hint="default"/>
                <w:spacing w:val="-77"/>
                <w:sz w:val="21"/>
                <w:szCs w:val="21"/>
              </w:rPr>
              <w:t> </w:t>
            </w:r>
            <w:r>
              <w:rPr>
                <w:rFonts w:ascii="宋体" w:hAnsi="宋体" w:cs="宋体" w:eastAsia="宋体" w:hint="default"/>
                <w:sz w:val="21"/>
                <w:szCs w:val="21"/>
              </w:rPr>
              <w:t>重</w:t>
            </w:r>
            <w:r>
              <w:rPr>
                <w:rFonts w:ascii="宋体" w:hAnsi="宋体" w:cs="宋体" w:eastAsia="宋体" w:hint="default"/>
                <w:spacing w:val="-77"/>
                <w:sz w:val="21"/>
                <w:szCs w:val="21"/>
              </w:rPr>
              <w:t> </w:t>
            </w:r>
            <w:r>
              <w:rPr>
                <w:rFonts w:ascii="宋体" w:hAnsi="宋体" w:cs="宋体" w:eastAsia="宋体" w:hint="default"/>
                <w:spacing w:val="18"/>
                <w:sz w:val="21"/>
                <w:szCs w:val="21"/>
              </w:rPr>
              <w:t>大的其</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他应收款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5" w:right="0"/>
              <w:jc w:val="center"/>
              <w:rPr>
                <w:rFonts w:ascii="Century Gothic" w:hAnsi="Century Gothic" w:cs="Century Gothic" w:eastAsia="Century Gothic" w:hint="default"/>
                <w:sz w:val="21"/>
                <w:szCs w:val="21"/>
              </w:rPr>
            </w:pPr>
            <w:r>
              <w:rPr>
                <w:rFonts w:ascii="Century Gothic"/>
                <w:sz w:val="21"/>
              </w:rPr>
              <w:t>123,262,412.93</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68.90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3" w:right="0"/>
              <w:jc w:val="center"/>
              <w:rPr>
                <w:rFonts w:ascii="Century Gothic" w:hAnsi="Century Gothic" w:cs="Century Gothic" w:eastAsia="Century Gothic" w:hint="default"/>
                <w:sz w:val="21"/>
                <w:szCs w:val="21"/>
              </w:rPr>
            </w:pPr>
            <w:r>
              <w:rPr>
                <w:rFonts w:ascii="Century Gothic"/>
                <w:sz w:val="21"/>
              </w:rPr>
              <w:t>49,278,088.87</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center"/>
              <w:rPr>
                <w:rFonts w:ascii="Century Gothic" w:hAnsi="Century Gothic" w:cs="Century Gothic" w:eastAsia="Century Gothic" w:hint="default"/>
                <w:sz w:val="21"/>
                <w:szCs w:val="21"/>
              </w:rPr>
            </w:pPr>
            <w:r>
              <w:rPr>
                <w:rFonts w:ascii="Century Gothic"/>
                <w:sz w:val="21"/>
              </w:rPr>
              <w:t>0.5-100</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73,984,324.06</w:t>
            </w:r>
          </w:p>
        </w:tc>
      </w:tr>
      <w:tr>
        <w:trPr>
          <w:trHeight w:val="560" w:hRule="exact"/>
        </w:trPr>
        <w:tc>
          <w:tcPr>
            <w:tcW w:w="210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其他不重</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pacing w:val="18"/>
                <w:sz w:val="21"/>
                <w:szCs w:val="21"/>
              </w:rPr>
              <w:t>其他应</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32" w:right="0"/>
              <w:jc w:val="center"/>
              <w:rPr>
                <w:rFonts w:ascii="Century Gothic" w:hAnsi="Century Gothic" w:cs="Century Gothic" w:eastAsia="Century Gothic" w:hint="default"/>
                <w:sz w:val="21"/>
                <w:szCs w:val="21"/>
              </w:rPr>
            </w:pPr>
            <w:r>
              <w:rPr>
                <w:rFonts w:ascii="Century Gothic"/>
                <w:sz w:val="21"/>
              </w:rPr>
              <w:t>55,643,013.37</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2"/>
                <w:sz w:val="21"/>
              </w:rPr>
              <w:t>31.10</w:t>
            </w:r>
            <w:r>
              <w:rPr>
                <w:rFonts w:ascii="Century Gothic"/>
                <w:sz w:val="21"/>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2" w:right="0"/>
              <w:jc w:val="center"/>
              <w:rPr>
                <w:rFonts w:ascii="Century Gothic" w:hAnsi="Century Gothic" w:cs="Century Gothic" w:eastAsia="Century Gothic" w:hint="default"/>
                <w:sz w:val="21"/>
                <w:szCs w:val="21"/>
              </w:rPr>
            </w:pPr>
            <w:r>
              <w:rPr>
                <w:rFonts w:ascii="Century Gothic"/>
                <w:sz w:val="21"/>
              </w:rPr>
              <w:t>10,850,974.75</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center"/>
              <w:rPr>
                <w:rFonts w:ascii="Century Gothic" w:hAnsi="Century Gothic" w:cs="Century Gothic" w:eastAsia="Century Gothic" w:hint="default"/>
                <w:sz w:val="21"/>
                <w:szCs w:val="21"/>
              </w:rPr>
            </w:pPr>
            <w:r>
              <w:rPr>
                <w:rFonts w:ascii="Century Gothic"/>
                <w:sz w:val="21"/>
              </w:rPr>
              <w:t>0.5-100</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44,792,038.62</w:t>
            </w:r>
          </w:p>
        </w:tc>
      </w:tr>
      <w:tr>
        <w:trPr>
          <w:trHeight w:val="355" w:hRule="exact"/>
        </w:trPr>
        <w:tc>
          <w:tcPr>
            <w:tcW w:w="2107" w:type="dxa"/>
            <w:tcBorders>
              <w:top w:val="single" w:sz="6" w:space="0" w:color="000000"/>
              <w:left w:val="nil" w:sz="6" w:space="0" w:color="auto"/>
              <w:bottom w:val="single" w:sz="6" w:space="0" w:color="000000"/>
              <w:right w:val="single" w:sz="6" w:space="0" w:color="000000"/>
            </w:tcBorders>
          </w:tcPr>
          <w:p>
            <w:pPr>
              <w:pStyle w:val="TableParagraph"/>
              <w:tabs>
                <w:tab w:pos="437"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178,905,426.30</w:t>
            </w:r>
            <w:r>
              <w:rPr>
                <w:rFonts w:ascii="Century Gothic"/>
                <w:b/>
                <w:sz w:val="21"/>
              </w:rPr>
            </w:r>
            <w:r>
              <w:rPr>
                <w:rFonts w:ascii="Century Gothic"/>
                <w:sz w:val="21"/>
              </w:rPr>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spacing w:val="-1"/>
                <w:w w:val="95"/>
                <w:sz w:val="21"/>
                <w:u w:val="single" w:color="000000"/>
              </w:rPr>
              <w:t>100.00</w:t>
            </w:r>
            <w:r>
              <w:rPr>
                <w:rFonts w:ascii="Century Gothic"/>
                <w:b/>
                <w:spacing w:val="-1"/>
                <w:w w:val="95"/>
                <w:sz w:val="21"/>
              </w:rPr>
            </w:r>
            <w:r>
              <w:rPr>
                <w:rFonts w:ascii="Century Gothic"/>
                <w:sz w:val="21"/>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60,129,063.62</w:t>
            </w:r>
            <w:r>
              <w:rPr>
                <w:rFonts w:ascii="Century Gothic"/>
                <w:b/>
                <w:sz w:val="21"/>
              </w:rPr>
            </w:r>
            <w:r>
              <w:rPr>
                <w:rFonts w:ascii="Century Gothic"/>
                <w:sz w:val="21"/>
              </w:rPr>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64"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100.00</w:t>
            </w:r>
            <w:r>
              <w:rPr>
                <w:rFonts w:ascii="Century Gothic"/>
                <w:b/>
                <w:sz w:val="21"/>
              </w:rPr>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118,776,362.68</w:t>
            </w:r>
            <w:r>
              <w:rPr>
                <w:rFonts w:ascii="Century Gothic"/>
                <w:b/>
                <w:w w:val="95"/>
                <w:sz w:val="21"/>
              </w:rPr>
            </w:r>
            <w:r>
              <w:rPr>
                <w:rFonts w:ascii="Century Gothic"/>
                <w:sz w:val="21"/>
              </w:rPr>
            </w:r>
          </w:p>
        </w:tc>
      </w:tr>
      <w:tr>
        <w:trPr>
          <w:trHeight w:val="355" w:hRule="exact"/>
        </w:trPr>
        <w:tc>
          <w:tcPr>
            <w:tcW w:w="2107"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751"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107" w:type="dxa"/>
            <w:vMerge/>
            <w:tcBorders>
              <w:left w:val="nil" w:sz="6" w:space="0" w:color="auto"/>
              <w:right w:val="single" w:sz="6" w:space="0" w:color="000000"/>
            </w:tcBorders>
          </w:tcPr>
          <w:p>
            <w:pPr/>
          </w:p>
        </w:tc>
        <w:tc>
          <w:tcPr>
            <w:tcW w:w="2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24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8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6" w:type="dxa"/>
            <w:vMerge w:val="restart"/>
            <w:tcBorders>
              <w:top w:val="single" w:sz="6" w:space="0" w:color="000000"/>
              <w:left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60" w:hRule="exact"/>
        </w:trPr>
        <w:tc>
          <w:tcPr>
            <w:tcW w:w="2107" w:type="dxa"/>
            <w:vMerge/>
            <w:tcBorders>
              <w:left w:val="nil" w:sz="6" w:space="0" w:color="auto"/>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4"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90" w:lineRule="exact"/>
              <w:ind w:left="142" w:right="0"/>
              <w:jc w:val="left"/>
              <w:rPr>
                <w:rFonts w:ascii="宋体" w:hAnsi="宋体" w:cs="宋体" w:eastAsia="宋体" w:hint="default"/>
                <w:sz w:val="21"/>
                <w:szCs w:val="21"/>
              </w:rPr>
            </w:pPr>
            <w:r>
              <w:rPr>
                <w:rFonts w:ascii="宋体" w:hAnsi="宋体" w:cs="宋体" w:eastAsia="宋体" w:hint="default"/>
                <w:sz w:val="21"/>
                <w:szCs w:val="21"/>
              </w:rPr>
              <w:t>（</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39"/>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100" w:right="0"/>
              <w:jc w:val="left"/>
              <w:rPr>
                <w:rFonts w:ascii="宋体" w:hAnsi="宋体" w:cs="宋体" w:eastAsia="宋体" w:hint="default"/>
                <w:sz w:val="21"/>
                <w:szCs w:val="21"/>
              </w:rPr>
            </w:pPr>
            <w:r>
              <w:rPr>
                <w:rFonts w:ascii="宋体" w:hAnsi="宋体" w:cs="宋体" w:eastAsia="宋体" w:hint="default"/>
                <w:sz w:val="21"/>
                <w:szCs w:val="21"/>
              </w:rPr>
              <w:t>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686" w:type="dxa"/>
            <w:vMerge/>
            <w:tcBorders>
              <w:left w:val="single" w:sz="6" w:space="0" w:color="000000"/>
              <w:bottom w:val="single" w:sz="6" w:space="0" w:color="000000"/>
              <w:right w:val="nil" w:sz="6" w:space="0" w:color="auto"/>
            </w:tcBorders>
          </w:tcPr>
          <w:p>
            <w:pPr/>
          </w:p>
        </w:tc>
      </w:tr>
      <w:tr>
        <w:trPr>
          <w:trHeight w:val="562" w:hRule="exact"/>
        </w:trPr>
        <w:tc>
          <w:tcPr>
            <w:tcW w:w="210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单项金额</w:t>
            </w:r>
            <w:r>
              <w:rPr>
                <w:rFonts w:ascii="宋体" w:hAnsi="宋体" w:cs="宋体" w:eastAsia="宋体" w:hint="default"/>
                <w:spacing w:val="-77"/>
                <w:sz w:val="21"/>
                <w:szCs w:val="21"/>
              </w:rPr>
              <w:t> </w:t>
            </w:r>
            <w:r>
              <w:rPr>
                <w:rFonts w:ascii="宋体" w:hAnsi="宋体" w:cs="宋体" w:eastAsia="宋体" w:hint="default"/>
                <w:sz w:val="21"/>
                <w:szCs w:val="21"/>
              </w:rPr>
              <w:t>重</w:t>
            </w:r>
            <w:r>
              <w:rPr>
                <w:rFonts w:ascii="宋体" w:hAnsi="宋体" w:cs="宋体" w:eastAsia="宋体" w:hint="default"/>
                <w:spacing w:val="-77"/>
                <w:sz w:val="21"/>
                <w:szCs w:val="21"/>
              </w:rPr>
              <w:t> </w:t>
            </w:r>
            <w:r>
              <w:rPr>
                <w:rFonts w:ascii="宋体" w:hAnsi="宋体" w:cs="宋体" w:eastAsia="宋体" w:hint="default"/>
                <w:spacing w:val="18"/>
                <w:sz w:val="21"/>
                <w:szCs w:val="21"/>
              </w:rPr>
              <w:t>大的其</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他应收款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31" w:right="0"/>
              <w:jc w:val="center"/>
              <w:rPr>
                <w:rFonts w:ascii="Century Gothic" w:hAnsi="Century Gothic" w:cs="Century Gothic" w:eastAsia="Century Gothic" w:hint="default"/>
                <w:sz w:val="21"/>
                <w:szCs w:val="21"/>
              </w:rPr>
            </w:pPr>
            <w:r>
              <w:rPr>
                <w:rFonts w:ascii="Century Gothic"/>
                <w:sz w:val="21"/>
              </w:rPr>
              <w:t>90,498,784.83</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48.03</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3" w:right="0"/>
              <w:jc w:val="center"/>
              <w:rPr>
                <w:rFonts w:ascii="Century Gothic" w:hAnsi="Century Gothic" w:cs="Century Gothic" w:eastAsia="Century Gothic" w:hint="default"/>
                <w:sz w:val="21"/>
                <w:szCs w:val="21"/>
              </w:rPr>
            </w:pPr>
            <w:r>
              <w:rPr>
                <w:rFonts w:ascii="Century Gothic"/>
                <w:sz w:val="21"/>
              </w:rPr>
              <w:t>36,741,584.47</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center"/>
              <w:rPr>
                <w:rFonts w:ascii="Century Gothic" w:hAnsi="Century Gothic" w:cs="Century Gothic" w:eastAsia="Century Gothic" w:hint="default"/>
                <w:sz w:val="21"/>
                <w:szCs w:val="21"/>
              </w:rPr>
            </w:pPr>
            <w:r>
              <w:rPr>
                <w:rFonts w:ascii="Century Gothic"/>
                <w:sz w:val="21"/>
              </w:rPr>
              <w:t>0.5-100</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53,757,200.36</w:t>
            </w:r>
          </w:p>
        </w:tc>
      </w:tr>
      <w:tr>
        <w:trPr>
          <w:trHeight w:val="560" w:hRule="exact"/>
        </w:trPr>
        <w:tc>
          <w:tcPr>
            <w:tcW w:w="210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0"/>
                <w:sz w:val="21"/>
                <w:szCs w:val="21"/>
              </w:rPr>
              <w:t>其他不重</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pacing w:val="18"/>
                <w:sz w:val="21"/>
                <w:szCs w:val="21"/>
              </w:rPr>
              <w:t>其他应</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收款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32" w:right="0"/>
              <w:jc w:val="center"/>
              <w:rPr>
                <w:rFonts w:ascii="Century Gothic" w:hAnsi="Century Gothic" w:cs="Century Gothic" w:eastAsia="Century Gothic" w:hint="default"/>
                <w:sz w:val="21"/>
                <w:szCs w:val="21"/>
              </w:rPr>
            </w:pPr>
            <w:r>
              <w:rPr>
                <w:rFonts w:ascii="Century Gothic"/>
                <w:sz w:val="21"/>
              </w:rPr>
              <w:t>97,923,060.21</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2"/>
                <w:sz w:val="21"/>
              </w:rPr>
              <w:t>51.97</w:t>
            </w:r>
            <w:r>
              <w:rPr>
                <w:rFonts w:ascii="Century Gothic"/>
                <w:sz w:val="21"/>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2" w:right="0"/>
              <w:jc w:val="center"/>
              <w:rPr>
                <w:rFonts w:ascii="Century Gothic" w:hAnsi="Century Gothic" w:cs="Century Gothic" w:eastAsia="Century Gothic" w:hint="default"/>
                <w:sz w:val="21"/>
                <w:szCs w:val="21"/>
              </w:rPr>
            </w:pPr>
            <w:r>
              <w:rPr>
                <w:rFonts w:ascii="Century Gothic"/>
                <w:sz w:val="21"/>
              </w:rPr>
              <w:t>15,417,686.52</w:t>
            </w:r>
          </w:p>
        </w:tc>
        <w:tc>
          <w:tcPr>
            <w:tcW w:w="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3" w:right="0"/>
              <w:jc w:val="center"/>
              <w:rPr>
                <w:rFonts w:ascii="Century Gothic" w:hAnsi="Century Gothic" w:cs="Century Gothic" w:eastAsia="Century Gothic" w:hint="default"/>
                <w:sz w:val="21"/>
                <w:szCs w:val="21"/>
              </w:rPr>
            </w:pPr>
            <w:r>
              <w:rPr>
                <w:rFonts w:ascii="Century Gothic"/>
                <w:sz w:val="21"/>
              </w:rPr>
              <w:t>0.5-100</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82,505,373.69</w:t>
            </w:r>
          </w:p>
        </w:tc>
      </w:tr>
      <w:tr>
        <w:trPr>
          <w:trHeight w:val="363" w:hRule="exact"/>
        </w:trPr>
        <w:tc>
          <w:tcPr>
            <w:tcW w:w="2107" w:type="dxa"/>
            <w:tcBorders>
              <w:top w:val="single" w:sz="6" w:space="0" w:color="000000"/>
              <w:left w:val="nil" w:sz="6" w:space="0" w:color="auto"/>
              <w:bottom w:val="single" w:sz="12" w:space="0" w:color="000000"/>
              <w:right w:val="single" w:sz="6" w:space="0" w:color="000000"/>
            </w:tcBorders>
          </w:tcPr>
          <w:p>
            <w:pPr>
              <w:pStyle w:val="TableParagraph"/>
              <w:tabs>
                <w:tab w:pos="437" w:val="left" w:leader="none"/>
              </w:tabs>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188,421,845.04</w:t>
            </w:r>
            <w:r>
              <w:rPr>
                <w:rFonts w:ascii="Century Gothic"/>
                <w:b/>
                <w:sz w:val="21"/>
              </w:rPr>
            </w:r>
            <w:r>
              <w:rPr>
                <w:rFonts w:ascii="Century Gothic"/>
                <w:sz w:val="21"/>
              </w:rPr>
            </w:r>
          </w:p>
        </w:tc>
        <w:tc>
          <w:tcPr>
            <w:tcW w:w="8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spacing w:val="-1"/>
                <w:w w:val="95"/>
                <w:sz w:val="21"/>
                <w:u w:val="single" w:color="000000"/>
              </w:rPr>
              <w:t>100.00</w:t>
            </w:r>
            <w:r>
              <w:rPr>
                <w:rFonts w:ascii="Century Gothic"/>
                <w:b/>
                <w:spacing w:val="-1"/>
                <w:w w:val="95"/>
                <w:sz w:val="21"/>
              </w:rPr>
            </w:r>
            <w:r>
              <w:rPr>
                <w:rFonts w:ascii="Century Gothic"/>
                <w:sz w:val="21"/>
              </w:rPr>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52,159,270.99</w:t>
            </w:r>
            <w:r>
              <w:rPr>
                <w:rFonts w:ascii="Century Gothic"/>
                <w:b/>
                <w:sz w:val="21"/>
              </w:rPr>
            </w:r>
            <w:r>
              <w:rPr>
                <w:rFonts w:ascii="Century Gothic"/>
                <w:sz w:val="21"/>
              </w:rPr>
            </w:r>
          </w:p>
        </w:tc>
        <w:tc>
          <w:tcPr>
            <w:tcW w:w="925"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136,262,574.05</w:t>
            </w:r>
            <w:r>
              <w:rPr>
                <w:rFonts w:ascii="Century Gothic"/>
                <w:b/>
                <w:w w:val="95"/>
                <w:sz w:val="21"/>
              </w:rPr>
            </w:r>
            <w:r>
              <w:rPr>
                <w:rFonts w:ascii="Century Gothic"/>
                <w:sz w:val="21"/>
              </w:rPr>
            </w:r>
          </w:p>
        </w:tc>
      </w:tr>
    </w:tbl>
    <w:p>
      <w:pPr>
        <w:pStyle w:val="BodyText"/>
        <w:spacing w:line="240" w:lineRule="auto" w:before="86"/>
        <w:ind w:left="558" w:right="0"/>
        <w:jc w:val="left"/>
      </w:pPr>
      <w:r>
        <w:rPr/>
        <w:t>（</w:t>
      </w:r>
      <w:r>
        <w:rPr>
          <w:rFonts w:ascii="Century Gothic" w:hAnsi="Century Gothic" w:cs="Century Gothic" w:eastAsia="Century Gothic" w:hint="default"/>
        </w:rPr>
        <w:t>2</w:t>
      </w:r>
      <w:r>
        <w:rPr/>
        <w:t>）其他应收款按账龄分析列示如下：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before="76"/>
        <w:ind w:left="482" w:right="320" w:firstLine="0"/>
        <w:jc w:val="center"/>
        <w:rPr>
          <w:rFonts w:ascii="Times New Roman" w:hAnsi="Times New Roman" w:cs="Times New Roman" w:eastAsia="Times New Roman" w:hint="default"/>
          <w:sz w:val="18"/>
          <w:szCs w:val="18"/>
        </w:rPr>
      </w:pPr>
      <w:r>
        <w:rPr>
          <w:rFonts w:ascii="Times New Roman"/>
          <w:sz w:val="18"/>
        </w:rPr>
        <w:t>69</w:t>
      </w:r>
    </w:p>
    <w:p>
      <w:pPr>
        <w:spacing w:after="0"/>
        <w:jc w:val="center"/>
        <w:rPr>
          <w:rFonts w:ascii="Times New Roman" w:hAnsi="Times New Roman" w:cs="Times New Roman" w:eastAsia="Times New Roman" w:hint="default"/>
          <w:sz w:val="18"/>
          <w:szCs w:val="18"/>
        </w:rPr>
        <w:sectPr>
          <w:pgSz w:w="11910" w:h="16840"/>
          <w:pgMar w:top="780" w:bottom="280" w:left="1280" w:right="132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5008"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81" w:type="dxa"/>
        <w:tblLayout w:type="fixed"/>
        <w:tblCellMar>
          <w:top w:w="0" w:type="dxa"/>
          <w:left w:w="0" w:type="dxa"/>
          <w:bottom w:w="0" w:type="dxa"/>
          <w:right w:w="0" w:type="dxa"/>
        </w:tblCellMar>
        <w:tblLook w:val="01E0"/>
      </w:tblPr>
      <w:tblGrid>
        <w:gridCol w:w="2086"/>
        <w:gridCol w:w="1960"/>
        <w:gridCol w:w="1072"/>
        <w:gridCol w:w="1782"/>
        <w:gridCol w:w="1960"/>
      </w:tblGrid>
      <w:tr>
        <w:trPr>
          <w:trHeight w:val="334" w:hRule="exact"/>
        </w:trPr>
        <w:tc>
          <w:tcPr>
            <w:tcW w:w="2086" w:type="dxa"/>
            <w:vMerge w:val="restart"/>
            <w:tcBorders>
              <w:top w:val="single" w:sz="12" w:space="0" w:color="000000"/>
              <w:left w:val="nil" w:sz="6" w:space="0" w:color="auto"/>
              <w:right w:val="single" w:sz="6" w:space="0" w:color="000000"/>
            </w:tcBorders>
          </w:tcPr>
          <w:p>
            <w:pPr>
              <w:pStyle w:val="TableParagraph"/>
              <w:spacing w:line="240" w:lineRule="auto" w:before="134"/>
              <w:ind w:left="63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12" w:space="0" w:color="000000"/>
              <w:left w:val="single" w:sz="6" w:space="0" w:color="000000"/>
              <w:bottom w:val="single" w:sz="6"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8" w:hRule="exact"/>
        </w:trPr>
        <w:tc>
          <w:tcPr>
            <w:tcW w:w="2086" w:type="dxa"/>
            <w:vMerge/>
            <w:tcBorders>
              <w:left w:val="nil" w:sz="6" w:space="0" w:color="auto"/>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right="158"/>
              <w:jc w:val="right"/>
              <w:rPr>
                <w:rFonts w:ascii="Century Gothic" w:hAnsi="Century Gothic" w:cs="Century Gothic" w:eastAsia="Century Gothic" w:hint="default"/>
                <w:sz w:val="21"/>
                <w:szCs w:val="21"/>
              </w:rPr>
            </w:pPr>
            <w:r>
              <w:rPr>
                <w:rFonts w:ascii="宋体" w:hAnsi="宋体" w:cs="宋体" w:eastAsia="宋体" w:hint="default"/>
                <w:spacing w:val="-1"/>
                <w:sz w:val="21"/>
                <w:szCs w:val="21"/>
              </w:rPr>
              <w:t>比例</w:t>
            </w:r>
            <w:r>
              <w:rPr>
                <w:rFonts w:ascii="Century Gothic" w:hAnsi="Century Gothic" w:cs="Century Gothic" w:eastAsia="Century Gothic" w:hint="default"/>
                <w:spacing w:val="-1"/>
                <w:sz w:val="21"/>
                <w:szCs w:val="21"/>
              </w:rPr>
              <w:t>(%)</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94,167,997.86</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52.64</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15,372,603.74</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78,795,394.12</w:t>
            </w:r>
          </w:p>
        </w:tc>
      </w:tr>
      <w:tr>
        <w:trPr>
          <w:trHeight w:val="32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w:t>
            </w:r>
            <w:r>
              <w:rPr>
                <w:rFonts w:ascii="Century Gothic" w:hAnsi="Century Gothic" w:cs="Century Gothic" w:eastAsia="Century Gothic" w:hint="default"/>
                <w:sz w:val="21"/>
                <w:szCs w:val="21"/>
              </w:rPr>
              <w:t>2</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年（含）</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23,285,691.89</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13.02</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3,181,820.28</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20,103,871.61</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w:t>
            </w: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年（含）</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4,765,033.50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2.66</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9"/>
              <w:jc w:val="right"/>
              <w:rPr>
                <w:rFonts w:ascii="Century Gothic" w:hAnsi="Century Gothic" w:cs="Century Gothic" w:eastAsia="Century Gothic" w:hint="default"/>
                <w:sz w:val="21"/>
                <w:szCs w:val="21"/>
              </w:rPr>
            </w:pPr>
            <w:r>
              <w:rPr>
                <w:rFonts w:ascii="Century Gothic"/>
                <w:spacing w:val="-1"/>
                <w:sz w:val="21"/>
              </w:rPr>
              <w:t>835,882.84</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7"/>
              <w:jc w:val="right"/>
              <w:rPr>
                <w:rFonts w:ascii="Century Gothic" w:hAnsi="Century Gothic" w:cs="Century Gothic" w:eastAsia="Century Gothic" w:hint="default"/>
                <w:sz w:val="21"/>
                <w:szCs w:val="21"/>
              </w:rPr>
            </w:pPr>
            <w:r>
              <w:rPr>
                <w:rFonts w:ascii="Century Gothic"/>
                <w:spacing w:val="-1"/>
                <w:sz w:val="21"/>
              </w:rPr>
              <w:t>3,929,150.66</w:t>
            </w:r>
          </w:p>
        </w:tc>
      </w:tr>
      <w:tr>
        <w:trPr>
          <w:trHeight w:val="32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年以上</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56,686,703.05</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31.69</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40,738,756.76</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15,947,946.29</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tabs>
                <w:tab w:pos="440" w:val="left" w:leader="none"/>
              </w:tabs>
              <w:spacing w:line="261"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178,905,426.30</w:t>
            </w:r>
            <w:r>
              <w:rPr>
                <w:rFonts w:ascii="Century Gothic"/>
                <w:b/>
                <w:w w:val="95"/>
                <w:sz w:val="21"/>
              </w:rPr>
            </w:r>
            <w:r>
              <w:rPr>
                <w:rFonts w:ascii="Century Gothic"/>
                <w:sz w:val="21"/>
              </w:rPr>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spacing w:val="-1"/>
                <w:w w:val="95"/>
                <w:sz w:val="21"/>
                <w:u w:val="single" w:color="000000"/>
              </w:rPr>
              <w:t>100.00</w:t>
            </w:r>
            <w:r>
              <w:rPr>
                <w:rFonts w:ascii="Century Gothic"/>
                <w:b/>
                <w:spacing w:val="-1"/>
                <w:w w:val="95"/>
                <w:sz w:val="21"/>
              </w:rPr>
            </w:r>
            <w:r>
              <w:rPr>
                <w:rFonts w:ascii="Century Gothic"/>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60,129,063.62</w:t>
            </w:r>
            <w:r>
              <w:rPr>
                <w:rFonts w:ascii="Century Gothic"/>
                <w:b/>
                <w:w w:val="95"/>
                <w:sz w:val="21"/>
              </w:rPr>
            </w:r>
            <w:r>
              <w:rPr>
                <w:rFonts w:ascii="Century Gothic"/>
                <w:sz w:val="21"/>
              </w:rPr>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118,776,362.68</w:t>
            </w:r>
            <w:r>
              <w:rPr>
                <w:rFonts w:ascii="Century Gothic"/>
                <w:b/>
                <w:w w:val="95"/>
                <w:sz w:val="21"/>
              </w:rPr>
            </w:r>
            <w:r>
              <w:rPr>
                <w:rFonts w:ascii="Century Gothic"/>
                <w:sz w:val="21"/>
              </w:rPr>
            </w:r>
          </w:p>
        </w:tc>
      </w:tr>
      <w:tr>
        <w:trPr>
          <w:trHeight w:val="328" w:hRule="exact"/>
        </w:trPr>
        <w:tc>
          <w:tcPr>
            <w:tcW w:w="2086" w:type="dxa"/>
            <w:vMerge w:val="restart"/>
            <w:tcBorders>
              <w:top w:val="single" w:sz="6" w:space="0" w:color="000000"/>
              <w:left w:val="nil" w:sz="6" w:space="0" w:color="auto"/>
              <w:right w:val="single" w:sz="6" w:space="0" w:color="000000"/>
            </w:tcBorders>
          </w:tcPr>
          <w:p>
            <w:pPr>
              <w:pStyle w:val="TableParagraph"/>
              <w:spacing w:line="240" w:lineRule="auto" w:before="142"/>
              <w:ind w:left="630"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6" w:space="0" w:color="000000"/>
              <w:left w:val="single" w:sz="6" w:space="0" w:color="000000"/>
              <w:bottom w:val="single" w:sz="6" w:space="0" w:color="000000"/>
              <w:right w:val="nil" w:sz="6" w:space="0" w:color="auto"/>
            </w:tcBorders>
          </w:tcPr>
          <w:p>
            <w:pPr>
              <w:pStyle w:val="TableParagraph"/>
              <w:spacing w:line="261"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6" w:hRule="exact"/>
        </w:trPr>
        <w:tc>
          <w:tcPr>
            <w:tcW w:w="2086" w:type="dxa"/>
            <w:vMerge/>
            <w:tcBorders>
              <w:left w:val="nil" w:sz="6" w:space="0" w:color="auto"/>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right="158"/>
              <w:jc w:val="right"/>
              <w:rPr>
                <w:rFonts w:ascii="Century Gothic" w:hAnsi="Century Gothic" w:cs="Century Gothic" w:eastAsia="Century Gothic" w:hint="default"/>
                <w:sz w:val="21"/>
                <w:szCs w:val="21"/>
              </w:rPr>
            </w:pPr>
            <w:r>
              <w:rPr>
                <w:rFonts w:ascii="宋体" w:hAnsi="宋体" w:cs="宋体" w:eastAsia="宋体" w:hint="default"/>
                <w:spacing w:val="-1"/>
                <w:sz w:val="21"/>
                <w:szCs w:val="21"/>
              </w:rPr>
              <w:t>比例</w:t>
            </w:r>
            <w:r>
              <w:rPr>
                <w:rFonts w:ascii="Century Gothic" w:hAnsi="Century Gothic" w:cs="Century Gothic" w:eastAsia="Century Gothic" w:hint="default"/>
                <w:spacing w:val="-1"/>
                <w:sz w:val="21"/>
                <w:szCs w:val="21"/>
              </w:rPr>
              <w:t>(%)</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2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59,991,070.07</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31.84</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2,035,561.36</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57,955,508.71</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w:t>
            </w:r>
            <w:r>
              <w:rPr>
                <w:rFonts w:ascii="Century Gothic" w:hAnsi="Century Gothic" w:cs="Century Gothic" w:eastAsia="Century Gothic" w:hint="default"/>
                <w:sz w:val="21"/>
                <w:szCs w:val="21"/>
              </w:rPr>
              <w:t>2</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年（含）</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52,001,289.12</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27.60</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6,892,853.70</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45,108,435.42</w:t>
            </w:r>
          </w:p>
        </w:tc>
      </w:tr>
      <w:tr>
        <w:trPr>
          <w:trHeight w:val="32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w:t>
            </w: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年（含）</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51,360,015.01</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27.26</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33,658,345.07</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17,701,669.94</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年以上</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25,069,470.84</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13.30</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9,572,510.86</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15,496,959.98</w:t>
            </w:r>
          </w:p>
        </w:tc>
      </w:tr>
      <w:tr>
        <w:trPr>
          <w:trHeight w:val="335"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tabs>
                <w:tab w:pos="440" w:val="left" w:leader="none"/>
              </w:tabs>
              <w:spacing w:line="261"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188,421,845.04</w:t>
            </w:r>
            <w:r>
              <w:rPr>
                <w:rFonts w:ascii="Century Gothic"/>
                <w:b/>
                <w:w w:val="95"/>
                <w:sz w:val="21"/>
              </w:rPr>
            </w:r>
            <w:r>
              <w:rPr>
                <w:rFonts w:ascii="Century Gothic"/>
                <w:sz w:val="21"/>
              </w:rPr>
            </w:r>
          </w:p>
        </w:tc>
        <w:tc>
          <w:tcPr>
            <w:tcW w:w="10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spacing w:val="-1"/>
                <w:w w:val="95"/>
                <w:sz w:val="21"/>
                <w:u w:val="single" w:color="000000"/>
              </w:rPr>
              <w:t>100.00</w:t>
            </w:r>
            <w:r>
              <w:rPr>
                <w:rFonts w:ascii="Century Gothic"/>
                <w:b/>
                <w:spacing w:val="-1"/>
                <w:w w:val="95"/>
                <w:sz w:val="21"/>
              </w:rPr>
            </w:r>
            <w:r>
              <w:rPr>
                <w:rFonts w:ascii="Century Gothic"/>
                <w:sz w:val="21"/>
              </w:rPr>
            </w:r>
          </w:p>
        </w:tc>
        <w:tc>
          <w:tcPr>
            <w:tcW w:w="1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52,159,270.99</w:t>
            </w:r>
            <w:r>
              <w:rPr>
                <w:rFonts w:ascii="Century Gothic"/>
                <w:b/>
                <w:w w:val="95"/>
                <w:sz w:val="21"/>
              </w:rPr>
            </w:r>
            <w:r>
              <w:rPr>
                <w:rFonts w:ascii="Century Gothic"/>
                <w:sz w:val="21"/>
              </w:rPr>
            </w:r>
          </w:p>
        </w:tc>
        <w:tc>
          <w:tcPr>
            <w:tcW w:w="19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136,262,574.05</w:t>
            </w:r>
            <w:r>
              <w:rPr>
                <w:rFonts w:ascii="Century Gothic"/>
                <w:b/>
                <w:w w:val="95"/>
                <w:sz w:val="21"/>
              </w:rPr>
            </w:r>
            <w:r>
              <w:rPr>
                <w:rFonts w:ascii="Century Gothic"/>
                <w:sz w:val="21"/>
              </w:rPr>
            </w:r>
          </w:p>
        </w:tc>
      </w:tr>
    </w:tbl>
    <w:p>
      <w:pPr>
        <w:pStyle w:val="BodyText"/>
        <w:spacing w:line="240" w:lineRule="auto" w:before="94"/>
        <w:ind w:left="558" w:right="0"/>
        <w:jc w:val="left"/>
      </w:pPr>
      <w:r>
        <w:rPr/>
        <w:t>（</w:t>
      </w:r>
      <w:r>
        <w:rPr>
          <w:rFonts w:ascii="Century Gothic" w:hAnsi="Century Gothic" w:cs="Century Gothic" w:eastAsia="Century Gothic" w:hint="default"/>
        </w:rPr>
        <w:t>3</w:t>
      </w:r>
      <w:r>
        <w:rPr/>
        <w:t>）期末单项金额重大或虽不重大但单独进行减值测试的其他应收款坏账准备计提情况</w:t>
      </w:r>
    </w:p>
    <w:p>
      <w:pPr>
        <w:spacing w:line="240" w:lineRule="auto" w:before="10"/>
        <w:rPr>
          <w:rFonts w:ascii="宋体" w:hAnsi="宋体" w:cs="宋体" w:eastAsia="宋体" w:hint="default"/>
          <w:sz w:val="20"/>
          <w:szCs w:val="20"/>
        </w:rPr>
      </w:pPr>
    </w:p>
    <w:tbl>
      <w:tblPr>
        <w:tblW w:w="0" w:type="auto"/>
        <w:jc w:val="left"/>
        <w:tblInd w:w="281" w:type="dxa"/>
        <w:tblLayout w:type="fixed"/>
        <w:tblCellMar>
          <w:top w:w="0" w:type="dxa"/>
          <w:left w:w="0" w:type="dxa"/>
          <w:bottom w:w="0" w:type="dxa"/>
          <w:right w:w="0" w:type="dxa"/>
        </w:tblCellMar>
        <w:tblLook w:val="01E0"/>
      </w:tblPr>
      <w:tblGrid>
        <w:gridCol w:w="1732"/>
        <w:gridCol w:w="1913"/>
        <w:gridCol w:w="1964"/>
        <w:gridCol w:w="1246"/>
        <w:gridCol w:w="2004"/>
      </w:tblGrid>
      <w:tr>
        <w:trPr>
          <w:trHeight w:val="551" w:hRule="exact"/>
        </w:trPr>
        <w:tc>
          <w:tcPr>
            <w:tcW w:w="173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6"/>
              <w:ind w:left="21" w:right="0"/>
              <w:jc w:val="center"/>
              <w:rPr>
                <w:rFonts w:ascii="宋体" w:hAnsi="宋体" w:cs="宋体" w:eastAsia="宋体" w:hint="default"/>
                <w:sz w:val="21"/>
                <w:szCs w:val="21"/>
              </w:rPr>
            </w:pPr>
            <w:r>
              <w:rPr>
                <w:rFonts w:ascii="宋体" w:hAnsi="宋体" w:cs="宋体" w:eastAsia="宋体" w:hint="default"/>
                <w:sz w:val="21"/>
                <w:szCs w:val="21"/>
              </w:rPr>
              <w:t>其他应收款内容</w:t>
            </w:r>
          </w:p>
        </w:tc>
        <w:tc>
          <w:tcPr>
            <w:tcW w:w="19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4"/>
              <w:ind w:left="319" w:right="0"/>
              <w:jc w:val="left"/>
              <w:rPr>
                <w:rFonts w:ascii="宋体" w:hAnsi="宋体" w:cs="宋体" w:eastAsia="宋体" w:hint="default"/>
                <w:sz w:val="21"/>
                <w:szCs w:val="21"/>
              </w:rPr>
            </w:pPr>
            <w:r>
              <w:rPr>
                <w:rFonts w:ascii="宋体" w:hAnsi="宋体" w:cs="宋体" w:eastAsia="宋体" w:hint="default"/>
                <w:sz w:val="21"/>
                <w:szCs w:val="21"/>
              </w:rPr>
              <w:t>年末账面金额</w:t>
            </w:r>
          </w:p>
        </w:tc>
        <w:tc>
          <w:tcPr>
            <w:tcW w:w="19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4"/>
              <w:ind w:left="344" w:right="0"/>
              <w:jc w:val="left"/>
              <w:rPr>
                <w:rFonts w:ascii="宋体" w:hAnsi="宋体" w:cs="宋体" w:eastAsia="宋体" w:hint="default"/>
                <w:sz w:val="21"/>
                <w:szCs w:val="21"/>
              </w:rPr>
            </w:pPr>
            <w:r>
              <w:rPr>
                <w:rFonts w:ascii="宋体" w:hAnsi="宋体" w:cs="宋体" w:eastAsia="宋体" w:hint="default"/>
                <w:sz w:val="21"/>
                <w:szCs w:val="21"/>
              </w:rPr>
              <w:t>坏账准备金额</w:t>
            </w:r>
          </w:p>
        </w:tc>
        <w:tc>
          <w:tcPr>
            <w:tcW w:w="12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200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4"/>
              <w:ind w:right="5"/>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62" w:hRule="exact"/>
        </w:trPr>
        <w:tc>
          <w:tcPr>
            <w:tcW w:w="173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重庆金三角实业</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28,500,000.00</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28,500,000.00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Century Gothic" w:hAnsi="Century Gothic" w:cs="Century Gothic" w:eastAsia="Century Gothic" w:hint="default"/>
                <w:sz w:val="21"/>
                <w:szCs w:val="21"/>
              </w:rPr>
            </w:pPr>
            <w:r>
              <w:rPr>
                <w:rFonts w:ascii="Century Gothic"/>
                <w:sz w:val="21"/>
              </w:rPr>
              <w:t>100</w:t>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5"/>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1</w:t>
            </w:r>
          </w:p>
        </w:tc>
      </w:tr>
      <w:tr>
        <w:trPr>
          <w:trHeight w:val="560" w:hRule="exact"/>
        </w:trPr>
        <w:tc>
          <w:tcPr>
            <w:tcW w:w="173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重庆福瑞制药有</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12,528,961.40</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10,000,000.00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Century Gothic" w:hAnsi="Century Gothic" w:cs="Century Gothic" w:eastAsia="Century Gothic" w:hint="default"/>
                <w:sz w:val="21"/>
                <w:szCs w:val="21"/>
              </w:rPr>
            </w:pPr>
            <w:r>
              <w:rPr>
                <w:rFonts w:ascii="Century Gothic"/>
                <w:sz w:val="21"/>
              </w:rPr>
              <w:t>80</w:t>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5"/>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2</w:t>
            </w:r>
          </w:p>
        </w:tc>
      </w:tr>
      <w:tr>
        <w:trPr>
          <w:trHeight w:val="562" w:hRule="exact"/>
        </w:trPr>
        <w:tc>
          <w:tcPr>
            <w:tcW w:w="173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西藏中科生物技</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术开发有限公司</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3,000,000.00</w:t>
            </w:r>
          </w:p>
        </w:tc>
        <w:tc>
          <w:tcPr>
            <w:tcW w:w="1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3,000,000.00</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Century Gothic" w:hAnsi="Century Gothic" w:cs="Century Gothic" w:eastAsia="Century Gothic" w:hint="default"/>
                <w:sz w:val="21"/>
                <w:szCs w:val="21"/>
              </w:rPr>
            </w:pPr>
            <w:r>
              <w:rPr>
                <w:rFonts w:ascii="Century Gothic"/>
                <w:sz w:val="21"/>
              </w:rPr>
              <w:t>100</w:t>
            </w:r>
          </w:p>
        </w:tc>
        <w:tc>
          <w:tcPr>
            <w:tcW w:w="20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5"/>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1</w:t>
            </w:r>
          </w:p>
        </w:tc>
      </w:tr>
      <w:tr>
        <w:trPr>
          <w:trHeight w:val="362" w:hRule="exact"/>
        </w:trPr>
        <w:tc>
          <w:tcPr>
            <w:tcW w:w="1732"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44,028,961.40</w:t>
            </w:r>
            <w:r>
              <w:rPr>
                <w:rFonts w:ascii="Century Gothic"/>
                <w:b/>
                <w:w w:val="95"/>
                <w:sz w:val="21"/>
              </w:rPr>
            </w:r>
            <w:r>
              <w:rPr>
                <w:rFonts w:ascii="Century Gothic"/>
                <w:sz w:val="21"/>
              </w:rPr>
            </w:r>
          </w:p>
        </w:tc>
        <w:tc>
          <w:tcPr>
            <w:tcW w:w="19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41,500,000.00</w:t>
            </w:r>
            <w:r>
              <w:rPr>
                <w:rFonts w:ascii="Century Gothic"/>
                <w:b/>
                <w:w w:val="95"/>
                <w:sz w:val="21"/>
              </w:rPr>
            </w:r>
            <w:r>
              <w:rPr>
                <w:rFonts w:ascii="Century Gothic"/>
                <w:sz w:val="21"/>
              </w:rPr>
            </w:r>
          </w:p>
        </w:tc>
        <w:tc>
          <w:tcPr>
            <w:tcW w:w="1246" w:type="dxa"/>
            <w:tcBorders>
              <w:top w:val="single" w:sz="6" w:space="0" w:color="000000"/>
              <w:left w:val="single" w:sz="6" w:space="0" w:color="000000"/>
              <w:bottom w:val="single" w:sz="12" w:space="0" w:color="000000"/>
              <w:right w:val="single" w:sz="6" w:space="0" w:color="000000"/>
            </w:tcBorders>
          </w:tcPr>
          <w:p>
            <w:pPr/>
          </w:p>
        </w:tc>
        <w:tc>
          <w:tcPr>
            <w:tcW w:w="2004" w:type="dxa"/>
            <w:tcBorders>
              <w:top w:val="single" w:sz="6" w:space="0" w:color="000000"/>
              <w:left w:val="single" w:sz="6" w:space="0" w:color="000000"/>
              <w:bottom w:val="single" w:sz="12" w:space="0" w:color="000000"/>
              <w:right w:val="nil" w:sz="6" w:space="0" w:color="auto"/>
            </w:tcBorders>
          </w:tcPr>
          <w:p>
            <w:pPr/>
          </w:p>
        </w:tc>
      </w:tr>
    </w:tbl>
    <w:p>
      <w:pPr>
        <w:pStyle w:val="BodyText"/>
        <w:spacing w:line="338" w:lineRule="auto" w:before="86"/>
        <w:ind w:right="113" w:firstLine="420"/>
        <w:jc w:val="both"/>
      </w:pPr>
      <w:r>
        <w:rPr/>
        <w:t>注</w:t>
      </w:r>
      <w:r>
        <w:rPr>
          <w:spacing w:val="-57"/>
        </w:rPr>
        <w:t> </w:t>
      </w:r>
      <w:r>
        <w:rPr>
          <w:rFonts w:ascii="Century Gothic" w:hAnsi="Century Gothic" w:cs="Century Gothic" w:eastAsia="Century Gothic" w:hint="default"/>
        </w:rPr>
        <w:t>1</w:t>
      </w:r>
      <w:r>
        <w:rPr/>
        <w:t>：公司对应收重庆金三角实业总公司欠款</w:t>
      </w:r>
      <w:r>
        <w:rPr>
          <w:spacing w:val="-57"/>
        </w:rPr>
        <w:t> </w:t>
      </w:r>
      <w:r>
        <w:rPr>
          <w:rFonts w:ascii="Century Gothic" w:hAnsi="Century Gothic" w:cs="Century Gothic" w:eastAsia="Century Gothic" w:hint="default"/>
        </w:rPr>
        <w:t>2,850</w:t>
      </w:r>
      <w:r>
        <w:rPr>
          <w:rFonts w:ascii="Century Gothic" w:hAnsi="Century Gothic" w:cs="Century Gothic" w:eastAsia="Century Gothic" w:hint="default"/>
          <w:spacing w:val="-10"/>
        </w:rPr>
        <w:t> </w:t>
      </w:r>
      <w:r>
        <w:rPr/>
        <w:t>万元、应收西藏中科生物技术开发有限公司 欠款</w:t>
      </w:r>
      <w:r>
        <w:rPr>
          <w:spacing w:val="-38"/>
        </w:rPr>
        <w:t> </w:t>
      </w:r>
      <w:r>
        <w:rPr>
          <w:rFonts w:ascii="Century Gothic" w:hAnsi="Century Gothic" w:cs="Century Gothic" w:eastAsia="Century Gothic" w:hint="default"/>
        </w:rPr>
        <w:t>300</w:t>
      </w:r>
      <w:r>
        <w:rPr>
          <w:rFonts w:ascii="Century Gothic" w:hAnsi="Century Gothic" w:cs="Century Gothic" w:eastAsia="Century Gothic" w:hint="default"/>
          <w:spacing w:val="9"/>
        </w:rPr>
        <w:t> </w:t>
      </w:r>
      <w:r>
        <w:rPr>
          <w:spacing w:val="-3"/>
        </w:rPr>
        <w:t>万元，单独进行减值测试，有证据表明这些款项已无法收回，已于以前年度对其全额计提坏</w:t>
      </w:r>
      <w:r>
        <w:rPr>
          <w:spacing w:val="-102"/>
        </w:rPr>
        <w:t> </w:t>
      </w:r>
      <w:r>
        <w:rPr>
          <w:spacing w:val="-102"/>
        </w:rPr>
      </w:r>
      <w:r>
        <w:rPr/>
        <w:t>账准备。</w:t>
      </w:r>
    </w:p>
    <w:p>
      <w:pPr>
        <w:pStyle w:val="BodyText"/>
        <w:spacing w:line="336" w:lineRule="auto" w:before="48"/>
        <w:ind w:right="115" w:firstLine="420"/>
        <w:jc w:val="both"/>
      </w:pPr>
      <w:r>
        <w:rPr/>
        <w:t>注</w:t>
      </w:r>
      <w:r>
        <w:rPr>
          <w:spacing w:val="-61"/>
        </w:rPr>
        <w:t> </w:t>
      </w:r>
      <w:r>
        <w:rPr>
          <w:rFonts w:ascii="Century Gothic" w:hAnsi="Century Gothic" w:cs="Century Gothic" w:eastAsia="Century Gothic" w:hint="default"/>
        </w:rPr>
        <w:t>2</w:t>
      </w:r>
      <w:r>
        <w:rPr/>
        <w:t>：公司对应收重庆福瑞制药有限公司欠款</w:t>
      </w:r>
      <w:r>
        <w:rPr>
          <w:spacing w:val="-61"/>
        </w:rPr>
        <w:t> </w:t>
      </w:r>
      <w:r>
        <w:rPr>
          <w:rFonts w:ascii="Century Gothic" w:hAnsi="Century Gothic" w:cs="Century Gothic" w:eastAsia="Century Gothic" w:hint="default"/>
        </w:rPr>
        <w:t>1,252.90</w:t>
      </w:r>
      <w:r>
        <w:rPr>
          <w:rFonts w:ascii="Century Gothic" w:hAnsi="Century Gothic" w:cs="Century Gothic" w:eastAsia="Century Gothic" w:hint="default"/>
          <w:spacing w:val="-14"/>
        </w:rPr>
        <w:t> </w:t>
      </w:r>
      <w:r>
        <w:rPr>
          <w:spacing w:val="-4"/>
        </w:rPr>
        <w:t>万元，单独进行减值测试，预计能收回的</w:t>
      </w:r>
      <w:r>
        <w:rPr/>
        <w:t> 金额较少，因此对其按照</w:t>
      </w:r>
      <w:r>
        <w:rPr>
          <w:spacing w:val="-56"/>
        </w:rPr>
        <w:t> </w:t>
      </w:r>
      <w:r>
        <w:rPr>
          <w:rFonts w:ascii="Century Gothic" w:hAnsi="Century Gothic" w:cs="Century Gothic" w:eastAsia="Century Gothic" w:hint="default"/>
        </w:rPr>
        <w:t>80%</w:t>
      </w:r>
      <w:r>
        <w:rPr/>
        <w:t>的比例单项计提坏账准备</w:t>
      </w:r>
      <w:r>
        <w:rPr>
          <w:spacing w:val="-56"/>
        </w:rPr>
        <w:t> </w:t>
      </w:r>
      <w:r>
        <w:rPr>
          <w:rFonts w:ascii="Century Gothic" w:hAnsi="Century Gothic" w:cs="Century Gothic" w:eastAsia="Century Gothic" w:hint="default"/>
        </w:rPr>
        <w:t>1,000</w:t>
      </w:r>
      <w:r>
        <w:rPr>
          <w:rFonts w:ascii="Century Gothic" w:hAnsi="Century Gothic" w:cs="Century Gothic" w:eastAsia="Century Gothic" w:hint="default"/>
          <w:spacing w:val="-9"/>
        </w:rPr>
        <w:t> </w:t>
      </w:r>
      <w:r>
        <w:rPr/>
        <w:t>万元。</w:t>
      </w:r>
    </w:p>
    <w:p>
      <w:pPr>
        <w:pStyle w:val="BodyText"/>
        <w:spacing w:line="336" w:lineRule="auto" w:before="19"/>
        <w:ind w:right="114" w:firstLine="420"/>
        <w:jc w:val="both"/>
      </w:pPr>
      <w:r>
        <w:rPr/>
        <w:t>（</w:t>
      </w:r>
      <w:r>
        <w:rPr>
          <w:rFonts w:ascii="Century Gothic" w:hAnsi="Century Gothic" w:cs="Century Gothic" w:eastAsia="Century Gothic" w:hint="default"/>
        </w:rPr>
        <w:t>4</w:t>
      </w:r>
      <w:r>
        <w:rPr/>
        <w:t>）本报告期其他应收款中无应收持有本公司</w:t>
      </w:r>
      <w:r>
        <w:rPr>
          <w:spacing w:val="-49"/>
        </w:rPr>
        <w:t> </w:t>
      </w:r>
      <w:r>
        <w:rPr>
          <w:rFonts w:ascii="Century Gothic" w:hAnsi="Century Gothic" w:cs="Century Gothic" w:eastAsia="Century Gothic" w:hint="default"/>
        </w:rPr>
        <w:t>5%</w:t>
      </w:r>
      <w:r>
        <w:rPr/>
        <w:t>（含</w:t>
      </w:r>
      <w:r>
        <w:rPr>
          <w:spacing w:val="-49"/>
        </w:rPr>
        <w:t> </w:t>
      </w:r>
      <w:r>
        <w:rPr>
          <w:rFonts w:ascii="Century Gothic" w:hAnsi="Century Gothic" w:cs="Century Gothic" w:eastAsia="Century Gothic" w:hint="default"/>
        </w:rPr>
        <w:t>5%</w:t>
      </w:r>
      <w:r>
        <w:rPr/>
        <w:t>）以上表决权股份的股东单位欠款情 况。</w:t>
      </w:r>
    </w:p>
    <w:p>
      <w:pPr>
        <w:pStyle w:val="BodyText"/>
        <w:spacing w:line="240" w:lineRule="auto" w:before="50"/>
        <w:ind w:left="558" w:right="0"/>
        <w:jc w:val="left"/>
      </w:pPr>
      <w:r>
        <w:rPr/>
        <w:t>（</w:t>
      </w:r>
      <w:r>
        <w:rPr>
          <w:rFonts w:ascii="Century Gothic" w:hAnsi="Century Gothic" w:cs="Century Gothic" w:eastAsia="Century Gothic" w:hint="default"/>
        </w:rPr>
        <w:t>5</w:t>
      </w:r>
      <w:r>
        <w:rPr/>
        <w:t>）年末其他应收款前五名单位列示如下：</w:t>
      </w:r>
    </w:p>
    <w:p>
      <w:pPr>
        <w:spacing w:line="240" w:lineRule="auto" w:before="8"/>
        <w:rPr>
          <w:rFonts w:ascii="宋体" w:hAnsi="宋体" w:cs="宋体" w:eastAsia="宋体" w:hint="default"/>
          <w:sz w:val="11"/>
          <w:szCs w:val="11"/>
        </w:rPr>
      </w:pPr>
    </w:p>
    <w:tbl>
      <w:tblPr>
        <w:tblW w:w="0" w:type="auto"/>
        <w:jc w:val="left"/>
        <w:tblInd w:w="281" w:type="dxa"/>
        <w:tblLayout w:type="fixed"/>
        <w:tblCellMar>
          <w:top w:w="0" w:type="dxa"/>
          <w:left w:w="0" w:type="dxa"/>
          <w:bottom w:w="0" w:type="dxa"/>
          <w:right w:w="0" w:type="dxa"/>
        </w:tblCellMar>
        <w:tblLook w:val="01E0"/>
      </w:tblPr>
      <w:tblGrid>
        <w:gridCol w:w="1480"/>
        <w:gridCol w:w="1499"/>
        <w:gridCol w:w="1328"/>
        <w:gridCol w:w="1568"/>
        <w:gridCol w:w="1319"/>
        <w:gridCol w:w="1663"/>
      </w:tblGrid>
      <w:tr>
        <w:trPr>
          <w:trHeight w:val="568" w:hRule="exact"/>
        </w:trPr>
        <w:tc>
          <w:tcPr>
            <w:tcW w:w="148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款项内容</w:t>
            </w:r>
          </w:p>
        </w:tc>
        <w:tc>
          <w:tcPr>
            <w:tcW w:w="132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与本公司关</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系</w:t>
            </w:r>
          </w:p>
        </w:tc>
        <w:tc>
          <w:tcPr>
            <w:tcW w:w="15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年末金额</w:t>
            </w:r>
          </w:p>
        </w:tc>
        <w:tc>
          <w:tcPr>
            <w:tcW w:w="13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663"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100" w:right="0" w:firstLine="93"/>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9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总额的比例（</w:t>
            </w:r>
            <w:r>
              <w:rPr>
                <w:rFonts w:ascii="Century Gothic" w:hAnsi="Century Gothic" w:cs="Century Gothic" w:eastAsia="Century Gothic" w:hint="default"/>
                <w:spacing w:val="-10"/>
                <w:sz w:val="21"/>
                <w:szCs w:val="21"/>
              </w:rPr>
              <w:t>%</w:t>
            </w:r>
            <w:r>
              <w:rPr>
                <w:rFonts w:ascii="宋体" w:hAnsi="宋体" w:cs="宋体" w:eastAsia="宋体" w:hint="default"/>
                <w:spacing w:val="-10"/>
                <w:sz w:val="21"/>
                <w:szCs w:val="21"/>
              </w:rPr>
              <w:t>）</w:t>
            </w:r>
          </w:p>
        </w:tc>
      </w:tr>
      <w:tr>
        <w:trPr>
          <w:trHeight w:val="562" w:hRule="exact"/>
        </w:trPr>
        <w:tc>
          <w:tcPr>
            <w:tcW w:w="14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56"/>
                <w:sz w:val="21"/>
                <w:szCs w:val="21"/>
              </w:rPr>
              <w:t> </w:t>
            </w:r>
            <w:r>
              <w:rPr>
                <w:rFonts w:ascii="宋体" w:hAnsi="宋体" w:cs="宋体" w:eastAsia="宋体" w:hint="default"/>
                <w:sz w:val="21"/>
                <w:szCs w:val="21"/>
              </w:rPr>
              <w:t>庆</w:t>
            </w:r>
            <w:r>
              <w:rPr>
                <w:rFonts w:ascii="宋体" w:hAnsi="宋体" w:cs="宋体" w:eastAsia="宋体" w:hint="default"/>
                <w:spacing w:val="-56"/>
                <w:sz w:val="21"/>
                <w:szCs w:val="21"/>
              </w:rPr>
              <w:t> </w:t>
            </w:r>
            <w:r>
              <w:rPr>
                <w:rFonts w:ascii="宋体" w:hAnsi="宋体" w:cs="宋体" w:eastAsia="宋体" w:hint="default"/>
                <w:spacing w:val="33"/>
                <w:sz w:val="21"/>
                <w:szCs w:val="21"/>
              </w:rPr>
              <w:t>金三角</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实业总公司</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往来单位</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4" w:right="0"/>
              <w:jc w:val="center"/>
              <w:rPr>
                <w:rFonts w:ascii="Century Gothic" w:hAnsi="Century Gothic" w:cs="Century Gothic" w:eastAsia="Century Gothic" w:hint="default"/>
                <w:sz w:val="21"/>
                <w:szCs w:val="21"/>
              </w:rPr>
            </w:pPr>
            <w:r>
              <w:rPr>
                <w:rFonts w:ascii="Century Gothic"/>
                <w:sz w:val="21"/>
              </w:rPr>
              <w:t>28,500,000.00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年以上</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563" w:right="0"/>
              <w:jc w:val="left"/>
              <w:rPr>
                <w:rFonts w:ascii="Century Gothic" w:hAnsi="Century Gothic" w:cs="Century Gothic" w:eastAsia="Century Gothic" w:hint="default"/>
                <w:sz w:val="21"/>
                <w:szCs w:val="21"/>
              </w:rPr>
            </w:pPr>
            <w:r>
              <w:rPr>
                <w:rFonts w:ascii="Century Gothic"/>
                <w:sz w:val="21"/>
              </w:rPr>
              <w:t>15.93</w:t>
            </w:r>
          </w:p>
        </w:tc>
      </w:tr>
      <w:tr>
        <w:trPr>
          <w:trHeight w:val="560" w:hRule="exact"/>
        </w:trPr>
        <w:tc>
          <w:tcPr>
            <w:tcW w:w="14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6"/>
                <w:sz w:val="21"/>
                <w:szCs w:val="21"/>
              </w:rPr>
              <w:t> </w:t>
            </w:r>
            <w:r>
              <w:rPr>
                <w:rFonts w:ascii="宋体" w:hAnsi="宋体" w:cs="宋体" w:eastAsia="宋体" w:hint="default"/>
                <w:sz w:val="21"/>
                <w:szCs w:val="21"/>
              </w:rPr>
              <w:t>州</w:t>
            </w:r>
            <w:r>
              <w:rPr>
                <w:rFonts w:ascii="宋体" w:hAnsi="宋体" w:cs="宋体" w:eastAsia="宋体" w:hint="default"/>
                <w:spacing w:val="-56"/>
                <w:sz w:val="21"/>
                <w:szCs w:val="21"/>
              </w:rPr>
              <w:t> </w:t>
            </w:r>
            <w:r>
              <w:rPr>
                <w:rFonts w:ascii="宋体" w:hAnsi="宋体" w:cs="宋体" w:eastAsia="宋体" w:hint="default"/>
                <w:spacing w:val="33"/>
                <w:sz w:val="21"/>
                <w:szCs w:val="21"/>
              </w:rPr>
              <w:t>华春工</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贸有限公司</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往来单位</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4" w:right="0"/>
              <w:jc w:val="center"/>
              <w:rPr>
                <w:rFonts w:ascii="Century Gothic" w:hAnsi="Century Gothic" w:cs="Century Gothic" w:eastAsia="Century Gothic" w:hint="default"/>
                <w:sz w:val="21"/>
                <w:szCs w:val="21"/>
              </w:rPr>
            </w:pPr>
            <w:r>
              <w:rPr>
                <w:rFonts w:ascii="Century Gothic"/>
                <w:sz w:val="21"/>
              </w:rPr>
              <w:t>22,082,543.32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563" w:right="0"/>
              <w:jc w:val="left"/>
              <w:rPr>
                <w:rFonts w:ascii="Century Gothic" w:hAnsi="Century Gothic" w:cs="Century Gothic" w:eastAsia="Century Gothic" w:hint="default"/>
                <w:sz w:val="21"/>
                <w:szCs w:val="21"/>
              </w:rPr>
            </w:pPr>
            <w:r>
              <w:rPr>
                <w:rFonts w:ascii="Century Gothic"/>
                <w:sz w:val="21"/>
              </w:rPr>
              <w:t>12.34</w:t>
            </w:r>
          </w:p>
        </w:tc>
      </w:tr>
      <w:tr>
        <w:trPr>
          <w:trHeight w:val="562" w:hRule="exact"/>
        </w:trPr>
        <w:tc>
          <w:tcPr>
            <w:tcW w:w="14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56"/>
                <w:sz w:val="21"/>
                <w:szCs w:val="21"/>
              </w:rPr>
              <w:t> </w:t>
            </w:r>
            <w:r>
              <w:rPr>
                <w:rFonts w:ascii="宋体" w:hAnsi="宋体" w:cs="宋体" w:eastAsia="宋体" w:hint="default"/>
                <w:sz w:val="21"/>
                <w:szCs w:val="21"/>
              </w:rPr>
              <w:t>庆</w:t>
            </w:r>
            <w:r>
              <w:rPr>
                <w:rFonts w:ascii="宋体" w:hAnsi="宋体" w:cs="宋体" w:eastAsia="宋体" w:hint="default"/>
                <w:spacing w:val="-56"/>
                <w:sz w:val="21"/>
                <w:szCs w:val="21"/>
              </w:rPr>
              <w:t> </w:t>
            </w:r>
            <w:r>
              <w:rPr>
                <w:rFonts w:ascii="宋体" w:hAnsi="宋体" w:cs="宋体" w:eastAsia="宋体" w:hint="default"/>
                <w:spacing w:val="33"/>
                <w:sz w:val="21"/>
                <w:szCs w:val="21"/>
              </w:rPr>
              <w:t>嘉浩置</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往来单位</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4" w:right="0"/>
              <w:jc w:val="center"/>
              <w:rPr>
                <w:rFonts w:ascii="Century Gothic" w:hAnsi="Century Gothic" w:cs="Century Gothic" w:eastAsia="Century Gothic" w:hint="default"/>
                <w:sz w:val="21"/>
                <w:szCs w:val="21"/>
              </w:rPr>
            </w:pPr>
            <w:r>
              <w:rPr>
                <w:rFonts w:ascii="Century Gothic"/>
                <w:sz w:val="21"/>
              </w:rPr>
              <w:t>21,700,000.00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563" w:right="0"/>
              <w:jc w:val="left"/>
              <w:rPr>
                <w:rFonts w:ascii="Century Gothic" w:hAnsi="Century Gothic" w:cs="Century Gothic" w:eastAsia="Century Gothic" w:hint="default"/>
                <w:sz w:val="21"/>
                <w:szCs w:val="21"/>
              </w:rPr>
            </w:pPr>
            <w:r>
              <w:rPr>
                <w:rFonts w:ascii="Century Gothic"/>
                <w:sz w:val="21"/>
              </w:rPr>
              <w:t>12.13</w:t>
            </w:r>
          </w:p>
        </w:tc>
      </w:tr>
      <w:tr>
        <w:trPr>
          <w:trHeight w:val="307" w:hRule="exact"/>
        </w:trPr>
        <w:tc>
          <w:tcPr>
            <w:tcW w:w="1480" w:type="dxa"/>
            <w:tcBorders>
              <w:top w:val="single" w:sz="6" w:space="0" w:color="000000"/>
              <w:left w:val="nil" w:sz="6" w:space="0" w:color="auto"/>
              <w:bottom w:val="single" w:sz="12"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杭</w:t>
            </w:r>
            <w:r>
              <w:rPr>
                <w:rFonts w:ascii="宋体" w:hAnsi="宋体" w:cs="宋体" w:eastAsia="宋体" w:hint="default"/>
                <w:spacing w:val="-56"/>
                <w:sz w:val="21"/>
                <w:szCs w:val="21"/>
              </w:rPr>
              <w:t> </w:t>
            </w:r>
            <w:r>
              <w:rPr>
                <w:rFonts w:ascii="宋体" w:hAnsi="宋体" w:cs="宋体" w:eastAsia="宋体" w:hint="default"/>
                <w:sz w:val="21"/>
                <w:szCs w:val="21"/>
              </w:rPr>
              <w:t>州</w:t>
            </w:r>
            <w:r>
              <w:rPr>
                <w:rFonts w:ascii="宋体" w:hAnsi="宋体" w:cs="宋体" w:eastAsia="宋体" w:hint="default"/>
                <w:spacing w:val="-56"/>
                <w:sz w:val="21"/>
                <w:szCs w:val="21"/>
              </w:rPr>
              <w:t> </w:t>
            </w:r>
            <w:r>
              <w:rPr>
                <w:rFonts w:ascii="宋体" w:hAnsi="宋体" w:cs="宋体" w:eastAsia="宋体" w:hint="default"/>
                <w:sz w:val="21"/>
                <w:szCs w:val="21"/>
              </w:rPr>
              <w:t>康</w:t>
            </w:r>
            <w:r>
              <w:rPr>
                <w:rFonts w:ascii="宋体" w:hAnsi="宋体" w:cs="宋体" w:eastAsia="宋体" w:hint="default"/>
                <w:spacing w:val="-55"/>
                <w:sz w:val="21"/>
                <w:szCs w:val="21"/>
              </w:rPr>
              <w:t> </w:t>
            </w:r>
            <w:r>
              <w:rPr>
                <w:rFonts w:ascii="宋体" w:hAnsi="宋体" w:cs="宋体" w:eastAsia="宋体" w:hint="default"/>
                <w:sz w:val="21"/>
                <w:szCs w:val="21"/>
              </w:rPr>
              <w:t>迪</w:t>
            </w:r>
            <w:r>
              <w:rPr>
                <w:rFonts w:ascii="宋体" w:hAnsi="宋体" w:cs="宋体" w:eastAsia="宋体" w:hint="default"/>
                <w:spacing w:val="-55"/>
                <w:sz w:val="21"/>
                <w:szCs w:val="21"/>
              </w:rPr>
              <w:t> </w:t>
            </w:r>
            <w:r>
              <w:rPr>
                <w:rFonts w:ascii="宋体" w:hAnsi="宋体" w:cs="宋体" w:eastAsia="宋体" w:hint="default"/>
                <w:sz w:val="21"/>
                <w:szCs w:val="21"/>
              </w:rPr>
              <w:t>信</w:t>
            </w:r>
          </w:p>
        </w:tc>
        <w:tc>
          <w:tcPr>
            <w:tcW w:w="1499"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328"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往来单位</w:t>
            </w:r>
          </w:p>
        </w:tc>
        <w:tc>
          <w:tcPr>
            <w:tcW w:w="1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left="14" w:right="0"/>
              <w:jc w:val="center"/>
              <w:rPr>
                <w:rFonts w:ascii="Century Gothic" w:hAnsi="Century Gothic" w:cs="Century Gothic" w:eastAsia="Century Gothic" w:hint="default"/>
                <w:sz w:val="21"/>
                <w:szCs w:val="21"/>
              </w:rPr>
            </w:pPr>
            <w:r>
              <w:rPr>
                <w:rFonts w:ascii="Century Gothic"/>
                <w:sz w:val="21"/>
              </w:rPr>
              <w:t>13,520,000.00</w:t>
            </w:r>
          </w:p>
        </w:tc>
        <w:tc>
          <w:tcPr>
            <w:tcW w:w="1319" w:type="dxa"/>
            <w:tcBorders>
              <w:top w:val="single" w:sz="6" w:space="0" w:color="000000"/>
              <w:left w:val="single" w:sz="6" w:space="0" w:color="000000"/>
              <w:bottom w:val="single" w:sz="12" w:space="0" w:color="000000"/>
              <w:right w:val="single" w:sz="6" w:space="0" w:color="000000"/>
            </w:tcBorders>
          </w:tcPr>
          <w:p>
            <w:pPr>
              <w:pStyle w:val="TableParagraph"/>
              <w:spacing w:line="263" w:lineRule="exact"/>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年以上</w:t>
            </w:r>
          </w:p>
        </w:tc>
        <w:tc>
          <w:tcPr>
            <w:tcW w:w="16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left="621" w:right="0"/>
              <w:jc w:val="left"/>
              <w:rPr>
                <w:rFonts w:ascii="Century Gothic" w:hAnsi="Century Gothic" w:cs="Century Gothic" w:eastAsia="Century Gothic" w:hint="default"/>
                <w:sz w:val="21"/>
                <w:szCs w:val="21"/>
              </w:rPr>
            </w:pPr>
            <w:r>
              <w:rPr>
                <w:rFonts w:ascii="Century Gothic"/>
                <w:sz w:val="21"/>
              </w:rPr>
              <w:t>7.56</w:t>
            </w:r>
          </w:p>
        </w:tc>
      </w:tr>
    </w:tbl>
    <w:p>
      <w:pPr>
        <w:spacing w:line="240" w:lineRule="auto" w:before="4"/>
        <w:rPr>
          <w:rFonts w:ascii="宋体" w:hAnsi="宋体" w:cs="宋体" w:eastAsia="宋体" w:hint="default"/>
          <w:sz w:val="15"/>
          <w:szCs w:val="15"/>
        </w:rPr>
      </w:pPr>
    </w:p>
    <w:p>
      <w:pPr>
        <w:spacing w:before="76"/>
        <w:ind w:left="4577" w:right="4555" w:firstLine="0"/>
        <w:jc w:val="center"/>
        <w:rPr>
          <w:rFonts w:ascii="Times New Roman" w:hAnsi="Times New Roman" w:cs="Times New Roman" w:eastAsia="Times New Roman" w:hint="default"/>
          <w:sz w:val="18"/>
          <w:szCs w:val="18"/>
        </w:rPr>
      </w:pPr>
      <w:r>
        <w:rPr>
          <w:rFonts w:ascii="Times New Roman"/>
          <w:sz w:val="18"/>
        </w:rPr>
        <w:t>70</w:t>
      </w:r>
    </w:p>
    <w:p>
      <w:pPr>
        <w:spacing w:after="0"/>
        <w:jc w:val="center"/>
        <w:rPr>
          <w:rFonts w:ascii="Times New Roman" w:hAnsi="Times New Roman" w:cs="Times New Roman" w:eastAsia="Times New Roman" w:hint="default"/>
          <w:sz w:val="18"/>
          <w:szCs w:val="18"/>
        </w:rPr>
        <w:sectPr>
          <w:pgSz w:w="11910" w:h="16840"/>
          <w:pgMar w:top="780" w:bottom="280" w:left="1160" w:right="130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70.860001pt;margin-top:-9.926001pt;width:84.0pt;height:23.94pt;mso-position-horizontal-relative:page;mso-position-vertical-relative:paragraph;z-index:5056"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81" w:type="dxa"/>
        <w:tblLayout w:type="fixed"/>
        <w:tblCellMar>
          <w:top w:w="0" w:type="dxa"/>
          <w:left w:w="0" w:type="dxa"/>
          <w:bottom w:w="0" w:type="dxa"/>
          <w:right w:w="0" w:type="dxa"/>
        </w:tblCellMar>
        <w:tblLook w:val="01E0"/>
      </w:tblPr>
      <w:tblGrid>
        <w:gridCol w:w="1480"/>
        <w:gridCol w:w="1499"/>
        <w:gridCol w:w="1328"/>
        <w:gridCol w:w="1568"/>
        <w:gridCol w:w="1319"/>
        <w:gridCol w:w="1663"/>
      </w:tblGrid>
      <w:tr>
        <w:trPr>
          <w:trHeight w:val="568" w:hRule="exact"/>
        </w:trPr>
        <w:tc>
          <w:tcPr>
            <w:tcW w:w="1480" w:type="dxa"/>
            <w:tcBorders>
              <w:top w:val="single" w:sz="12"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spacing w:val="-56"/>
                <w:sz w:val="21"/>
                <w:szCs w:val="21"/>
              </w:rPr>
              <w:t> </w:t>
            </w:r>
            <w:r>
              <w:rPr>
                <w:rFonts w:ascii="宋体" w:hAnsi="宋体" w:cs="宋体" w:eastAsia="宋体" w:hint="default"/>
                <w:sz w:val="21"/>
                <w:szCs w:val="21"/>
              </w:rPr>
              <w:t>技</w:t>
            </w:r>
            <w:r>
              <w:rPr>
                <w:rFonts w:ascii="宋体" w:hAnsi="宋体" w:cs="宋体" w:eastAsia="宋体" w:hint="default"/>
                <w:spacing w:val="-56"/>
                <w:sz w:val="21"/>
                <w:szCs w:val="21"/>
              </w:rPr>
              <w:t> </w:t>
            </w:r>
            <w:r>
              <w:rPr>
                <w:rFonts w:ascii="宋体" w:hAnsi="宋体" w:cs="宋体" w:eastAsia="宋体" w:hint="default"/>
                <w:spacing w:val="33"/>
                <w:sz w:val="21"/>
                <w:szCs w:val="21"/>
              </w:rPr>
              <w:t>术开发</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499" w:type="dxa"/>
            <w:tcBorders>
              <w:top w:val="single" w:sz="12" w:space="0" w:color="000000"/>
              <w:left w:val="single" w:sz="6" w:space="0" w:color="000000"/>
              <w:bottom w:val="single" w:sz="6" w:space="0" w:color="000000"/>
              <w:right w:val="single" w:sz="6" w:space="0" w:color="000000"/>
            </w:tcBorders>
          </w:tcPr>
          <w:p>
            <w:pPr/>
          </w:p>
        </w:tc>
        <w:tc>
          <w:tcPr>
            <w:tcW w:w="1328" w:type="dxa"/>
            <w:tcBorders>
              <w:top w:val="single" w:sz="12" w:space="0" w:color="000000"/>
              <w:left w:val="single" w:sz="6" w:space="0" w:color="000000"/>
              <w:bottom w:val="single" w:sz="6" w:space="0" w:color="000000"/>
              <w:right w:val="single" w:sz="6" w:space="0" w:color="000000"/>
            </w:tcBorders>
          </w:tcPr>
          <w:p>
            <w:pPr/>
          </w:p>
        </w:tc>
        <w:tc>
          <w:tcPr>
            <w:tcW w:w="1568" w:type="dxa"/>
            <w:tcBorders>
              <w:top w:val="single" w:sz="12" w:space="0" w:color="000000"/>
              <w:left w:val="single" w:sz="6" w:space="0" w:color="000000"/>
              <w:bottom w:val="single" w:sz="6" w:space="0" w:color="000000"/>
              <w:right w:val="single" w:sz="6" w:space="0" w:color="000000"/>
            </w:tcBorders>
          </w:tcPr>
          <w:p>
            <w:pPr/>
          </w:p>
        </w:tc>
        <w:tc>
          <w:tcPr>
            <w:tcW w:w="1319" w:type="dxa"/>
            <w:tcBorders>
              <w:top w:val="single" w:sz="12" w:space="0" w:color="000000"/>
              <w:left w:val="single" w:sz="6" w:space="0" w:color="000000"/>
              <w:bottom w:val="single" w:sz="6" w:space="0" w:color="000000"/>
              <w:right w:val="single" w:sz="6" w:space="0" w:color="000000"/>
            </w:tcBorders>
          </w:tcPr>
          <w:p>
            <w:pPr/>
          </w:p>
        </w:tc>
        <w:tc>
          <w:tcPr>
            <w:tcW w:w="1663" w:type="dxa"/>
            <w:tcBorders>
              <w:top w:val="single" w:sz="12" w:space="0" w:color="000000"/>
              <w:left w:val="single" w:sz="6" w:space="0" w:color="000000"/>
              <w:bottom w:val="single" w:sz="6" w:space="0" w:color="000000"/>
              <w:right w:val="nil" w:sz="6" w:space="0" w:color="auto"/>
            </w:tcBorders>
          </w:tcPr>
          <w:p>
            <w:pPr/>
          </w:p>
        </w:tc>
      </w:tr>
      <w:tr>
        <w:trPr>
          <w:trHeight w:val="560" w:hRule="exact"/>
        </w:trPr>
        <w:tc>
          <w:tcPr>
            <w:tcW w:w="14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56"/>
                <w:sz w:val="21"/>
                <w:szCs w:val="21"/>
              </w:rPr>
              <w:t> </w:t>
            </w:r>
            <w:r>
              <w:rPr>
                <w:rFonts w:ascii="宋体" w:hAnsi="宋体" w:cs="宋体" w:eastAsia="宋体" w:hint="default"/>
                <w:sz w:val="21"/>
                <w:szCs w:val="21"/>
              </w:rPr>
              <w:t>庆</w:t>
            </w:r>
            <w:r>
              <w:rPr>
                <w:rFonts w:ascii="宋体" w:hAnsi="宋体" w:cs="宋体" w:eastAsia="宋体" w:hint="default"/>
                <w:spacing w:val="-56"/>
                <w:sz w:val="21"/>
                <w:szCs w:val="21"/>
              </w:rPr>
              <w:t> </w:t>
            </w:r>
            <w:r>
              <w:rPr>
                <w:rFonts w:ascii="宋体" w:hAnsi="宋体" w:cs="宋体" w:eastAsia="宋体" w:hint="default"/>
                <w:spacing w:val="33"/>
                <w:sz w:val="21"/>
                <w:szCs w:val="21"/>
              </w:rPr>
              <w:t>福瑞制</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药有限公司</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27"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36" w:right="0"/>
              <w:jc w:val="left"/>
              <w:rPr>
                <w:rFonts w:ascii="宋体" w:hAnsi="宋体" w:cs="宋体" w:eastAsia="宋体" w:hint="default"/>
                <w:sz w:val="21"/>
                <w:szCs w:val="21"/>
              </w:rPr>
            </w:pPr>
            <w:r>
              <w:rPr>
                <w:rFonts w:ascii="宋体" w:hAnsi="宋体" w:cs="宋体" w:eastAsia="宋体" w:hint="default"/>
                <w:sz w:val="21"/>
                <w:szCs w:val="21"/>
              </w:rPr>
              <w:t>往来单位</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4" w:right="0"/>
              <w:jc w:val="center"/>
              <w:rPr>
                <w:rFonts w:ascii="Century Gothic" w:hAnsi="Century Gothic" w:cs="Century Gothic" w:eastAsia="Century Gothic" w:hint="default"/>
                <w:sz w:val="21"/>
                <w:szCs w:val="21"/>
              </w:rPr>
            </w:pPr>
            <w:r>
              <w:rPr>
                <w:rFonts w:ascii="Century Gothic"/>
                <w:sz w:val="21"/>
              </w:rPr>
              <w:t>12,528,961.40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年以上</w:t>
            </w:r>
          </w:p>
        </w:tc>
        <w:tc>
          <w:tcPr>
            <w:tcW w:w="16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5"/>
              <w:jc w:val="center"/>
              <w:rPr>
                <w:rFonts w:ascii="Century Gothic" w:hAnsi="Century Gothic" w:cs="Century Gothic" w:eastAsia="Century Gothic" w:hint="default"/>
                <w:sz w:val="21"/>
                <w:szCs w:val="21"/>
              </w:rPr>
            </w:pPr>
            <w:r>
              <w:rPr>
                <w:rFonts w:ascii="Century Gothic"/>
                <w:sz w:val="21"/>
              </w:rPr>
              <w:t>7.00</w:t>
            </w:r>
          </w:p>
        </w:tc>
      </w:tr>
      <w:tr>
        <w:trPr>
          <w:trHeight w:val="308" w:hRule="exact"/>
        </w:trPr>
        <w:tc>
          <w:tcPr>
            <w:tcW w:w="1480" w:type="dxa"/>
            <w:tcBorders>
              <w:top w:val="single" w:sz="6" w:space="0" w:color="000000"/>
              <w:left w:val="nil" w:sz="6" w:space="0" w:color="auto"/>
              <w:bottom w:val="single" w:sz="12" w:space="0" w:color="000000"/>
              <w:right w:val="single" w:sz="6" w:space="0" w:color="000000"/>
            </w:tcBorders>
          </w:tcPr>
          <w:p>
            <w:pPr>
              <w:pStyle w:val="TableParagraph"/>
              <w:tabs>
                <w:tab w:pos="851" w:val="left" w:leader="none"/>
              </w:tabs>
              <w:spacing w:line="247" w:lineRule="exact"/>
              <w:ind w:left="43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99" w:type="dxa"/>
            <w:tcBorders>
              <w:top w:val="single" w:sz="6" w:space="0" w:color="000000"/>
              <w:left w:val="single" w:sz="6" w:space="0" w:color="000000"/>
              <w:bottom w:val="single" w:sz="12" w:space="0" w:color="000000"/>
              <w:right w:val="single" w:sz="6" w:space="0" w:color="000000"/>
            </w:tcBorders>
          </w:tcPr>
          <w:p>
            <w:pPr/>
          </w:p>
        </w:tc>
        <w:tc>
          <w:tcPr>
            <w:tcW w:w="1328" w:type="dxa"/>
            <w:tcBorders>
              <w:top w:val="single" w:sz="6" w:space="0" w:color="000000"/>
              <w:left w:val="single" w:sz="6" w:space="0" w:color="000000"/>
              <w:bottom w:val="single" w:sz="12" w:space="0" w:color="000000"/>
              <w:right w:val="single" w:sz="6" w:space="0" w:color="000000"/>
            </w:tcBorders>
          </w:tcPr>
          <w:p>
            <w:pPr/>
          </w:p>
        </w:tc>
        <w:tc>
          <w:tcPr>
            <w:tcW w:w="1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98,331,504.72</w:t>
            </w:r>
            <w:r>
              <w:rPr>
                <w:rFonts w:ascii="Century Gothic"/>
                <w:b/>
                <w:sz w:val="21"/>
              </w:rPr>
            </w:r>
            <w:r>
              <w:rPr>
                <w:rFonts w:ascii="Century Gothic"/>
                <w:sz w:val="21"/>
              </w:rPr>
            </w:r>
          </w:p>
        </w:tc>
        <w:tc>
          <w:tcPr>
            <w:tcW w:w="1319" w:type="dxa"/>
            <w:tcBorders>
              <w:top w:val="single" w:sz="6" w:space="0" w:color="000000"/>
              <w:left w:val="single" w:sz="6" w:space="0" w:color="000000"/>
              <w:bottom w:val="single" w:sz="12" w:space="0" w:color="000000"/>
              <w:right w:val="single" w:sz="6" w:space="0" w:color="000000"/>
            </w:tcBorders>
          </w:tcPr>
          <w:p>
            <w:pPr/>
          </w:p>
        </w:tc>
        <w:tc>
          <w:tcPr>
            <w:tcW w:w="16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4"/>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54.96</w:t>
            </w:r>
            <w:r>
              <w:rPr>
                <w:rFonts w:ascii="Century Gothic"/>
                <w:b/>
                <w:sz w:val="21"/>
              </w:rPr>
            </w:r>
            <w:r>
              <w:rPr>
                <w:rFonts w:ascii="Century Gothic"/>
                <w:sz w:val="21"/>
              </w:rPr>
            </w:r>
          </w:p>
        </w:tc>
      </w:tr>
    </w:tbl>
    <w:p>
      <w:pPr>
        <w:pStyle w:val="BodyText"/>
        <w:spacing w:line="240" w:lineRule="auto" w:before="94"/>
        <w:ind w:left="558" w:right="0"/>
        <w:jc w:val="left"/>
      </w:pPr>
      <w:r>
        <w:rPr/>
        <w:t>（</w:t>
      </w:r>
      <w:r>
        <w:rPr>
          <w:rFonts w:ascii="Century Gothic" w:hAnsi="Century Gothic" w:cs="Century Gothic" w:eastAsia="Century Gothic" w:hint="default"/>
        </w:rPr>
        <w:t>6</w:t>
      </w:r>
      <w:r>
        <w:rPr/>
        <w:t>）其他金额较大的其他应收款列示如下：</w:t>
      </w:r>
    </w:p>
    <w:p>
      <w:pPr>
        <w:spacing w:line="240" w:lineRule="auto" w:before="10"/>
        <w:rPr>
          <w:rFonts w:ascii="宋体" w:hAnsi="宋体" w:cs="宋体" w:eastAsia="宋体" w:hint="default"/>
          <w:sz w:val="20"/>
          <w:szCs w:val="20"/>
        </w:rPr>
      </w:pPr>
    </w:p>
    <w:tbl>
      <w:tblPr>
        <w:tblW w:w="0" w:type="auto"/>
        <w:jc w:val="left"/>
        <w:tblInd w:w="268" w:type="dxa"/>
        <w:tblLayout w:type="fixed"/>
        <w:tblCellMar>
          <w:top w:w="0" w:type="dxa"/>
          <w:left w:w="0" w:type="dxa"/>
          <w:bottom w:w="0" w:type="dxa"/>
          <w:right w:w="0" w:type="dxa"/>
        </w:tblCellMar>
        <w:tblLook w:val="01E0"/>
      </w:tblPr>
      <w:tblGrid>
        <w:gridCol w:w="3224"/>
        <w:gridCol w:w="2940"/>
        <w:gridCol w:w="2720"/>
      </w:tblGrid>
      <w:tr>
        <w:trPr>
          <w:trHeight w:val="307" w:hRule="exact"/>
        </w:trPr>
        <w:tc>
          <w:tcPr>
            <w:tcW w:w="3224"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left="2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940"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款项内容</w:t>
            </w:r>
          </w:p>
        </w:tc>
        <w:tc>
          <w:tcPr>
            <w:tcW w:w="2720"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299"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吉首市福利材料厂</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6,800,000.00</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299"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重庆华创机电有限公司</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4,011,508.25</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299"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安徽皖电招标有限公司</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3,795,000.00</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299"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西藏中科生物技术开发有限公司</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3,000,000.00</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投资款</w:t>
            </w:r>
          </w:p>
        </w:tc>
      </w:tr>
      <w:tr>
        <w:trPr>
          <w:trHeight w:val="299"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上海成聚建筑工程有限公司</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2,629,000.00</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300"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北京中科智担保公司</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2,410,199.24</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307" w:hRule="exact"/>
        </w:trPr>
        <w:tc>
          <w:tcPr>
            <w:tcW w:w="3224" w:type="dxa"/>
            <w:tcBorders>
              <w:top w:val="single" w:sz="6" w:space="0" w:color="000000"/>
              <w:left w:val="nil" w:sz="6" w:space="0" w:color="auto"/>
              <w:bottom w:val="single" w:sz="12"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浙江华立电网控制系统有限公司</w:t>
            </w:r>
          </w:p>
        </w:tc>
        <w:tc>
          <w:tcPr>
            <w:tcW w:w="2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2,285,200.72</w:t>
            </w:r>
          </w:p>
        </w:tc>
        <w:tc>
          <w:tcPr>
            <w:tcW w:w="2720" w:type="dxa"/>
            <w:tcBorders>
              <w:top w:val="single" w:sz="6" w:space="0" w:color="000000"/>
              <w:left w:val="single" w:sz="6" w:space="0" w:color="000000"/>
              <w:bottom w:val="single" w:sz="12"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往来款</w:t>
            </w:r>
          </w:p>
        </w:tc>
      </w:tr>
    </w:tbl>
    <w:p>
      <w:pPr>
        <w:pStyle w:val="BodyText"/>
        <w:spacing w:line="240" w:lineRule="auto" w:before="86"/>
        <w:ind w:left="558" w:right="0"/>
        <w:jc w:val="left"/>
      </w:pPr>
      <w:r>
        <w:rPr/>
        <w:t>（</w:t>
      </w:r>
      <w:r>
        <w:rPr>
          <w:rFonts w:ascii="Century Gothic" w:hAnsi="Century Gothic" w:cs="Century Gothic" w:eastAsia="Century Gothic" w:hint="default"/>
        </w:rPr>
        <w:t>7</w:t>
      </w:r>
      <w:r>
        <w:rPr/>
        <w:t>）应收关联方款项</w:t>
      </w:r>
    </w:p>
    <w:p>
      <w:pPr>
        <w:spacing w:line="240" w:lineRule="auto" w:before="10"/>
        <w:rPr>
          <w:rFonts w:ascii="宋体" w:hAnsi="宋体" w:cs="宋体" w:eastAsia="宋体" w:hint="default"/>
          <w:sz w:val="20"/>
          <w:szCs w:val="20"/>
        </w:rPr>
      </w:pPr>
    </w:p>
    <w:tbl>
      <w:tblPr>
        <w:tblW w:w="0" w:type="auto"/>
        <w:jc w:val="left"/>
        <w:tblInd w:w="297" w:type="dxa"/>
        <w:tblLayout w:type="fixed"/>
        <w:tblCellMar>
          <w:top w:w="0" w:type="dxa"/>
          <w:left w:w="0" w:type="dxa"/>
          <w:bottom w:w="0" w:type="dxa"/>
          <w:right w:w="0" w:type="dxa"/>
        </w:tblCellMar>
        <w:tblLook w:val="01E0"/>
      </w:tblPr>
      <w:tblGrid>
        <w:gridCol w:w="3239"/>
        <w:gridCol w:w="1800"/>
        <w:gridCol w:w="1844"/>
        <w:gridCol w:w="1945"/>
      </w:tblGrid>
      <w:tr>
        <w:trPr>
          <w:trHeight w:val="568" w:hRule="exact"/>
        </w:trPr>
        <w:tc>
          <w:tcPr>
            <w:tcW w:w="3239"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26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年末金额</w:t>
            </w:r>
          </w:p>
        </w:tc>
        <w:tc>
          <w:tcPr>
            <w:tcW w:w="1945"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占其他应收款总额</w:t>
            </w:r>
          </w:p>
          <w:p>
            <w:pPr>
              <w:pStyle w:val="TableParagraph"/>
              <w:spacing w:line="290" w:lineRule="exact"/>
              <w:ind w:right="5"/>
              <w:jc w:val="center"/>
              <w:rPr>
                <w:rFonts w:ascii="宋体" w:hAnsi="宋体" w:cs="宋体" w:eastAsia="宋体" w:hint="default"/>
                <w:sz w:val="21"/>
                <w:szCs w:val="21"/>
              </w:rPr>
            </w:pPr>
            <w:r>
              <w:rPr>
                <w:rFonts w:ascii="宋体" w:hAnsi="宋体" w:cs="宋体" w:eastAsia="宋体" w:hint="default"/>
                <w:sz w:val="21"/>
                <w:szCs w:val="21"/>
              </w:rPr>
              <w:t>的比例（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r>
      <w:tr>
        <w:trPr>
          <w:trHeight w:val="560" w:hRule="exact"/>
        </w:trPr>
        <w:tc>
          <w:tcPr>
            <w:tcW w:w="3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同受华立集团股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份有限公司控制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1"/>
                <w:sz w:val="21"/>
              </w:rPr>
              <w:t>147,752.01</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768"/>
              <w:jc w:val="right"/>
              <w:rPr>
                <w:rFonts w:ascii="Century Gothic" w:hAnsi="Century Gothic" w:cs="Century Gothic" w:eastAsia="Century Gothic" w:hint="default"/>
                <w:sz w:val="21"/>
                <w:szCs w:val="21"/>
              </w:rPr>
            </w:pPr>
            <w:r>
              <w:rPr>
                <w:rFonts w:ascii="Century Gothic"/>
                <w:spacing w:val="-1"/>
                <w:sz w:val="21"/>
              </w:rPr>
              <w:t>0.08</w:t>
            </w:r>
          </w:p>
        </w:tc>
      </w:tr>
      <w:tr>
        <w:trPr>
          <w:trHeight w:val="562" w:hRule="exact"/>
        </w:trPr>
        <w:tc>
          <w:tcPr>
            <w:tcW w:w="3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浙江华科实业开发有限公司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同受华立集团股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份有限公司控制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1"/>
                <w:sz w:val="21"/>
              </w:rPr>
              <w:t>257,244.06</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768"/>
              <w:jc w:val="right"/>
              <w:rPr>
                <w:rFonts w:ascii="Century Gothic" w:hAnsi="Century Gothic" w:cs="Century Gothic" w:eastAsia="Century Gothic" w:hint="default"/>
                <w:sz w:val="21"/>
                <w:szCs w:val="21"/>
              </w:rPr>
            </w:pPr>
            <w:r>
              <w:rPr>
                <w:rFonts w:ascii="Century Gothic"/>
                <w:spacing w:val="-1"/>
                <w:sz w:val="21"/>
              </w:rPr>
              <w:t>0.14</w:t>
            </w:r>
          </w:p>
        </w:tc>
      </w:tr>
      <w:tr>
        <w:trPr>
          <w:trHeight w:val="560" w:hRule="exact"/>
        </w:trPr>
        <w:tc>
          <w:tcPr>
            <w:tcW w:w="3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浙江华立电网控制系统有限公司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同受华立集团股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份有限公司控制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2,285,200.72</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768"/>
              <w:jc w:val="right"/>
              <w:rPr>
                <w:rFonts w:ascii="Century Gothic" w:hAnsi="Century Gothic" w:cs="Century Gothic" w:eastAsia="Century Gothic" w:hint="default"/>
                <w:sz w:val="21"/>
                <w:szCs w:val="21"/>
              </w:rPr>
            </w:pPr>
            <w:r>
              <w:rPr>
                <w:rFonts w:ascii="Century Gothic"/>
                <w:spacing w:val="-1"/>
                <w:sz w:val="21"/>
              </w:rPr>
              <w:t>1.28</w:t>
            </w:r>
          </w:p>
        </w:tc>
      </w:tr>
      <w:tr>
        <w:trPr>
          <w:trHeight w:val="562" w:hRule="exact"/>
        </w:trPr>
        <w:tc>
          <w:tcPr>
            <w:tcW w:w="3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浙江华立通信集团有限公司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同受华立集团股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份有限公司控制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1"/>
                <w:sz w:val="21"/>
              </w:rPr>
              <w:t>366,797.32</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768"/>
              <w:jc w:val="right"/>
              <w:rPr>
                <w:rFonts w:ascii="Century Gothic" w:hAnsi="Century Gothic" w:cs="Century Gothic" w:eastAsia="Century Gothic" w:hint="default"/>
                <w:sz w:val="21"/>
                <w:szCs w:val="21"/>
              </w:rPr>
            </w:pPr>
            <w:r>
              <w:rPr>
                <w:rFonts w:ascii="Century Gothic"/>
                <w:spacing w:val="-1"/>
                <w:sz w:val="21"/>
              </w:rPr>
              <w:t>0.21</w:t>
            </w:r>
          </w:p>
        </w:tc>
      </w:tr>
      <w:tr>
        <w:trPr>
          <w:trHeight w:val="560" w:hRule="exact"/>
        </w:trPr>
        <w:tc>
          <w:tcPr>
            <w:tcW w:w="32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浙江华立电力科技有限公司</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同受华立集团股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份有限公司控制</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2,520,000.00</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768"/>
              <w:jc w:val="right"/>
              <w:rPr>
                <w:rFonts w:ascii="Century Gothic" w:hAnsi="Century Gothic" w:cs="Century Gothic" w:eastAsia="Century Gothic" w:hint="default"/>
                <w:sz w:val="21"/>
                <w:szCs w:val="21"/>
              </w:rPr>
            </w:pPr>
            <w:r>
              <w:rPr>
                <w:rFonts w:ascii="Century Gothic"/>
                <w:spacing w:val="-1"/>
                <w:sz w:val="21"/>
              </w:rPr>
              <w:t>1.41</w:t>
            </w:r>
          </w:p>
        </w:tc>
      </w:tr>
      <w:tr>
        <w:trPr>
          <w:trHeight w:val="308" w:hRule="exact"/>
        </w:trPr>
        <w:tc>
          <w:tcPr>
            <w:tcW w:w="3239"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7"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00" w:type="dxa"/>
            <w:tcBorders>
              <w:top w:val="single" w:sz="6" w:space="0" w:color="000000"/>
              <w:left w:val="single" w:sz="6" w:space="0" w:color="000000"/>
              <w:bottom w:val="single" w:sz="12" w:space="0" w:color="000000"/>
              <w:right w:val="single" w:sz="6" w:space="0" w:color="000000"/>
            </w:tcBorders>
          </w:tcPr>
          <w:p>
            <w:pP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5,576,994.11</w:t>
            </w:r>
            <w:r>
              <w:rPr>
                <w:rFonts w:ascii="Century Gothic"/>
                <w:b/>
                <w:w w:val="95"/>
                <w:sz w:val="21"/>
              </w:rPr>
            </w:r>
            <w:r>
              <w:rPr>
                <w:rFonts w:ascii="Century Gothic"/>
                <w:sz w:val="21"/>
              </w:rPr>
            </w:r>
          </w:p>
        </w:tc>
        <w:tc>
          <w:tcPr>
            <w:tcW w:w="1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764"/>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3.12</w:t>
            </w:r>
            <w:r>
              <w:rPr>
                <w:rFonts w:ascii="Century Gothic"/>
                <w:b/>
                <w:w w:val="95"/>
                <w:sz w:val="21"/>
              </w:rPr>
            </w:r>
            <w:r>
              <w:rPr>
                <w:rFonts w:ascii="Century Gothic"/>
                <w:sz w:val="21"/>
              </w:rPr>
            </w:r>
          </w:p>
        </w:tc>
      </w:tr>
    </w:tbl>
    <w:p>
      <w:pPr>
        <w:pStyle w:val="Heading4"/>
        <w:tabs>
          <w:tab w:pos="1413" w:val="left" w:leader="none"/>
        </w:tabs>
        <w:spacing w:line="240" w:lineRule="auto" w:before="86"/>
        <w:ind w:right="0"/>
        <w:jc w:val="left"/>
        <w:rPr>
          <w:rFonts w:ascii="宋体" w:hAnsi="宋体" w:cs="宋体" w:eastAsia="宋体" w:hint="default"/>
          <w:b w:val="0"/>
          <w:bCs w:val="0"/>
        </w:rPr>
      </w:pPr>
      <w:r>
        <w:rPr>
          <w:rFonts w:ascii="宋体" w:hAnsi="宋体" w:cs="宋体" w:eastAsia="宋体" w:hint="default"/>
          <w:w w:val="95"/>
        </w:rPr>
        <w:t>（五）</w:t>
        <w:tab/>
      </w:r>
      <w:r>
        <w:rPr>
          <w:rFonts w:ascii="宋体" w:hAnsi="宋体" w:cs="宋体" w:eastAsia="宋体" w:hint="default"/>
        </w:rPr>
        <w:t>预付款项</w:t>
      </w:r>
      <w:r>
        <w:rPr>
          <w:rFonts w:ascii="宋体" w:hAnsi="宋体" w:cs="宋体" w:eastAsia="宋体" w:hint="default"/>
          <w:b w:val="0"/>
          <w:bCs w:val="0"/>
        </w:rPr>
      </w:r>
    </w:p>
    <w:p>
      <w:pPr>
        <w:pStyle w:val="BodyText"/>
        <w:spacing w:line="240" w:lineRule="auto" w:before="134"/>
        <w:ind w:left="558" w:right="0"/>
        <w:jc w:val="left"/>
      </w:pPr>
      <w:r>
        <w:rPr/>
        <w:t>（</w:t>
      </w:r>
      <w:r>
        <w:rPr>
          <w:rFonts w:ascii="Century Gothic" w:hAnsi="Century Gothic" w:cs="Century Gothic" w:eastAsia="Century Gothic" w:hint="default"/>
        </w:rPr>
        <w:t>1</w:t>
      </w:r>
      <w:r>
        <w:rPr/>
        <w:t>）预付款项按账龄分析列示如下：</w:t>
      </w:r>
    </w:p>
    <w:p>
      <w:pPr>
        <w:spacing w:line="240" w:lineRule="auto" w:before="8"/>
        <w:rPr>
          <w:rFonts w:ascii="宋体" w:hAnsi="宋体" w:cs="宋体" w:eastAsia="宋体" w:hint="default"/>
          <w:sz w:val="11"/>
          <w:szCs w:val="11"/>
        </w:rPr>
      </w:pPr>
    </w:p>
    <w:tbl>
      <w:tblPr>
        <w:tblW w:w="0" w:type="auto"/>
        <w:jc w:val="left"/>
        <w:tblInd w:w="281" w:type="dxa"/>
        <w:tblLayout w:type="fixed"/>
        <w:tblCellMar>
          <w:top w:w="0" w:type="dxa"/>
          <w:left w:w="0" w:type="dxa"/>
          <w:bottom w:w="0" w:type="dxa"/>
          <w:right w:w="0" w:type="dxa"/>
        </w:tblCellMar>
        <w:tblLook w:val="01E0"/>
      </w:tblPr>
      <w:tblGrid>
        <w:gridCol w:w="1769"/>
        <w:gridCol w:w="2026"/>
        <w:gridCol w:w="1260"/>
        <w:gridCol w:w="2520"/>
        <w:gridCol w:w="1284"/>
      </w:tblGrid>
      <w:tr>
        <w:trPr>
          <w:trHeight w:val="307" w:hRule="exact"/>
        </w:trPr>
        <w:tc>
          <w:tcPr>
            <w:tcW w:w="1769" w:type="dxa"/>
            <w:vMerge w:val="restart"/>
            <w:tcBorders>
              <w:top w:val="single" w:sz="12" w:space="0" w:color="000000"/>
              <w:left w:val="nil" w:sz="6" w:space="0" w:color="auto"/>
              <w:right w:val="single" w:sz="6" w:space="0" w:color="000000"/>
            </w:tcBorders>
          </w:tcPr>
          <w:p>
            <w:pPr>
              <w:pStyle w:val="TableParagraph"/>
              <w:spacing w:line="240" w:lineRule="auto" w:before="106"/>
              <w:ind w:left="471"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328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100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804" w:type="dxa"/>
            <w:gridSpan w:val="2"/>
            <w:tcBorders>
              <w:top w:val="single" w:sz="12" w:space="0" w:color="000000"/>
              <w:left w:val="single" w:sz="6" w:space="0" w:color="000000"/>
              <w:bottom w:val="single" w:sz="6" w:space="0" w:color="000000"/>
              <w:right w:val="nil" w:sz="6" w:space="0" w:color="auto"/>
            </w:tcBorders>
          </w:tcPr>
          <w:p>
            <w:pPr>
              <w:pStyle w:val="TableParagraph"/>
              <w:spacing w:line="247" w:lineRule="exact"/>
              <w:ind w:left="126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9" w:hRule="exact"/>
        </w:trPr>
        <w:tc>
          <w:tcPr>
            <w:tcW w:w="1769" w:type="dxa"/>
            <w:vMerge/>
            <w:tcBorders>
              <w:left w:val="nil" w:sz="6" w:space="0" w:color="auto"/>
              <w:bottom w:val="single" w:sz="6" w:space="0" w:color="000000"/>
              <w:right w:val="single" w:sz="6" w:space="0" w:color="000000"/>
            </w:tcBorders>
          </w:tcPr>
          <w:p>
            <w:pP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right="119"/>
              <w:jc w:val="right"/>
              <w:rPr>
                <w:rFonts w:ascii="宋体" w:hAnsi="宋体" w:cs="宋体" w:eastAsia="宋体" w:hint="default"/>
                <w:sz w:val="21"/>
                <w:szCs w:val="21"/>
              </w:rPr>
            </w:pPr>
            <w:r>
              <w:rPr>
                <w:rFonts w:ascii="宋体" w:hAnsi="宋体" w:cs="宋体" w:eastAsia="宋体" w:hint="default"/>
                <w:sz w:val="21"/>
                <w:szCs w:val="21"/>
              </w:rPr>
              <w:t>比例（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63" w:lineRule="exact"/>
              <w:ind w:right="138"/>
              <w:jc w:val="right"/>
              <w:rPr>
                <w:rFonts w:ascii="宋体" w:hAnsi="宋体" w:cs="宋体" w:eastAsia="宋体" w:hint="default"/>
                <w:sz w:val="21"/>
                <w:szCs w:val="21"/>
              </w:rPr>
            </w:pPr>
            <w:r>
              <w:rPr>
                <w:rFonts w:ascii="宋体" w:hAnsi="宋体" w:cs="宋体" w:eastAsia="宋体" w:hint="default"/>
                <w:sz w:val="21"/>
                <w:szCs w:val="21"/>
              </w:rPr>
              <w:t>比例（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r>
      <w:tr>
        <w:trPr>
          <w:trHeight w:val="299"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25,756,129.41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46.74</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49,222,684.01</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2"/>
                <w:sz w:val="21"/>
              </w:rPr>
              <w:t>66.24</w:t>
            </w:r>
            <w:r>
              <w:rPr>
                <w:rFonts w:ascii="Century Gothic"/>
                <w:sz w:val="21"/>
              </w:rPr>
            </w:r>
          </w:p>
        </w:tc>
      </w:tr>
      <w:tr>
        <w:trPr>
          <w:trHeight w:val="299"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w:t>
            </w:r>
            <w:r>
              <w:rPr>
                <w:rFonts w:ascii="Century Gothic" w:hAnsi="Century Gothic" w:cs="Century Gothic" w:eastAsia="Century Gothic" w:hint="default"/>
                <w:sz w:val="21"/>
                <w:szCs w:val="21"/>
              </w:rPr>
              <w:t>2</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年（含）</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14,287,719.06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25.93</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12,872,125.36</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2"/>
                <w:sz w:val="21"/>
              </w:rPr>
              <w:t>17.32</w:t>
            </w:r>
            <w:r>
              <w:rPr>
                <w:rFonts w:ascii="Century Gothic"/>
                <w:sz w:val="21"/>
              </w:rPr>
            </w:r>
          </w:p>
        </w:tc>
      </w:tr>
      <w:tr>
        <w:trPr>
          <w:trHeight w:val="299"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w:t>
            </w: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年（含）</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2,896,882.76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5.26</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11,113,819.80</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2"/>
                <w:sz w:val="21"/>
              </w:rPr>
              <w:t>14.96</w:t>
            </w:r>
            <w:r>
              <w:rPr>
                <w:rFonts w:ascii="Century Gothic"/>
                <w:sz w:val="21"/>
              </w:rPr>
            </w:r>
          </w:p>
        </w:tc>
      </w:tr>
      <w:tr>
        <w:trPr>
          <w:trHeight w:val="300"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年以上</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12,163,637.30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22.07</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1,102,988.50</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2"/>
                <w:sz w:val="21"/>
              </w:rPr>
              <w:t>1.48</w:t>
            </w:r>
            <w:r>
              <w:rPr>
                <w:rFonts w:ascii="Century Gothic"/>
                <w:sz w:val="21"/>
              </w:rPr>
            </w:r>
          </w:p>
        </w:tc>
      </w:tr>
      <w:tr>
        <w:trPr>
          <w:trHeight w:val="307" w:hRule="exact"/>
        </w:trPr>
        <w:tc>
          <w:tcPr>
            <w:tcW w:w="1769" w:type="dxa"/>
            <w:tcBorders>
              <w:top w:val="single" w:sz="6" w:space="0" w:color="000000"/>
              <w:left w:val="nil" w:sz="6" w:space="0" w:color="auto"/>
              <w:bottom w:val="single" w:sz="12" w:space="0" w:color="000000"/>
              <w:right w:val="single" w:sz="6" w:space="0" w:color="000000"/>
            </w:tcBorders>
          </w:tcPr>
          <w:p>
            <w:pPr>
              <w:pStyle w:val="TableParagraph"/>
              <w:tabs>
                <w:tab w:pos="995" w:val="left" w:leader="none"/>
              </w:tabs>
              <w:spacing w:line="247" w:lineRule="exact"/>
              <w:ind w:left="57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55,104,368.53</w:t>
            </w:r>
            <w:r>
              <w:rPr>
                <w:rFonts w:ascii="Century Gothic"/>
                <w:b/>
                <w:w w:val="95"/>
                <w:sz w:val="21"/>
              </w:rPr>
            </w:r>
            <w:r>
              <w:rPr>
                <w:rFonts w:ascii="Century Gothic"/>
                <w:sz w:val="21"/>
              </w:rPr>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spacing w:val="-1"/>
                <w:w w:val="95"/>
                <w:sz w:val="21"/>
                <w:u w:val="single" w:color="000000"/>
              </w:rPr>
              <w:t>100.00</w:t>
            </w:r>
            <w:r>
              <w:rPr>
                <w:rFonts w:ascii="Century Gothic"/>
                <w:b/>
                <w:spacing w:val="-1"/>
                <w:w w:val="95"/>
                <w:sz w:val="21"/>
              </w:rPr>
            </w:r>
            <w:r>
              <w:rPr>
                <w:rFonts w:ascii="Century Gothic"/>
                <w:sz w:val="21"/>
              </w:rPr>
            </w:r>
          </w:p>
        </w:tc>
        <w:tc>
          <w:tcPr>
            <w:tcW w:w="25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74,311,617.67</w:t>
            </w:r>
            <w:r>
              <w:rPr>
                <w:rFonts w:ascii="Century Gothic"/>
                <w:b/>
                <w:w w:val="95"/>
                <w:sz w:val="21"/>
              </w:rPr>
            </w:r>
            <w:r>
              <w:rPr>
                <w:rFonts w:ascii="Century Gothic"/>
                <w:sz w:val="21"/>
              </w:rPr>
            </w:r>
          </w:p>
        </w:tc>
        <w:tc>
          <w:tcPr>
            <w:tcW w:w="12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spacing w:val="-1"/>
                <w:w w:val="95"/>
                <w:sz w:val="21"/>
                <w:u w:val="single" w:color="000000"/>
              </w:rPr>
              <w:t>100.00</w:t>
            </w:r>
            <w:r>
              <w:rPr>
                <w:rFonts w:ascii="Century Gothic"/>
                <w:b/>
                <w:spacing w:val="-1"/>
                <w:w w:val="95"/>
                <w:sz w:val="21"/>
              </w:rPr>
            </w:r>
            <w:r>
              <w:rPr>
                <w:rFonts w:ascii="Century Gothic"/>
                <w:sz w:val="21"/>
              </w:rPr>
            </w:r>
          </w:p>
        </w:tc>
      </w:tr>
    </w:tbl>
    <w:p>
      <w:pPr>
        <w:pStyle w:val="BodyText"/>
        <w:spacing w:line="240" w:lineRule="auto" w:before="86"/>
        <w:ind w:left="558" w:right="0"/>
        <w:jc w:val="left"/>
      </w:pPr>
      <w:r>
        <w:rPr/>
        <w:t>（</w:t>
      </w:r>
      <w:r>
        <w:rPr>
          <w:rFonts w:ascii="Century Gothic" w:hAnsi="Century Gothic" w:cs="Century Gothic" w:eastAsia="Century Gothic" w:hint="default"/>
        </w:rPr>
        <w:t>2</w:t>
      </w:r>
      <w:r>
        <w:rPr/>
        <w:t>）年末预付款项前五名单位列示如下：</w:t>
      </w:r>
    </w:p>
    <w:p>
      <w:pPr>
        <w:spacing w:line="240" w:lineRule="auto" w:before="8"/>
        <w:rPr>
          <w:rFonts w:ascii="宋体" w:hAnsi="宋体" w:cs="宋体" w:eastAsia="宋体" w:hint="default"/>
          <w:sz w:val="11"/>
          <w:szCs w:val="11"/>
        </w:rPr>
      </w:pPr>
    </w:p>
    <w:tbl>
      <w:tblPr>
        <w:tblW w:w="0" w:type="auto"/>
        <w:jc w:val="left"/>
        <w:tblInd w:w="291" w:type="dxa"/>
        <w:tblLayout w:type="fixed"/>
        <w:tblCellMar>
          <w:top w:w="0" w:type="dxa"/>
          <w:left w:w="0" w:type="dxa"/>
          <w:bottom w:w="0" w:type="dxa"/>
          <w:right w:w="0" w:type="dxa"/>
        </w:tblCellMar>
        <w:tblLook w:val="01E0"/>
      </w:tblPr>
      <w:tblGrid>
        <w:gridCol w:w="1766"/>
        <w:gridCol w:w="1063"/>
        <w:gridCol w:w="1568"/>
        <w:gridCol w:w="1072"/>
        <w:gridCol w:w="1244"/>
        <w:gridCol w:w="2125"/>
      </w:tblGrid>
      <w:tr>
        <w:trPr>
          <w:trHeight w:val="842" w:hRule="exact"/>
        </w:trPr>
        <w:tc>
          <w:tcPr>
            <w:tcW w:w="176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0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314" w:right="102" w:hanging="210"/>
              <w:jc w:val="left"/>
              <w:rPr>
                <w:rFonts w:ascii="宋体" w:hAnsi="宋体" w:cs="宋体" w:eastAsia="宋体" w:hint="default"/>
                <w:sz w:val="21"/>
                <w:szCs w:val="21"/>
              </w:rPr>
            </w:pPr>
            <w:r>
              <w:rPr>
                <w:rFonts w:ascii="宋体" w:hAnsi="宋体" w:cs="宋体" w:eastAsia="宋体" w:hint="default"/>
                <w:sz w:val="21"/>
                <w:szCs w:val="21"/>
              </w:rPr>
              <w:t>与本公司 关系</w:t>
            </w:r>
          </w:p>
        </w:tc>
        <w:tc>
          <w:tcPr>
            <w:tcW w:w="15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107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占预付账</w:t>
            </w:r>
          </w:p>
          <w:p>
            <w:pPr>
              <w:pStyle w:val="TableParagraph"/>
              <w:spacing w:line="272" w:lineRule="exact" w:before="27"/>
              <w:ind w:left="100" w:right="-5" w:firstLine="7"/>
              <w:jc w:val="left"/>
              <w:rPr>
                <w:rFonts w:ascii="宋体" w:hAnsi="宋体" w:cs="宋体" w:eastAsia="宋体" w:hint="default"/>
                <w:sz w:val="21"/>
                <w:szCs w:val="21"/>
              </w:rPr>
            </w:pPr>
            <w:r>
              <w:rPr>
                <w:rFonts w:ascii="宋体" w:hAnsi="宋体" w:cs="宋体" w:eastAsia="宋体" w:hint="default"/>
                <w:sz w:val="21"/>
                <w:szCs w:val="21"/>
              </w:rPr>
              <w:t>款总额的 </w:t>
            </w:r>
            <w:r>
              <w:rPr>
                <w:rFonts w:ascii="宋体" w:hAnsi="宋体" w:cs="宋体" w:eastAsia="宋体" w:hint="default"/>
                <w:spacing w:val="-9"/>
                <w:sz w:val="21"/>
                <w:szCs w:val="21"/>
              </w:rPr>
              <w:t>比例（</w:t>
            </w:r>
            <w:r>
              <w:rPr>
                <w:rFonts w:ascii="Century Gothic" w:hAnsi="Century Gothic" w:cs="Century Gothic" w:eastAsia="Century Gothic" w:hint="default"/>
                <w:spacing w:val="-9"/>
                <w:sz w:val="21"/>
                <w:szCs w:val="21"/>
              </w:rPr>
              <w:t>%</w:t>
            </w:r>
            <w:r>
              <w:rPr>
                <w:rFonts w:ascii="宋体" w:hAnsi="宋体" w:cs="宋体" w:eastAsia="宋体" w:hint="default"/>
                <w:spacing w:val="-9"/>
                <w:sz w:val="21"/>
                <w:szCs w:val="21"/>
              </w:rPr>
              <w:t>）</w:t>
            </w:r>
          </w:p>
        </w:tc>
        <w:tc>
          <w:tcPr>
            <w:tcW w:w="12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预付时间</w:t>
            </w:r>
          </w:p>
        </w:tc>
        <w:tc>
          <w:tcPr>
            <w:tcW w:w="212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19" w:hRule="exact"/>
        </w:trPr>
        <w:tc>
          <w:tcPr>
            <w:tcW w:w="176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right="42"/>
              <w:jc w:val="center"/>
              <w:rPr>
                <w:rFonts w:ascii="宋体" w:hAnsi="宋体" w:cs="宋体" w:eastAsia="宋体" w:hint="default"/>
                <w:sz w:val="21"/>
                <w:szCs w:val="21"/>
              </w:rPr>
            </w:pPr>
            <w:r>
              <w:rPr>
                <w:rFonts w:ascii="宋体" w:hAnsi="宋体" w:cs="宋体" w:eastAsia="宋体" w:hint="default"/>
                <w:sz w:val="21"/>
                <w:szCs w:val="21"/>
              </w:rPr>
              <w:t>美国华盛顿大学</w:t>
            </w:r>
          </w:p>
        </w:tc>
        <w:tc>
          <w:tcPr>
            <w:tcW w:w="10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left="104" w:right="0"/>
              <w:jc w:val="left"/>
              <w:rPr>
                <w:rFonts w:ascii="宋体" w:hAnsi="宋体" w:cs="宋体" w:eastAsia="宋体" w:hint="default"/>
                <w:sz w:val="21"/>
                <w:szCs w:val="21"/>
              </w:rPr>
            </w:pPr>
            <w:r>
              <w:rPr>
                <w:rFonts w:ascii="宋体" w:hAnsi="宋体" w:cs="宋体" w:eastAsia="宋体" w:hint="default"/>
                <w:sz w:val="21"/>
                <w:szCs w:val="21"/>
              </w:rPr>
              <w:t>合作单位</w:t>
            </w:r>
          </w:p>
        </w:tc>
        <w:tc>
          <w:tcPr>
            <w:tcW w:w="1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left="14" w:right="0"/>
              <w:jc w:val="center"/>
              <w:rPr>
                <w:rFonts w:ascii="Century Gothic" w:hAnsi="Century Gothic" w:cs="Century Gothic" w:eastAsia="Century Gothic" w:hint="default"/>
                <w:sz w:val="21"/>
                <w:szCs w:val="21"/>
              </w:rPr>
            </w:pPr>
            <w:r>
              <w:rPr>
                <w:rFonts w:ascii="Century Gothic"/>
                <w:sz w:val="21"/>
              </w:rPr>
              <w:t>10,061,577.14</w:t>
            </w:r>
          </w:p>
        </w:tc>
        <w:tc>
          <w:tcPr>
            <w:tcW w:w="10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left="267" w:right="0"/>
              <w:jc w:val="left"/>
              <w:rPr>
                <w:rFonts w:ascii="Century Gothic" w:hAnsi="Century Gothic" w:cs="Century Gothic" w:eastAsia="Century Gothic" w:hint="default"/>
                <w:sz w:val="21"/>
                <w:szCs w:val="21"/>
              </w:rPr>
            </w:pPr>
            <w:r>
              <w:rPr>
                <w:rFonts w:ascii="Century Gothic"/>
                <w:sz w:val="21"/>
              </w:rPr>
              <w:t>18.26</w:t>
            </w:r>
          </w:p>
        </w:tc>
        <w:tc>
          <w:tcPr>
            <w:tcW w:w="12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Century Gothic" w:hAnsi="Century Gothic" w:cs="Century Gothic" w:eastAsia="Century Gothic" w:hint="default"/>
                <w:sz w:val="21"/>
                <w:szCs w:val="21"/>
              </w:rPr>
              <w:t>2006</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w:t>
            </w:r>
          </w:p>
        </w:tc>
        <w:tc>
          <w:tcPr>
            <w:tcW w:w="212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该项目尚在进行中</w:t>
            </w:r>
          </w:p>
        </w:tc>
      </w:tr>
    </w:tbl>
    <w:p>
      <w:pPr>
        <w:spacing w:line="240" w:lineRule="auto" w:before="13"/>
        <w:rPr>
          <w:rFonts w:ascii="宋体" w:hAnsi="宋体" w:cs="宋体" w:eastAsia="宋体" w:hint="default"/>
          <w:sz w:val="20"/>
          <w:szCs w:val="20"/>
        </w:rPr>
      </w:pPr>
    </w:p>
    <w:p>
      <w:pPr>
        <w:spacing w:before="76"/>
        <w:ind w:left="482" w:right="320" w:firstLine="0"/>
        <w:jc w:val="center"/>
        <w:rPr>
          <w:rFonts w:ascii="Times New Roman" w:hAnsi="Times New Roman" w:cs="Times New Roman" w:eastAsia="Times New Roman" w:hint="default"/>
          <w:sz w:val="18"/>
          <w:szCs w:val="18"/>
        </w:rPr>
      </w:pPr>
      <w:r>
        <w:rPr>
          <w:rFonts w:ascii="Times New Roman"/>
          <w:sz w:val="18"/>
        </w:rPr>
        <w:t>71</w:t>
      </w:r>
    </w:p>
    <w:p>
      <w:pPr>
        <w:spacing w:after="0"/>
        <w:jc w:val="center"/>
        <w:rPr>
          <w:rFonts w:ascii="Times New Roman" w:hAnsi="Times New Roman" w:cs="Times New Roman" w:eastAsia="Times New Roman" w:hint="default"/>
          <w:sz w:val="18"/>
          <w:szCs w:val="18"/>
        </w:rPr>
        <w:sectPr>
          <w:pgSz w:w="11910" w:h="16840"/>
          <w:pgMar w:top="780" w:bottom="280" w:left="1280" w:right="132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5104"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91" w:type="dxa"/>
        <w:tblLayout w:type="fixed"/>
        <w:tblCellMar>
          <w:top w:w="0" w:type="dxa"/>
          <w:left w:w="0" w:type="dxa"/>
          <w:bottom w:w="0" w:type="dxa"/>
          <w:right w:w="0" w:type="dxa"/>
        </w:tblCellMar>
        <w:tblLook w:val="01E0"/>
      </w:tblPr>
      <w:tblGrid>
        <w:gridCol w:w="1766"/>
        <w:gridCol w:w="1063"/>
        <w:gridCol w:w="1568"/>
        <w:gridCol w:w="1072"/>
        <w:gridCol w:w="1244"/>
        <w:gridCol w:w="2125"/>
      </w:tblGrid>
      <w:tr>
        <w:trPr>
          <w:trHeight w:val="568" w:hRule="exact"/>
        </w:trPr>
        <w:tc>
          <w:tcPr>
            <w:tcW w:w="1766" w:type="dxa"/>
            <w:tcBorders>
              <w:top w:val="single" w:sz="12" w:space="0" w:color="000000"/>
              <w:left w:val="nil" w:sz="6" w:space="0" w:color="auto"/>
              <w:bottom w:val="single" w:sz="6" w:space="0" w:color="000000"/>
              <w:right w:val="single" w:sz="6"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杭州诚欣仪表配</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10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5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2"/>
              <w:ind w:left="129" w:right="0"/>
              <w:jc w:val="center"/>
              <w:rPr>
                <w:rFonts w:ascii="Century Gothic" w:hAnsi="Century Gothic" w:cs="Century Gothic" w:eastAsia="Century Gothic" w:hint="default"/>
                <w:sz w:val="21"/>
                <w:szCs w:val="21"/>
              </w:rPr>
            </w:pPr>
            <w:r>
              <w:rPr>
                <w:rFonts w:ascii="Century Gothic"/>
                <w:sz w:val="21"/>
              </w:rPr>
              <w:t>8,000,000.00</w:t>
            </w:r>
          </w:p>
        </w:tc>
        <w:tc>
          <w:tcPr>
            <w:tcW w:w="10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Century Gothic" w:hAnsi="Century Gothic" w:cs="Century Gothic" w:eastAsia="Century Gothic" w:hint="default"/>
                <w:sz w:val="21"/>
                <w:szCs w:val="21"/>
              </w:rPr>
            </w:pPr>
            <w:r>
              <w:rPr>
                <w:rFonts w:ascii="Century Gothic"/>
                <w:sz w:val="21"/>
              </w:rPr>
              <w:t>14.52</w:t>
            </w:r>
          </w:p>
        </w:tc>
        <w:tc>
          <w:tcPr>
            <w:tcW w:w="12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Century Gothic" w:hAnsi="Century Gothic" w:cs="Century Gothic" w:eastAsia="Century Gothic" w:hint="default"/>
                <w:sz w:val="21"/>
                <w:szCs w:val="21"/>
              </w:rPr>
              <w:t>2008</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w:t>
            </w:r>
          </w:p>
        </w:tc>
        <w:tc>
          <w:tcPr>
            <w:tcW w:w="212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协议尚未履行完毕</w:t>
            </w:r>
          </w:p>
        </w:tc>
      </w:tr>
      <w:tr>
        <w:trPr>
          <w:trHeight w:val="560" w:hRule="exact"/>
        </w:trPr>
        <w:tc>
          <w:tcPr>
            <w:tcW w:w="17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杭州澳盛园艺有</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29" w:right="0"/>
              <w:jc w:val="center"/>
              <w:rPr>
                <w:rFonts w:ascii="Century Gothic" w:hAnsi="Century Gothic" w:cs="Century Gothic" w:eastAsia="Century Gothic" w:hint="default"/>
                <w:sz w:val="21"/>
                <w:szCs w:val="21"/>
              </w:rPr>
            </w:pPr>
            <w:r>
              <w:rPr>
                <w:rFonts w:ascii="Century Gothic"/>
                <w:sz w:val="21"/>
              </w:rPr>
              <w:t>7,000,000.00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Century Gothic" w:hAnsi="Century Gothic" w:cs="Century Gothic" w:eastAsia="Century Gothic" w:hint="default"/>
                <w:sz w:val="21"/>
                <w:szCs w:val="21"/>
              </w:rPr>
            </w:pPr>
            <w:r>
              <w:rPr>
                <w:rFonts w:ascii="Century Gothic"/>
                <w:sz w:val="21"/>
              </w:rPr>
              <w:t>12.70</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Century Gothic" w:hAnsi="Century Gothic" w:cs="Century Gothic" w:eastAsia="Century Gothic" w:hint="default"/>
                <w:sz w:val="21"/>
                <w:szCs w:val="21"/>
              </w:rPr>
              <w:t>2009</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w:t>
            </w:r>
          </w:p>
        </w:tc>
        <w:tc>
          <w:tcPr>
            <w:tcW w:w="21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协议尚未履行完毕</w:t>
            </w:r>
          </w:p>
        </w:tc>
      </w:tr>
      <w:tr>
        <w:trPr>
          <w:trHeight w:val="562" w:hRule="exact"/>
        </w:trPr>
        <w:tc>
          <w:tcPr>
            <w:tcW w:w="17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杭州正华电子科</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29" w:right="0"/>
              <w:jc w:val="center"/>
              <w:rPr>
                <w:rFonts w:ascii="Century Gothic" w:hAnsi="Century Gothic" w:cs="Century Gothic" w:eastAsia="Century Gothic" w:hint="default"/>
                <w:sz w:val="21"/>
                <w:szCs w:val="21"/>
              </w:rPr>
            </w:pPr>
            <w:r>
              <w:rPr>
                <w:rFonts w:ascii="Century Gothic"/>
                <w:sz w:val="21"/>
              </w:rPr>
              <w:t>6,000,000.00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Century Gothic" w:hAnsi="Century Gothic" w:cs="Century Gothic" w:eastAsia="Century Gothic" w:hint="default"/>
                <w:sz w:val="21"/>
                <w:szCs w:val="21"/>
              </w:rPr>
            </w:pPr>
            <w:r>
              <w:rPr>
                <w:rFonts w:ascii="Century Gothic"/>
                <w:sz w:val="21"/>
              </w:rPr>
              <w:t>10.89</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Century Gothic" w:hAnsi="Century Gothic" w:cs="Century Gothic" w:eastAsia="Century Gothic" w:hint="default"/>
                <w:sz w:val="21"/>
                <w:szCs w:val="21"/>
              </w:rPr>
              <w:t>2008</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w:t>
            </w:r>
          </w:p>
        </w:tc>
        <w:tc>
          <w:tcPr>
            <w:tcW w:w="21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协议尚未履行完毕</w:t>
            </w:r>
          </w:p>
        </w:tc>
      </w:tr>
      <w:tr>
        <w:trPr>
          <w:trHeight w:val="560" w:hRule="exact"/>
        </w:trPr>
        <w:tc>
          <w:tcPr>
            <w:tcW w:w="176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0"/>
                <w:sz w:val="21"/>
                <w:szCs w:val="21"/>
              </w:rPr>
              <w:t>苏州中联化学制</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药有限公司</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29" w:right="0"/>
              <w:jc w:val="center"/>
              <w:rPr>
                <w:rFonts w:ascii="Century Gothic" w:hAnsi="Century Gothic" w:cs="Century Gothic" w:eastAsia="Century Gothic" w:hint="default"/>
                <w:sz w:val="21"/>
                <w:szCs w:val="21"/>
              </w:rPr>
            </w:pPr>
            <w:r>
              <w:rPr>
                <w:rFonts w:ascii="Century Gothic"/>
                <w:sz w:val="21"/>
              </w:rPr>
              <w:t>4,500,000.00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Century Gothic" w:hAnsi="Century Gothic" w:cs="Century Gothic" w:eastAsia="Century Gothic" w:hint="default"/>
                <w:sz w:val="21"/>
                <w:szCs w:val="21"/>
              </w:rPr>
            </w:pPr>
            <w:r>
              <w:rPr>
                <w:rFonts w:ascii="Century Gothic"/>
                <w:sz w:val="21"/>
              </w:rPr>
              <w:t>8.17</w:t>
            </w:r>
          </w:p>
        </w:tc>
        <w:tc>
          <w:tcPr>
            <w:tcW w:w="1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Century Gothic" w:hAnsi="Century Gothic" w:cs="Century Gothic" w:eastAsia="Century Gothic" w:hint="default"/>
                <w:sz w:val="21"/>
                <w:szCs w:val="21"/>
              </w:rPr>
              <w:t>2009</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w:t>
            </w:r>
          </w:p>
        </w:tc>
        <w:tc>
          <w:tcPr>
            <w:tcW w:w="212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协议尚未履行完毕</w:t>
            </w:r>
          </w:p>
        </w:tc>
      </w:tr>
      <w:tr>
        <w:trPr>
          <w:trHeight w:val="421" w:hRule="exact"/>
        </w:trPr>
        <w:tc>
          <w:tcPr>
            <w:tcW w:w="1766" w:type="dxa"/>
            <w:tcBorders>
              <w:top w:val="single" w:sz="6" w:space="0" w:color="000000"/>
              <w:left w:val="nil" w:sz="6" w:space="0" w:color="auto"/>
              <w:bottom w:val="single" w:sz="12" w:space="0" w:color="000000"/>
              <w:right w:val="single" w:sz="6" w:space="0" w:color="000000"/>
            </w:tcBorders>
          </w:tcPr>
          <w:p>
            <w:pPr>
              <w:pStyle w:val="TableParagraph"/>
              <w:tabs>
                <w:tab w:pos="994" w:val="left" w:leader="none"/>
              </w:tabs>
              <w:spacing w:line="240" w:lineRule="auto" w:before="28"/>
              <w:ind w:left="57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063" w:type="dxa"/>
            <w:tcBorders>
              <w:top w:val="single" w:sz="6" w:space="0" w:color="000000"/>
              <w:left w:val="single" w:sz="6" w:space="0" w:color="000000"/>
              <w:bottom w:val="single" w:sz="12" w:space="0" w:color="000000"/>
              <w:right w:val="single" w:sz="6" w:space="0" w:color="000000"/>
            </w:tcBorders>
          </w:tcPr>
          <w:p>
            <w:pPr/>
          </w:p>
        </w:tc>
        <w:tc>
          <w:tcPr>
            <w:tcW w:w="1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35,561,577.14</w:t>
            </w:r>
            <w:r>
              <w:rPr>
                <w:rFonts w:ascii="Century Gothic"/>
                <w:b/>
                <w:sz w:val="21"/>
              </w:rPr>
            </w:r>
            <w:r>
              <w:rPr>
                <w:rFonts w:ascii="Century Gothic"/>
                <w:sz w:val="21"/>
              </w:rPr>
            </w:r>
          </w:p>
        </w:tc>
        <w:tc>
          <w:tcPr>
            <w:tcW w:w="10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64.54</w:t>
            </w:r>
            <w:r>
              <w:rPr>
                <w:rFonts w:ascii="Century Gothic"/>
                <w:b/>
                <w:sz w:val="21"/>
              </w:rPr>
            </w:r>
            <w:r>
              <w:rPr>
                <w:rFonts w:ascii="Century Gothic"/>
                <w:sz w:val="21"/>
              </w:rPr>
            </w:r>
          </w:p>
        </w:tc>
        <w:tc>
          <w:tcPr>
            <w:tcW w:w="1244" w:type="dxa"/>
            <w:tcBorders>
              <w:top w:val="single" w:sz="6" w:space="0" w:color="000000"/>
              <w:left w:val="single" w:sz="6" w:space="0" w:color="000000"/>
              <w:bottom w:val="single" w:sz="12" w:space="0" w:color="000000"/>
              <w:right w:val="single" w:sz="6" w:space="0" w:color="000000"/>
            </w:tcBorders>
          </w:tcPr>
          <w:p>
            <w:pPr/>
          </w:p>
        </w:tc>
        <w:tc>
          <w:tcPr>
            <w:tcW w:w="2125"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94"/>
        <w:ind w:left="558" w:right="0"/>
        <w:jc w:val="left"/>
      </w:pPr>
      <w:r>
        <w:rPr/>
        <w:t>（</w:t>
      </w:r>
      <w:r>
        <w:rPr>
          <w:rFonts w:ascii="Century Gothic" w:hAnsi="Century Gothic" w:cs="Century Gothic" w:eastAsia="Century Gothic" w:hint="default"/>
        </w:rPr>
        <w:t>3</w:t>
      </w:r>
      <w:r>
        <w:rPr/>
        <w:t>）账龄超过一年、金额较大的预付款项明细如下：</w:t>
      </w:r>
    </w:p>
    <w:p>
      <w:pPr>
        <w:spacing w:line="240" w:lineRule="auto" w:before="10"/>
        <w:rPr>
          <w:rFonts w:ascii="宋体" w:hAnsi="宋体" w:cs="宋体" w:eastAsia="宋体" w:hint="default"/>
          <w:sz w:val="20"/>
          <w:szCs w:val="20"/>
        </w:rPr>
      </w:pPr>
    </w:p>
    <w:tbl>
      <w:tblPr>
        <w:tblW w:w="0" w:type="auto"/>
        <w:jc w:val="left"/>
        <w:tblInd w:w="281" w:type="dxa"/>
        <w:tblLayout w:type="fixed"/>
        <w:tblCellMar>
          <w:top w:w="0" w:type="dxa"/>
          <w:left w:w="0" w:type="dxa"/>
          <w:bottom w:w="0" w:type="dxa"/>
          <w:right w:w="0" w:type="dxa"/>
        </w:tblCellMar>
        <w:tblLook w:val="01E0"/>
      </w:tblPr>
      <w:tblGrid>
        <w:gridCol w:w="1939"/>
        <w:gridCol w:w="2396"/>
        <w:gridCol w:w="1452"/>
        <w:gridCol w:w="3071"/>
      </w:tblGrid>
      <w:tr>
        <w:trPr>
          <w:trHeight w:val="362" w:hRule="exact"/>
        </w:trPr>
        <w:tc>
          <w:tcPr>
            <w:tcW w:w="1939"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55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9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56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1452"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071"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未及时结算原因</w:t>
            </w:r>
          </w:p>
        </w:tc>
      </w:tr>
      <w:tr>
        <w:trPr>
          <w:trHeight w:val="355"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美国华盛顿大学</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Century Gothic" w:hAnsi="Century Gothic" w:cs="Century Gothic" w:eastAsia="Century Gothic" w:hint="default"/>
                <w:sz w:val="21"/>
                <w:szCs w:val="21"/>
              </w:rPr>
            </w:pPr>
            <w:r>
              <w:rPr>
                <w:rFonts w:ascii="Century Gothic"/>
                <w:spacing w:val="-1"/>
                <w:sz w:val="21"/>
              </w:rPr>
              <w:t>10,061,577.14</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年以上</w:t>
            </w:r>
          </w:p>
        </w:tc>
        <w:tc>
          <w:tcPr>
            <w:tcW w:w="3071"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该项目尚在进行中</w:t>
            </w:r>
          </w:p>
        </w:tc>
      </w:tr>
      <w:tr>
        <w:trPr>
          <w:trHeight w:val="562"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杭州诚欣仪表配件</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8,000,000.00</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1-2</w:t>
            </w:r>
            <w:r>
              <w:rPr>
                <w:rFonts w:ascii="Century Gothic" w:hAnsi="Century Gothic" w:cs="Century Gothic" w:eastAsia="Century Gothic" w:hint="default"/>
                <w:spacing w:val="-9"/>
                <w:sz w:val="21"/>
                <w:szCs w:val="21"/>
              </w:rPr>
              <w:t> </w:t>
            </w:r>
            <w:r>
              <w:rPr>
                <w:rFonts w:ascii="宋体" w:hAnsi="宋体" w:cs="宋体" w:eastAsia="宋体" w:hint="default"/>
                <w:sz w:val="21"/>
                <w:szCs w:val="21"/>
              </w:rPr>
              <w:t>年</w:t>
            </w:r>
          </w:p>
        </w:tc>
        <w:tc>
          <w:tcPr>
            <w:tcW w:w="30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6"/>
              <w:jc w:val="center"/>
              <w:rPr>
                <w:rFonts w:ascii="宋体" w:hAnsi="宋体" w:cs="宋体" w:eastAsia="宋体" w:hint="default"/>
                <w:sz w:val="21"/>
                <w:szCs w:val="21"/>
              </w:rPr>
            </w:pPr>
            <w:r>
              <w:rPr>
                <w:rFonts w:ascii="宋体" w:hAnsi="宋体" w:cs="宋体" w:eastAsia="宋体" w:hint="default"/>
                <w:sz w:val="21"/>
                <w:szCs w:val="21"/>
              </w:rPr>
              <w:t>协议尚未履行完毕</w:t>
            </w:r>
          </w:p>
        </w:tc>
      </w:tr>
      <w:tr>
        <w:trPr>
          <w:trHeight w:val="560" w:hRule="exact"/>
        </w:trPr>
        <w:tc>
          <w:tcPr>
            <w:tcW w:w="1939"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杭州正华电子科技</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6,000,000.00</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1-2</w:t>
            </w:r>
            <w:r>
              <w:rPr>
                <w:rFonts w:ascii="Century Gothic" w:hAnsi="Century Gothic" w:cs="Century Gothic" w:eastAsia="Century Gothic" w:hint="default"/>
                <w:spacing w:val="-9"/>
                <w:sz w:val="21"/>
                <w:szCs w:val="21"/>
              </w:rPr>
              <w:t> </w:t>
            </w:r>
            <w:r>
              <w:rPr>
                <w:rFonts w:ascii="宋体" w:hAnsi="宋体" w:cs="宋体" w:eastAsia="宋体" w:hint="default"/>
                <w:sz w:val="21"/>
                <w:szCs w:val="21"/>
              </w:rPr>
              <w:t>年</w:t>
            </w:r>
          </w:p>
        </w:tc>
        <w:tc>
          <w:tcPr>
            <w:tcW w:w="307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6"/>
              <w:jc w:val="center"/>
              <w:rPr>
                <w:rFonts w:ascii="宋体" w:hAnsi="宋体" w:cs="宋体" w:eastAsia="宋体" w:hint="default"/>
                <w:sz w:val="21"/>
                <w:szCs w:val="21"/>
              </w:rPr>
            </w:pPr>
            <w:r>
              <w:rPr>
                <w:rFonts w:ascii="宋体" w:hAnsi="宋体" w:cs="宋体" w:eastAsia="宋体" w:hint="default"/>
                <w:sz w:val="21"/>
                <w:szCs w:val="21"/>
              </w:rPr>
              <w:t>协议尚未履行完毕</w:t>
            </w:r>
          </w:p>
        </w:tc>
      </w:tr>
      <w:tr>
        <w:trPr>
          <w:trHeight w:val="363" w:hRule="exact"/>
        </w:trPr>
        <w:tc>
          <w:tcPr>
            <w:tcW w:w="1939" w:type="dxa"/>
            <w:tcBorders>
              <w:top w:val="single" w:sz="6" w:space="0" w:color="000000"/>
              <w:left w:val="nil" w:sz="6" w:space="0" w:color="auto"/>
              <w:bottom w:val="single" w:sz="12" w:space="0" w:color="000000"/>
              <w:right w:val="single" w:sz="6" w:space="0" w:color="000000"/>
            </w:tcBorders>
          </w:tcPr>
          <w:p>
            <w:pPr>
              <w:pStyle w:val="TableParagraph"/>
              <w:tabs>
                <w:tab w:pos="1079" w:val="left" w:leader="none"/>
              </w:tabs>
              <w:spacing w:line="240" w:lineRule="auto"/>
              <w:ind w:left="66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7"/>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24,061,577.14</w:t>
            </w:r>
            <w:r>
              <w:rPr>
                <w:rFonts w:ascii="Century Gothic"/>
                <w:b/>
                <w:w w:val="95"/>
                <w:sz w:val="21"/>
              </w:rPr>
            </w:r>
            <w:r>
              <w:rPr>
                <w:rFonts w:ascii="Century Gothic"/>
                <w:sz w:val="21"/>
              </w:rPr>
            </w:r>
          </w:p>
        </w:tc>
        <w:tc>
          <w:tcPr>
            <w:tcW w:w="1452" w:type="dxa"/>
            <w:tcBorders>
              <w:top w:val="single" w:sz="6" w:space="0" w:color="000000"/>
              <w:left w:val="single" w:sz="6" w:space="0" w:color="000000"/>
              <w:bottom w:val="single" w:sz="12" w:space="0" w:color="000000"/>
              <w:right w:val="single" w:sz="6" w:space="0" w:color="000000"/>
            </w:tcBorders>
          </w:tcPr>
          <w:p>
            <w:pPr/>
          </w:p>
        </w:tc>
        <w:tc>
          <w:tcPr>
            <w:tcW w:w="3071"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558" w:right="0"/>
        <w:jc w:val="left"/>
      </w:pPr>
      <w:r>
        <w:rPr/>
        <w:t>（</w:t>
      </w:r>
      <w:r>
        <w:rPr>
          <w:rFonts w:ascii="Century Gothic" w:hAnsi="Century Gothic" w:cs="Century Gothic" w:eastAsia="Century Gothic" w:hint="default"/>
        </w:rPr>
        <w:t>4</w:t>
      </w:r>
      <w:r>
        <w:rPr/>
        <w:t>）本报告期预付款项中无预付持本公司</w:t>
      </w:r>
      <w:r>
        <w:rPr>
          <w:spacing w:val="-56"/>
        </w:rPr>
        <w:t> </w:t>
      </w:r>
      <w:r>
        <w:rPr>
          <w:rFonts w:ascii="Century Gothic" w:hAnsi="Century Gothic" w:cs="Century Gothic" w:eastAsia="Century Gothic" w:hint="default"/>
        </w:rPr>
        <w:t>5%</w:t>
      </w:r>
      <w:r>
        <w:rPr/>
        <w:t>（含</w:t>
      </w:r>
      <w:r>
        <w:rPr>
          <w:spacing w:val="-56"/>
        </w:rPr>
        <w:t> </w:t>
      </w:r>
      <w:r>
        <w:rPr>
          <w:rFonts w:ascii="Century Gothic" w:hAnsi="Century Gothic" w:cs="Century Gothic" w:eastAsia="Century Gothic" w:hint="default"/>
        </w:rPr>
        <w:t>5%</w:t>
      </w:r>
      <w:r>
        <w:rPr/>
        <w:t>）以上表决权股份的股东单位款项。</w:t>
      </w:r>
    </w:p>
    <w:p>
      <w:pPr>
        <w:pStyle w:val="Heading4"/>
        <w:tabs>
          <w:tab w:pos="1413" w:val="left" w:leader="none"/>
        </w:tabs>
        <w:spacing w:line="240" w:lineRule="auto" w:before="117"/>
        <w:ind w:right="0"/>
        <w:jc w:val="left"/>
        <w:rPr>
          <w:rFonts w:ascii="宋体" w:hAnsi="宋体" w:cs="宋体" w:eastAsia="宋体" w:hint="default"/>
          <w:b w:val="0"/>
          <w:bCs w:val="0"/>
        </w:rPr>
      </w:pPr>
      <w:r>
        <w:rPr>
          <w:rFonts w:ascii="宋体" w:hAnsi="宋体" w:cs="宋体" w:eastAsia="宋体" w:hint="default"/>
          <w:w w:val="95"/>
        </w:rPr>
        <w:t>（六）</w:t>
        <w:tab/>
      </w:r>
      <w:r>
        <w:rPr>
          <w:rFonts w:ascii="宋体" w:hAnsi="宋体" w:cs="宋体" w:eastAsia="宋体" w:hint="default"/>
        </w:rPr>
        <w:t>存货</w:t>
      </w:r>
      <w:r>
        <w:rPr>
          <w:rFonts w:ascii="宋体" w:hAnsi="宋体" w:cs="宋体" w:eastAsia="宋体" w:hint="default"/>
          <w:b w:val="0"/>
          <w:bCs w:val="0"/>
        </w:rPr>
      </w:r>
    </w:p>
    <w:p>
      <w:pPr>
        <w:pStyle w:val="BodyText"/>
        <w:spacing w:line="240" w:lineRule="auto" w:before="135"/>
        <w:ind w:left="558" w:right="0"/>
        <w:jc w:val="left"/>
      </w:pPr>
      <w:r>
        <w:rPr/>
        <w:t>（</w:t>
      </w:r>
      <w:r>
        <w:rPr>
          <w:rFonts w:ascii="Century Gothic" w:hAnsi="Century Gothic" w:cs="Century Gothic" w:eastAsia="Century Gothic" w:hint="default"/>
        </w:rPr>
        <w:t>1</w:t>
      </w:r>
      <w:r>
        <w:rPr/>
        <w:t>）存货分类列示如下：</w:t>
      </w:r>
    </w:p>
    <w:p>
      <w:pPr>
        <w:spacing w:line="240" w:lineRule="auto" w:before="8"/>
        <w:rPr>
          <w:rFonts w:ascii="宋体" w:hAnsi="宋体" w:cs="宋体" w:eastAsia="宋体" w:hint="default"/>
          <w:sz w:val="11"/>
          <w:szCs w:val="11"/>
        </w:rPr>
      </w:pPr>
    </w:p>
    <w:tbl>
      <w:tblPr>
        <w:tblW w:w="0" w:type="auto"/>
        <w:jc w:val="left"/>
        <w:tblInd w:w="281" w:type="dxa"/>
        <w:tblLayout w:type="fixed"/>
        <w:tblCellMar>
          <w:top w:w="0" w:type="dxa"/>
          <w:left w:w="0" w:type="dxa"/>
          <w:bottom w:w="0" w:type="dxa"/>
          <w:right w:w="0" w:type="dxa"/>
        </w:tblCellMar>
        <w:tblLook w:val="01E0"/>
      </w:tblPr>
      <w:tblGrid>
        <w:gridCol w:w="1454"/>
        <w:gridCol w:w="1260"/>
        <w:gridCol w:w="1260"/>
        <w:gridCol w:w="1260"/>
        <w:gridCol w:w="1260"/>
        <w:gridCol w:w="1080"/>
        <w:gridCol w:w="1284"/>
      </w:tblGrid>
      <w:tr>
        <w:trPr>
          <w:trHeight w:val="362" w:hRule="exact"/>
        </w:trPr>
        <w:tc>
          <w:tcPr>
            <w:tcW w:w="1454" w:type="dxa"/>
            <w:vMerge w:val="restart"/>
            <w:tcBorders>
              <w:top w:val="single" w:sz="12" w:space="0" w:color="000000"/>
              <w:left w:val="nil" w:sz="6" w:space="0" w:color="auto"/>
              <w:right w:val="single" w:sz="6" w:space="0" w:color="000000"/>
            </w:tcBorders>
          </w:tcPr>
          <w:p>
            <w:pPr>
              <w:pStyle w:val="TableParagraph"/>
              <w:tabs>
                <w:tab w:pos="890" w:val="left" w:leader="none"/>
              </w:tabs>
              <w:spacing w:line="240" w:lineRule="auto" w:before="161"/>
              <w:ind w:left="36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78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25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624" w:type="dxa"/>
            <w:gridSpan w:val="3"/>
            <w:tcBorders>
              <w:top w:val="single" w:sz="12" w:space="0" w:color="000000"/>
              <w:left w:val="single" w:sz="6" w:space="0" w:color="000000"/>
              <w:bottom w:val="single" w:sz="6" w:space="0" w:color="000000"/>
              <w:right w:val="nil" w:sz="6" w:space="0" w:color="auto"/>
            </w:tcBorders>
          </w:tcPr>
          <w:p>
            <w:pPr>
              <w:pStyle w:val="TableParagraph"/>
              <w:spacing w:line="274" w:lineRule="exact"/>
              <w:ind w:left="117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1454" w:type="dxa"/>
            <w:vMerge/>
            <w:tcBorders>
              <w:left w:val="nil" w:sz="6" w:space="0" w:color="auto"/>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0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56" w:hRule="exact"/>
        </w:trPr>
        <w:tc>
          <w:tcPr>
            <w:tcW w:w="145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Century Gothic" w:hAnsi="Century Gothic" w:cs="Century Gothic" w:eastAsia="Century Gothic" w:hint="default"/>
                <w:sz w:val="18"/>
                <w:szCs w:val="18"/>
              </w:rPr>
            </w:pPr>
            <w:r>
              <w:rPr>
                <w:rFonts w:ascii="Century Gothic"/>
                <w:spacing w:val="-1"/>
                <w:sz w:val="18"/>
              </w:rPr>
              <w:t>73,587,711.</w:t>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spacing w:val="-1"/>
                <w:w w:val="95"/>
                <w:sz w:val="18"/>
              </w:rPr>
              <w:t>16</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Century Gothic" w:hAnsi="Century Gothic" w:cs="Century Gothic" w:eastAsia="Century Gothic" w:hint="default"/>
                <w:sz w:val="18"/>
                <w:szCs w:val="18"/>
              </w:rPr>
            </w:pPr>
            <w:r>
              <w:rPr>
                <w:rFonts w:ascii="Century Gothic"/>
                <w:spacing w:val="-1"/>
                <w:sz w:val="18"/>
              </w:rPr>
              <w:t>483,089.25</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Century Gothic" w:hAnsi="Century Gothic" w:cs="Century Gothic" w:eastAsia="Century Gothic" w:hint="default"/>
                <w:sz w:val="18"/>
                <w:szCs w:val="18"/>
              </w:rPr>
            </w:pPr>
            <w:r>
              <w:rPr>
                <w:rFonts w:ascii="Century Gothic"/>
                <w:spacing w:val="-1"/>
                <w:sz w:val="18"/>
              </w:rPr>
              <w:t>73,104,621.</w:t>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spacing w:val="-1"/>
                <w:w w:val="95"/>
                <w:sz w:val="18"/>
              </w:rPr>
              <w:t>91</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0"/>
              <w:jc w:val="right"/>
              <w:rPr>
                <w:rFonts w:ascii="Century Gothic" w:hAnsi="Century Gothic" w:cs="Century Gothic" w:eastAsia="Century Gothic" w:hint="default"/>
                <w:sz w:val="18"/>
                <w:szCs w:val="18"/>
              </w:rPr>
            </w:pPr>
            <w:r>
              <w:rPr>
                <w:rFonts w:ascii="Century Gothic"/>
                <w:spacing w:val="-1"/>
                <w:sz w:val="18"/>
              </w:rPr>
              <w:t>103,375,203</w:t>
            </w:r>
            <w:r>
              <w:rPr>
                <w:rFonts w:ascii="Century Gothic"/>
                <w:sz w:val="18"/>
              </w:rPr>
            </w:r>
          </w:p>
          <w:p>
            <w:pPr>
              <w:pStyle w:val="TableParagraph"/>
              <w:spacing w:line="240" w:lineRule="auto"/>
              <w:ind w:right="99"/>
              <w:jc w:val="right"/>
              <w:rPr>
                <w:rFonts w:ascii="Century Gothic" w:hAnsi="Century Gothic" w:cs="Century Gothic" w:eastAsia="Century Gothic" w:hint="default"/>
                <w:sz w:val="18"/>
                <w:szCs w:val="18"/>
              </w:rPr>
            </w:pPr>
            <w:r>
              <w:rPr>
                <w:rFonts w:ascii="Century Gothic"/>
                <w:spacing w:val="-1"/>
                <w:w w:val="95"/>
                <w:sz w:val="18"/>
              </w:rPr>
              <w:t>.71</w:t>
            </w:r>
            <w:r>
              <w:rPr>
                <w:rFonts w:ascii="Century Gothic"/>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0"/>
              <w:jc w:val="right"/>
              <w:rPr>
                <w:rFonts w:ascii="Century Gothic" w:hAnsi="Century Gothic" w:cs="Century Gothic" w:eastAsia="Century Gothic" w:hint="default"/>
                <w:sz w:val="18"/>
                <w:szCs w:val="18"/>
              </w:rPr>
            </w:pPr>
            <w:r>
              <w:rPr>
                <w:rFonts w:ascii="Century Gothic"/>
                <w:spacing w:val="-1"/>
                <w:sz w:val="18"/>
              </w:rPr>
              <w:t>520,495.4</w:t>
            </w:r>
            <w:r>
              <w:rPr>
                <w:rFonts w:ascii="Century Gothic"/>
                <w:sz w:val="18"/>
              </w:rPr>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w w:val="99"/>
                <w:sz w:val="18"/>
              </w:rPr>
              <w:t>5</w:t>
            </w:r>
            <w:r>
              <w:rPr>
                <w:rFonts w:ascii="Century Gothic"/>
                <w:sz w:val="18"/>
              </w:rPr>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Century Gothic" w:hAnsi="Century Gothic" w:cs="Century Gothic" w:eastAsia="Century Gothic" w:hint="default"/>
                <w:sz w:val="18"/>
                <w:szCs w:val="18"/>
              </w:rPr>
            </w:pPr>
            <w:r>
              <w:rPr>
                <w:rFonts w:ascii="Century Gothic"/>
                <w:spacing w:val="-1"/>
                <w:sz w:val="18"/>
              </w:rPr>
              <w:t>102,854,708.</w:t>
            </w:r>
          </w:p>
          <w:p>
            <w:pPr>
              <w:pStyle w:val="TableParagraph"/>
              <w:spacing w:line="240" w:lineRule="auto"/>
              <w:ind w:right="106"/>
              <w:jc w:val="right"/>
              <w:rPr>
                <w:rFonts w:ascii="Century Gothic" w:hAnsi="Century Gothic" w:cs="Century Gothic" w:eastAsia="Century Gothic" w:hint="default"/>
                <w:sz w:val="18"/>
                <w:szCs w:val="18"/>
              </w:rPr>
            </w:pPr>
            <w:r>
              <w:rPr>
                <w:rFonts w:ascii="Century Gothic"/>
                <w:spacing w:val="-1"/>
                <w:w w:val="95"/>
                <w:sz w:val="18"/>
              </w:rPr>
              <w:t>26</w:t>
            </w:r>
            <w:r>
              <w:rPr>
                <w:rFonts w:ascii="Century Gothic"/>
                <w:sz w:val="18"/>
              </w:rPr>
            </w:r>
          </w:p>
        </w:tc>
      </w:tr>
      <w:tr>
        <w:trPr>
          <w:trHeight w:val="457" w:hRule="exact"/>
        </w:trPr>
        <w:tc>
          <w:tcPr>
            <w:tcW w:w="145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Century Gothic" w:hAnsi="Century Gothic" w:cs="Century Gothic" w:eastAsia="Century Gothic" w:hint="default"/>
                <w:sz w:val="18"/>
                <w:szCs w:val="18"/>
              </w:rPr>
            </w:pPr>
            <w:r>
              <w:rPr>
                <w:rFonts w:ascii="Century Gothic"/>
                <w:spacing w:val="-1"/>
                <w:sz w:val="18"/>
              </w:rPr>
              <w:t>938,603.02</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9"/>
              <w:jc w:val="right"/>
              <w:rPr>
                <w:rFonts w:ascii="Century Gothic" w:hAnsi="Century Gothic" w:cs="Century Gothic" w:eastAsia="Century Gothic" w:hint="default"/>
                <w:sz w:val="18"/>
                <w:szCs w:val="18"/>
              </w:rPr>
            </w:pPr>
            <w:r>
              <w:rPr>
                <w:rFonts w:ascii="Century Gothic"/>
                <w:spacing w:val="-1"/>
                <w:sz w:val="18"/>
              </w:rPr>
              <w:t>219,134.98</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48" w:right="0"/>
              <w:jc w:val="left"/>
              <w:rPr>
                <w:rFonts w:ascii="Century Gothic" w:hAnsi="Century Gothic" w:cs="Century Gothic" w:eastAsia="Century Gothic" w:hint="default"/>
                <w:sz w:val="18"/>
                <w:szCs w:val="18"/>
              </w:rPr>
            </w:pPr>
            <w:r>
              <w:rPr>
                <w:rFonts w:ascii="Century Gothic"/>
                <w:sz w:val="18"/>
              </w:rPr>
              <w:t>719,468.04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Century Gothic" w:hAnsi="Century Gothic" w:cs="Century Gothic" w:eastAsia="Century Gothic" w:hint="default"/>
                <w:sz w:val="18"/>
                <w:szCs w:val="18"/>
              </w:rPr>
            </w:pPr>
            <w:r>
              <w:rPr>
                <w:rFonts w:ascii="Century Gothic"/>
                <w:spacing w:val="-1"/>
                <w:sz w:val="18"/>
              </w:rPr>
              <w:t>1,836,457.5</w:t>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w w:val="99"/>
                <w:sz w:val="18"/>
              </w:rPr>
              <w:t>8</w:t>
            </w:r>
            <w:r>
              <w:rPr>
                <w:rFonts w:ascii="Century Gothic"/>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0"/>
              <w:jc w:val="right"/>
              <w:rPr>
                <w:rFonts w:ascii="Century Gothic" w:hAnsi="Century Gothic" w:cs="Century Gothic" w:eastAsia="Century Gothic" w:hint="default"/>
                <w:sz w:val="18"/>
                <w:szCs w:val="18"/>
              </w:rPr>
            </w:pPr>
            <w:r>
              <w:rPr>
                <w:rFonts w:ascii="Century Gothic"/>
                <w:spacing w:val="-1"/>
                <w:sz w:val="18"/>
              </w:rPr>
              <w:t>219,134.9</w:t>
            </w:r>
            <w:r>
              <w:rPr>
                <w:rFonts w:ascii="Century Gothic"/>
                <w:sz w:val="18"/>
              </w:rPr>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w w:val="99"/>
                <w:sz w:val="18"/>
              </w:rPr>
              <w:t>8</w:t>
            </w:r>
            <w:r>
              <w:rPr>
                <w:rFonts w:ascii="Century Gothic"/>
                <w:sz w:val="18"/>
              </w:rPr>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6"/>
              <w:jc w:val="right"/>
              <w:rPr>
                <w:rFonts w:ascii="Century Gothic" w:hAnsi="Century Gothic" w:cs="Century Gothic" w:eastAsia="Century Gothic" w:hint="default"/>
                <w:sz w:val="18"/>
                <w:szCs w:val="18"/>
              </w:rPr>
            </w:pPr>
            <w:r>
              <w:rPr>
                <w:rFonts w:ascii="Century Gothic"/>
                <w:spacing w:val="-1"/>
                <w:sz w:val="18"/>
              </w:rPr>
              <w:t>1,617,322.60</w:t>
            </w:r>
          </w:p>
        </w:tc>
      </w:tr>
      <w:tr>
        <w:trPr>
          <w:trHeight w:val="354" w:hRule="exact"/>
        </w:trPr>
        <w:tc>
          <w:tcPr>
            <w:tcW w:w="145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pacing w:val="-1"/>
                <w:sz w:val="18"/>
              </w:rPr>
              <w:t>606,168.75</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pacing w:val="-1"/>
                <w:sz w:val="18"/>
              </w:rPr>
              <w:t>61,023.83</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48" w:right="0"/>
              <w:jc w:val="left"/>
              <w:rPr>
                <w:rFonts w:ascii="Century Gothic" w:hAnsi="Century Gothic" w:cs="Century Gothic" w:eastAsia="Century Gothic" w:hint="default"/>
                <w:sz w:val="18"/>
                <w:szCs w:val="18"/>
              </w:rPr>
            </w:pPr>
            <w:r>
              <w:rPr>
                <w:rFonts w:ascii="Century Gothic"/>
                <w:sz w:val="18"/>
              </w:rPr>
              <w:t>545,144.92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7" w:right="0"/>
              <w:jc w:val="center"/>
              <w:rPr>
                <w:rFonts w:ascii="Century Gothic" w:hAnsi="Century Gothic" w:cs="Century Gothic" w:eastAsia="Century Gothic" w:hint="default"/>
                <w:sz w:val="18"/>
                <w:szCs w:val="18"/>
              </w:rPr>
            </w:pPr>
            <w:r>
              <w:rPr>
                <w:rFonts w:ascii="Century Gothic"/>
                <w:sz w:val="18"/>
              </w:rPr>
              <w:t>700,557.49</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7" w:right="0"/>
              <w:jc w:val="center"/>
              <w:rPr>
                <w:rFonts w:ascii="Century Gothic" w:hAnsi="Century Gothic" w:cs="Century Gothic" w:eastAsia="Century Gothic" w:hint="default"/>
                <w:sz w:val="18"/>
                <w:szCs w:val="18"/>
              </w:rPr>
            </w:pPr>
            <w:r>
              <w:rPr>
                <w:rFonts w:ascii="Century Gothic"/>
                <w:sz w:val="18"/>
              </w:rPr>
              <w:t>61,023.83</w:t>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6"/>
              <w:jc w:val="right"/>
              <w:rPr>
                <w:rFonts w:ascii="Century Gothic" w:hAnsi="Century Gothic" w:cs="Century Gothic" w:eastAsia="Century Gothic" w:hint="default"/>
                <w:sz w:val="18"/>
                <w:szCs w:val="18"/>
              </w:rPr>
            </w:pPr>
            <w:r>
              <w:rPr>
                <w:rFonts w:ascii="Century Gothic"/>
                <w:spacing w:val="-1"/>
                <w:sz w:val="18"/>
              </w:rPr>
              <w:t>639,533.66</w:t>
            </w:r>
            <w:r>
              <w:rPr>
                <w:rFonts w:ascii="Century Gothic"/>
                <w:sz w:val="18"/>
              </w:rPr>
            </w:r>
          </w:p>
        </w:tc>
      </w:tr>
      <w:tr>
        <w:trPr>
          <w:trHeight w:val="457" w:hRule="exact"/>
        </w:trPr>
        <w:tc>
          <w:tcPr>
            <w:tcW w:w="145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Century Gothic" w:hAnsi="Century Gothic" w:cs="Century Gothic" w:eastAsia="Century Gothic" w:hint="default"/>
                <w:sz w:val="18"/>
                <w:szCs w:val="18"/>
              </w:rPr>
            </w:pPr>
            <w:r>
              <w:rPr>
                <w:rFonts w:ascii="Century Gothic"/>
                <w:spacing w:val="-1"/>
                <w:sz w:val="18"/>
              </w:rPr>
              <w:t>1,176,993.9</w:t>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w w:val="99"/>
                <w:sz w:val="18"/>
              </w:rPr>
              <w:t>2</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Century Gothic" w:hAnsi="Century Gothic" w:cs="Century Gothic" w:eastAsia="Century Gothic" w:hint="default"/>
                <w:sz w:val="18"/>
                <w:szCs w:val="18"/>
              </w:rPr>
            </w:pPr>
            <w:r>
              <w:rPr>
                <w:rFonts w:ascii="Century Gothic"/>
                <w:spacing w:val="-1"/>
                <w:sz w:val="18"/>
              </w:rPr>
              <w:t>1,176,993.9</w:t>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w w:val="99"/>
                <w:sz w:val="18"/>
              </w:rPr>
              <w:t>2</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Century Gothic" w:hAnsi="Century Gothic" w:cs="Century Gothic" w:eastAsia="Century Gothic" w:hint="default"/>
                <w:sz w:val="18"/>
                <w:szCs w:val="18"/>
              </w:rPr>
            </w:pPr>
            <w:r>
              <w:rPr>
                <w:rFonts w:ascii="Century Gothic"/>
                <w:spacing w:val="-1"/>
                <w:sz w:val="18"/>
              </w:rPr>
              <w:t>1,321,350.8</w:t>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w w:val="99"/>
                <w:sz w:val="18"/>
              </w:rPr>
              <w:t>0</w:t>
            </w:r>
            <w:r>
              <w:rPr>
                <w:rFonts w:ascii="Century Gothic"/>
                <w:sz w:val="18"/>
              </w:rPr>
            </w:r>
          </w:p>
        </w:tc>
        <w:tc>
          <w:tcPr>
            <w:tcW w:w="1080"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6"/>
              <w:jc w:val="right"/>
              <w:rPr>
                <w:rFonts w:ascii="Century Gothic" w:hAnsi="Century Gothic" w:cs="Century Gothic" w:eastAsia="Century Gothic" w:hint="default"/>
                <w:sz w:val="18"/>
                <w:szCs w:val="18"/>
              </w:rPr>
            </w:pPr>
            <w:r>
              <w:rPr>
                <w:rFonts w:ascii="Century Gothic"/>
                <w:spacing w:val="-1"/>
                <w:sz w:val="18"/>
              </w:rPr>
              <w:t>1,321,350.80</w:t>
            </w:r>
          </w:p>
        </w:tc>
      </w:tr>
      <w:tr>
        <w:trPr>
          <w:trHeight w:val="456" w:hRule="exact"/>
        </w:trPr>
        <w:tc>
          <w:tcPr>
            <w:tcW w:w="145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Century Gothic" w:hAnsi="Century Gothic" w:cs="Century Gothic" w:eastAsia="Century Gothic" w:hint="default"/>
                <w:sz w:val="18"/>
                <w:szCs w:val="18"/>
              </w:rPr>
            </w:pPr>
            <w:r>
              <w:rPr>
                <w:rFonts w:ascii="Century Gothic"/>
                <w:spacing w:val="-1"/>
                <w:sz w:val="18"/>
              </w:rPr>
              <w:t>98,106,361.</w:t>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spacing w:val="-1"/>
                <w:w w:val="95"/>
                <w:sz w:val="18"/>
              </w:rPr>
              <w:t>83</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Century Gothic" w:hAnsi="Century Gothic" w:cs="Century Gothic" w:eastAsia="Century Gothic" w:hint="default"/>
                <w:sz w:val="18"/>
                <w:szCs w:val="18"/>
              </w:rPr>
            </w:pPr>
            <w:r>
              <w:rPr>
                <w:rFonts w:ascii="Century Gothic"/>
                <w:spacing w:val="-1"/>
                <w:sz w:val="18"/>
              </w:rPr>
              <w:t>1,506,789.1</w:t>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w w:val="99"/>
                <w:sz w:val="18"/>
              </w:rPr>
              <w:t>3</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Century Gothic" w:hAnsi="Century Gothic" w:cs="Century Gothic" w:eastAsia="Century Gothic" w:hint="default"/>
                <w:sz w:val="18"/>
                <w:szCs w:val="18"/>
              </w:rPr>
            </w:pPr>
            <w:r>
              <w:rPr>
                <w:rFonts w:ascii="Century Gothic"/>
                <w:spacing w:val="-1"/>
                <w:sz w:val="18"/>
              </w:rPr>
              <w:t>96,599,572.</w:t>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spacing w:val="-1"/>
                <w:w w:val="95"/>
                <w:sz w:val="18"/>
              </w:rPr>
              <w:t>70</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0"/>
              <w:jc w:val="right"/>
              <w:rPr>
                <w:rFonts w:ascii="Century Gothic" w:hAnsi="Century Gothic" w:cs="Century Gothic" w:eastAsia="Century Gothic" w:hint="default"/>
                <w:sz w:val="18"/>
                <w:szCs w:val="18"/>
              </w:rPr>
            </w:pPr>
            <w:r>
              <w:rPr>
                <w:rFonts w:ascii="Century Gothic"/>
                <w:spacing w:val="-1"/>
                <w:sz w:val="18"/>
              </w:rPr>
              <w:t>159,310,806</w:t>
            </w:r>
            <w:r>
              <w:rPr>
                <w:rFonts w:ascii="Century Gothic"/>
                <w:sz w:val="18"/>
              </w:rPr>
            </w:r>
          </w:p>
          <w:p>
            <w:pPr>
              <w:pStyle w:val="TableParagraph"/>
              <w:spacing w:line="240" w:lineRule="auto"/>
              <w:ind w:right="99"/>
              <w:jc w:val="right"/>
              <w:rPr>
                <w:rFonts w:ascii="Century Gothic" w:hAnsi="Century Gothic" w:cs="Century Gothic" w:eastAsia="Century Gothic" w:hint="default"/>
                <w:sz w:val="18"/>
                <w:szCs w:val="18"/>
              </w:rPr>
            </w:pPr>
            <w:r>
              <w:rPr>
                <w:rFonts w:ascii="Century Gothic"/>
                <w:spacing w:val="-1"/>
                <w:w w:val="95"/>
                <w:sz w:val="18"/>
              </w:rPr>
              <w:t>.55</w:t>
            </w:r>
            <w:r>
              <w:rPr>
                <w:rFonts w:ascii="Century Gothic"/>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0"/>
              <w:jc w:val="right"/>
              <w:rPr>
                <w:rFonts w:ascii="Century Gothic" w:hAnsi="Century Gothic" w:cs="Century Gothic" w:eastAsia="Century Gothic" w:hint="default"/>
                <w:sz w:val="18"/>
                <w:szCs w:val="18"/>
              </w:rPr>
            </w:pPr>
            <w:r>
              <w:rPr>
                <w:rFonts w:ascii="Century Gothic"/>
                <w:spacing w:val="-1"/>
                <w:sz w:val="18"/>
              </w:rPr>
              <w:t>722,646.7</w:t>
            </w:r>
            <w:r>
              <w:rPr>
                <w:rFonts w:ascii="Century Gothic"/>
                <w:sz w:val="18"/>
              </w:rPr>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w w:val="99"/>
                <w:sz w:val="18"/>
              </w:rPr>
              <w:t>9</w:t>
            </w:r>
            <w:r>
              <w:rPr>
                <w:rFonts w:ascii="Century Gothic"/>
                <w:sz w:val="18"/>
              </w:rPr>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105"/>
              <w:jc w:val="right"/>
              <w:rPr>
                <w:rFonts w:ascii="Century Gothic" w:hAnsi="Century Gothic" w:cs="Century Gothic" w:eastAsia="Century Gothic" w:hint="default"/>
                <w:sz w:val="18"/>
                <w:szCs w:val="18"/>
              </w:rPr>
            </w:pPr>
            <w:r>
              <w:rPr>
                <w:rFonts w:ascii="Century Gothic"/>
                <w:spacing w:val="-1"/>
                <w:sz w:val="18"/>
              </w:rPr>
              <w:t>158,588,159.</w:t>
            </w:r>
          </w:p>
          <w:p>
            <w:pPr>
              <w:pStyle w:val="TableParagraph"/>
              <w:spacing w:line="240" w:lineRule="auto"/>
              <w:ind w:right="106"/>
              <w:jc w:val="right"/>
              <w:rPr>
                <w:rFonts w:ascii="Century Gothic" w:hAnsi="Century Gothic" w:cs="Century Gothic" w:eastAsia="Century Gothic" w:hint="default"/>
                <w:sz w:val="18"/>
                <w:szCs w:val="18"/>
              </w:rPr>
            </w:pPr>
            <w:r>
              <w:rPr>
                <w:rFonts w:ascii="Century Gothic"/>
                <w:spacing w:val="-1"/>
                <w:w w:val="95"/>
                <w:sz w:val="18"/>
              </w:rPr>
              <w:t>76</w:t>
            </w:r>
            <w:r>
              <w:rPr>
                <w:rFonts w:ascii="Century Gothic"/>
                <w:sz w:val="18"/>
              </w:rPr>
            </w:r>
          </w:p>
        </w:tc>
      </w:tr>
      <w:tr>
        <w:trPr>
          <w:trHeight w:val="456" w:hRule="exact"/>
        </w:trPr>
        <w:tc>
          <w:tcPr>
            <w:tcW w:w="145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Century Gothic" w:hAnsi="Century Gothic" w:cs="Century Gothic" w:eastAsia="Century Gothic" w:hint="default"/>
                <w:sz w:val="18"/>
                <w:szCs w:val="18"/>
              </w:rPr>
            </w:pPr>
            <w:r>
              <w:rPr>
                <w:rFonts w:ascii="Century Gothic"/>
                <w:spacing w:val="-1"/>
                <w:sz w:val="18"/>
              </w:rPr>
              <w:t>14,094,109.</w:t>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spacing w:val="-1"/>
                <w:w w:val="95"/>
                <w:sz w:val="18"/>
              </w:rPr>
              <w:t>04</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Century Gothic" w:hAnsi="Century Gothic" w:cs="Century Gothic" w:eastAsia="Century Gothic" w:hint="default"/>
                <w:sz w:val="18"/>
                <w:szCs w:val="18"/>
              </w:rPr>
            </w:pPr>
            <w:r>
              <w:rPr>
                <w:rFonts w:ascii="Century Gothic"/>
                <w:spacing w:val="-1"/>
                <w:sz w:val="18"/>
              </w:rPr>
              <w:t>420,867.61</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8"/>
              <w:jc w:val="right"/>
              <w:rPr>
                <w:rFonts w:ascii="Century Gothic" w:hAnsi="Century Gothic" w:cs="Century Gothic" w:eastAsia="Century Gothic" w:hint="default"/>
                <w:sz w:val="18"/>
                <w:szCs w:val="18"/>
              </w:rPr>
            </w:pPr>
            <w:r>
              <w:rPr>
                <w:rFonts w:ascii="Century Gothic"/>
                <w:spacing w:val="-1"/>
                <w:sz w:val="18"/>
              </w:rPr>
              <w:t>13,673,241.</w:t>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spacing w:val="-1"/>
                <w:w w:val="95"/>
                <w:sz w:val="18"/>
              </w:rPr>
              <w:t>43</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Century Gothic" w:hAnsi="Century Gothic" w:cs="Century Gothic" w:eastAsia="Century Gothic" w:hint="default"/>
                <w:sz w:val="18"/>
                <w:szCs w:val="18"/>
              </w:rPr>
            </w:pPr>
            <w:r>
              <w:rPr>
                <w:rFonts w:ascii="Century Gothic"/>
                <w:spacing w:val="-1"/>
                <w:sz w:val="18"/>
              </w:rPr>
              <w:t>2,228,674.2</w:t>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w w:val="99"/>
                <w:sz w:val="18"/>
              </w:rPr>
              <w:t>1</w:t>
            </w:r>
            <w:r>
              <w:rPr>
                <w:rFonts w:ascii="Century Gothic"/>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00"/>
              <w:jc w:val="right"/>
              <w:rPr>
                <w:rFonts w:ascii="Century Gothic" w:hAnsi="Century Gothic" w:cs="Century Gothic" w:eastAsia="Century Gothic" w:hint="default"/>
                <w:sz w:val="18"/>
                <w:szCs w:val="18"/>
              </w:rPr>
            </w:pPr>
            <w:r>
              <w:rPr>
                <w:rFonts w:ascii="Century Gothic"/>
                <w:spacing w:val="-1"/>
                <w:sz w:val="18"/>
              </w:rPr>
              <w:t>420,867.6</w:t>
            </w:r>
            <w:r>
              <w:rPr>
                <w:rFonts w:ascii="Century Gothic"/>
                <w:sz w:val="18"/>
              </w:rPr>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w w:val="99"/>
                <w:sz w:val="18"/>
              </w:rPr>
              <w:t>1</w:t>
            </w:r>
            <w:r>
              <w:rPr>
                <w:rFonts w:ascii="Century Gothic"/>
                <w:sz w:val="18"/>
              </w:rPr>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6"/>
              <w:jc w:val="right"/>
              <w:rPr>
                <w:rFonts w:ascii="Century Gothic" w:hAnsi="Century Gothic" w:cs="Century Gothic" w:eastAsia="Century Gothic" w:hint="default"/>
                <w:sz w:val="18"/>
                <w:szCs w:val="18"/>
              </w:rPr>
            </w:pPr>
            <w:r>
              <w:rPr>
                <w:rFonts w:ascii="Century Gothic"/>
                <w:spacing w:val="-1"/>
                <w:sz w:val="18"/>
              </w:rPr>
              <w:t>1,807,806.60</w:t>
            </w:r>
          </w:p>
        </w:tc>
      </w:tr>
      <w:tr>
        <w:trPr>
          <w:trHeight w:val="457" w:hRule="exact"/>
        </w:trPr>
        <w:tc>
          <w:tcPr>
            <w:tcW w:w="145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Century Gothic" w:hAnsi="Century Gothic" w:cs="Century Gothic" w:eastAsia="Century Gothic" w:hint="default"/>
                <w:sz w:val="18"/>
                <w:szCs w:val="18"/>
              </w:rPr>
            </w:pPr>
            <w:r>
              <w:rPr>
                <w:rFonts w:ascii="Century Gothic"/>
                <w:spacing w:val="-1"/>
                <w:sz w:val="18"/>
              </w:rPr>
              <w:t>9,324,375.7</w:t>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w w:val="99"/>
                <w:sz w:val="18"/>
              </w:rPr>
              <w:t>1</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Century Gothic" w:hAnsi="Century Gothic" w:cs="Century Gothic" w:eastAsia="Century Gothic" w:hint="default"/>
                <w:sz w:val="18"/>
                <w:szCs w:val="18"/>
              </w:rPr>
            </w:pPr>
            <w:r>
              <w:rPr>
                <w:rFonts w:ascii="Century Gothic"/>
                <w:spacing w:val="-1"/>
                <w:sz w:val="18"/>
              </w:rPr>
              <w:t>9,324,375.7</w:t>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w w:val="99"/>
                <w:sz w:val="18"/>
              </w:rPr>
              <w:t>1</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99"/>
              <w:jc w:val="right"/>
              <w:rPr>
                <w:rFonts w:ascii="Century Gothic" w:hAnsi="Century Gothic" w:cs="Century Gothic" w:eastAsia="Century Gothic" w:hint="default"/>
                <w:sz w:val="18"/>
                <w:szCs w:val="18"/>
              </w:rPr>
            </w:pPr>
            <w:r>
              <w:rPr>
                <w:rFonts w:ascii="Century Gothic"/>
                <w:spacing w:val="-1"/>
                <w:sz w:val="18"/>
              </w:rPr>
              <w:t>9,581,081.2</w:t>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w w:val="99"/>
                <w:sz w:val="18"/>
              </w:rPr>
              <w:t>4</w:t>
            </w:r>
            <w:r>
              <w:rPr>
                <w:rFonts w:ascii="Century Gothic"/>
                <w:sz w:val="18"/>
              </w:rPr>
            </w:r>
          </w:p>
        </w:tc>
        <w:tc>
          <w:tcPr>
            <w:tcW w:w="1080"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6"/>
              <w:jc w:val="right"/>
              <w:rPr>
                <w:rFonts w:ascii="Century Gothic" w:hAnsi="Century Gothic" w:cs="Century Gothic" w:eastAsia="Century Gothic" w:hint="default"/>
                <w:sz w:val="18"/>
                <w:szCs w:val="18"/>
              </w:rPr>
            </w:pPr>
            <w:r>
              <w:rPr>
                <w:rFonts w:ascii="Century Gothic"/>
                <w:spacing w:val="-1"/>
                <w:sz w:val="18"/>
              </w:rPr>
              <w:t>9,581,081.24</w:t>
            </w:r>
          </w:p>
        </w:tc>
      </w:tr>
      <w:tr>
        <w:trPr>
          <w:trHeight w:val="456" w:hRule="exact"/>
        </w:trPr>
        <w:tc>
          <w:tcPr>
            <w:tcW w:w="145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2"/>
              <w:ind w:right="99"/>
              <w:jc w:val="right"/>
              <w:rPr>
                <w:rFonts w:ascii="Century Gothic" w:hAnsi="Century Gothic" w:cs="Century Gothic" w:eastAsia="Century Gothic" w:hint="default"/>
                <w:sz w:val="18"/>
                <w:szCs w:val="18"/>
              </w:rPr>
            </w:pPr>
            <w:r>
              <w:rPr>
                <w:rFonts w:ascii="Century Gothic"/>
                <w:spacing w:val="-1"/>
                <w:sz w:val="18"/>
              </w:rPr>
              <w:t>2,275,151.0</w:t>
            </w:r>
          </w:p>
          <w:p>
            <w:pPr>
              <w:pStyle w:val="TableParagraph"/>
              <w:spacing w:line="220" w:lineRule="exact"/>
              <w:ind w:right="98"/>
              <w:jc w:val="right"/>
              <w:rPr>
                <w:rFonts w:ascii="Century Gothic" w:hAnsi="Century Gothic" w:cs="Century Gothic" w:eastAsia="Century Gothic" w:hint="default"/>
                <w:sz w:val="18"/>
                <w:szCs w:val="18"/>
              </w:rPr>
            </w:pPr>
            <w:r>
              <w:rPr>
                <w:rFonts w:ascii="Century Gothic"/>
                <w:w w:val="99"/>
                <w:sz w:val="18"/>
              </w:rPr>
              <w:t>0</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Century Gothic" w:hAnsi="Century Gothic" w:cs="Century Gothic" w:eastAsia="Century Gothic" w:hint="default"/>
                <w:sz w:val="18"/>
                <w:szCs w:val="18"/>
              </w:rPr>
            </w:pPr>
            <w:r>
              <w:rPr>
                <w:rFonts w:ascii="Century Gothic"/>
                <w:spacing w:val="-1"/>
                <w:sz w:val="18"/>
              </w:rPr>
              <w:t>245,862.72</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2"/>
              <w:ind w:right="99"/>
              <w:jc w:val="right"/>
              <w:rPr>
                <w:rFonts w:ascii="Century Gothic" w:hAnsi="Century Gothic" w:cs="Century Gothic" w:eastAsia="Century Gothic" w:hint="default"/>
                <w:sz w:val="18"/>
                <w:szCs w:val="18"/>
              </w:rPr>
            </w:pPr>
            <w:r>
              <w:rPr>
                <w:rFonts w:ascii="Century Gothic"/>
                <w:spacing w:val="-1"/>
                <w:sz w:val="18"/>
              </w:rPr>
              <w:t>2,029,288.2</w:t>
            </w:r>
          </w:p>
          <w:p>
            <w:pPr>
              <w:pStyle w:val="TableParagraph"/>
              <w:spacing w:line="220" w:lineRule="exact"/>
              <w:ind w:right="98"/>
              <w:jc w:val="right"/>
              <w:rPr>
                <w:rFonts w:ascii="Century Gothic" w:hAnsi="Century Gothic" w:cs="Century Gothic" w:eastAsia="Century Gothic" w:hint="default"/>
                <w:sz w:val="18"/>
                <w:szCs w:val="18"/>
              </w:rPr>
            </w:pPr>
            <w:r>
              <w:rPr>
                <w:rFonts w:ascii="Century Gothic"/>
                <w:w w:val="99"/>
                <w:sz w:val="18"/>
              </w:rPr>
              <w:t>8</w:t>
            </w:r>
            <w:r>
              <w:rPr>
                <w:rFonts w:ascii="Century Gothic"/>
                <w:sz w:val="18"/>
              </w:rPr>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2"/>
              <w:ind w:right="99"/>
              <w:jc w:val="right"/>
              <w:rPr>
                <w:rFonts w:ascii="Century Gothic" w:hAnsi="Century Gothic" w:cs="Century Gothic" w:eastAsia="Century Gothic" w:hint="default"/>
                <w:sz w:val="18"/>
                <w:szCs w:val="18"/>
              </w:rPr>
            </w:pPr>
            <w:r>
              <w:rPr>
                <w:rFonts w:ascii="Century Gothic"/>
                <w:spacing w:val="-1"/>
                <w:sz w:val="18"/>
              </w:rPr>
              <w:t>1,816,924.3</w:t>
            </w:r>
          </w:p>
          <w:p>
            <w:pPr>
              <w:pStyle w:val="TableParagraph"/>
              <w:spacing w:line="220" w:lineRule="exact"/>
              <w:ind w:right="98"/>
              <w:jc w:val="right"/>
              <w:rPr>
                <w:rFonts w:ascii="Century Gothic" w:hAnsi="Century Gothic" w:cs="Century Gothic" w:eastAsia="Century Gothic" w:hint="default"/>
                <w:sz w:val="18"/>
                <w:szCs w:val="18"/>
              </w:rPr>
            </w:pPr>
            <w:r>
              <w:rPr>
                <w:rFonts w:ascii="Century Gothic"/>
                <w:w w:val="99"/>
                <w:sz w:val="18"/>
              </w:rPr>
              <w:t>8</w:t>
            </w:r>
            <w:r>
              <w:rPr>
                <w:rFonts w:ascii="Century Gothic"/>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2"/>
              <w:ind w:right="100"/>
              <w:jc w:val="right"/>
              <w:rPr>
                <w:rFonts w:ascii="Century Gothic" w:hAnsi="Century Gothic" w:cs="Century Gothic" w:eastAsia="Century Gothic" w:hint="default"/>
                <w:sz w:val="18"/>
                <w:szCs w:val="18"/>
              </w:rPr>
            </w:pPr>
            <w:r>
              <w:rPr>
                <w:rFonts w:ascii="Century Gothic"/>
                <w:spacing w:val="-1"/>
                <w:sz w:val="18"/>
              </w:rPr>
              <w:t>245,862.7</w:t>
            </w:r>
            <w:r>
              <w:rPr>
                <w:rFonts w:ascii="Century Gothic"/>
                <w:sz w:val="18"/>
              </w:rPr>
            </w:r>
          </w:p>
          <w:p>
            <w:pPr>
              <w:pStyle w:val="TableParagraph"/>
              <w:spacing w:line="220" w:lineRule="exact"/>
              <w:ind w:right="98"/>
              <w:jc w:val="right"/>
              <w:rPr>
                <w:rFonts w:ascii="Century Gothic" w:hAnsi="Century Gothic" w:cs="Century Gothic" w:eastAsia="Century Gothic" w:hint="default"/>
                <w:sz w:val="18"/>
                <w:szCs w:val="18"/>
              </w:rPr>
            </w:pPr>
            <w:r>
              <w:rPr>
                <w:rFonts w:ascii="Century Gothic"/>
                <w:w w:val="99"/>
                <w:sz w:val="18"/>
              </w:rPr>
              <w:t>2</w:t>
            </w:r>
            <w:r>
              <w:rPr>
                <w:rFonts w:ascii="Century Gothic"/>
                <w:sz w:val="18"/>
              </w:rPr>
            </w:r>
          </w:p>
        </w:tc>
        <w:tc>
          <w:tcPr>
            <w:tcW w:w="12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6"/>
              <w:jc w:val="right"/>
              <w:rPr>
                <w:rFonts w:ascii="Century Gothic" w:hAnsi="Century Gothic" w:cs="Century Gothic" w:eastAsia="Century Gothic" w:hint="default"/>
                <w:sz w:val="18"/>
                <w:szCs w:val="18"/>
              </w:rPr>
            </w:pPr>
            <w:r>
              <w:rPr>
                <w:rFonts w:ascii="Century Gothic"/>
                <w:spacing w:val="-1"/>
                <w:sz w:val="18"/>
              </w:rPr>
              <w:t>1,571,061.66</w:t>
            </w:r>
          </w:p>
        </w:tc>
      </w:tr>
      <w:tr>
        <w:trPr>
          <w:trHeight w:val="464" w:hRule="exact"/>
        </w:trPr>
        <w:tc>
          <w:tcPr>
            <w:tcW w:w="1454" w:type="dxa"/>
            <w:tcBorders>
              <w:top w:val="single" w:sz="6" w:space="0" w:color="000000"/>
              <w:left w:val="nil" w:sz="6" w:space="0" w:color="auto"/>
              <w:bottom w:val="single" w:sz="12" w:space="0" w:color="000000"/>
              <w:right w:val="single" w:sz="6" w:space="0" w:color="000000"/>
            </w:tcBorders>
          </w:tcPr>
          <w:p>
            <w:pPr>
              <w:pStyle w:val="TableParagraph"/>
              <w:tabs>
                <w:tab w:pos="890" w:val="left" w:leader="none"/>
              </w:tabs>
              <w:spacing w:line="240" w:lineRule="auto" w:before="51"/>
              <w:ind w:left="36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200,109,474</w:t>
            </w:r>
            <w:r>
              <w:rPr>
                <w:rFonts w:ascii="Century Gothic"/>
                <w:b/>
                <w:w w:val="95"/>
                <w:sz w:val="18"/>
              </w:rPr>
            </w:r>
            <w:r>
              <w:rPr>
                <w:rFonts w:ascii="Century Gothic"/>
                <w:sz w:val="18"/>
              </w:rPr>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b/>
                <w:w w:val="95"/>
                <w:sz w:val="18"/>
              </w:rPr>
              <w:t>.43</w:t>
            </w:r>
            <w:r>
              <w:rPr>
                <w:rFonts w:ascii="Century Gothic"/>
                <w:sz w:val="18"/>
              </w:rPr>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4,113,761.4</w:t>
            </w:r>
            <w:r>
              <w:rPr>
                <w:rFonts w:ascii="Century Gothic"/>
                <w:b/>
                <w:w w:val="95"/>
                <w:sz w:val="18"/>
              </w:rPr>
            </w:r>
            <w:r>
              <w:rPr>
                <w:rFonts w:ascii="Century Gothic"/>
                <w:sz w:val="18"/>
              </w:rPr>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b/>
                <w:w w:val="99"/>
                <w:sz w:val="18"/>
              </w:rPr>
              <w:t>4</w:t>
            </w:r>
            <w:r>
              <w:rPr>
                <w:rFonts w:ascii="Century Gothic"/>
                <w:sz w:val="18"/>
              </w:rPr>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195,995,712</w:t>
            </w:r>
            <w:r>
              <w:rPr>
                <w:rFonts w:ascii="Century Gothic"/>
                <w:b/>
                <w:w w:val="95"/>
                <w:sz w:val="18"/>
              </w:rPr>
            </w:r>
            <w:r>
              <w:rPr>
                <w:rFonts w:ascii="Century Gothic"/>
                <w:sz w:val="18"/>
              </w:rPr>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b/>
                <w:w w:val="95"/>
                <w:sz w:val="18"/>
              </w:rPr>
              <w:t>.99</w:t>
            </w:r>
            <w:r>
              <w:rPr>
                <w:rFonts w:ascii="Century Gothic"/>
                <w:sz w:val="18"/>
              </w:rPr>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280,171,055</w:t>
            </w:r>
            <w:r>
              <w:rPr>
                <w:rFonts w:ascii="Century Gothic"/>
                <w:b/>
                <w:w w:val="95"/>
                <w:sz w:val="18"/>
              </w:rPr>
            </w:r>
            <w:r>
              <w:rPr>
                <w:rFonts w:ascii="Century Gothic"/>
                <w:sz w:val="18"/>
              </w:rPr>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b/>
                <w:w w:val="95"/>
                <w:sz w:val="18"/>
              </w:rPr>
              <w:t>.96</w:t>
            </w:r>
            <w:r>
              <w:rPr>
                <w:rFonts w:ascii="Century Gothic"/>
                <w:sz w:val="18"/>
              </w:rPr>
            </w: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2,190,031.</w:t>
            </w:r>
            <w:r>
              <w:rPr>
                <w:rFonts w:ascii="Century Gothic"/>
                <w:b/>
                <w:w w:val="95"/>
                <w:sz w:val="18"/>
              </w:rPr>
            </w:r>
            <w:r>
              <w:rPr>
                <w:rFonts w:ascii="Century Gothic"/>
                <w:sz w:val="18"/>
              </w:rPr>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b/>
                <w:w w:val="95"/>
                <w:sz w:val="18"/>
              </w:rPr>
              <w:t>38</w:t>
            </w:r>
            <w:r>
              <w:rPr>
                <w:rFonts w:ascii="Century Gothic"/>
                <w:sz w:val="18"/>
              </w:rPr>
            </w:r>
          </w:p>
        </w:tc>
        <w:tc>
          <w:tcPr>
            <w:tcW w:w="12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106"/>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277,981,024.</w:t>
            </w:r>
            <w:r>
              <w:rPr>
                <w:rFonts w:ascii="Century Gothic"/>
                <w:b/>
                <w:w w:val="95"/>
                <w:sz w:val="18"/>
              </w:rPr>
            </w:r>
            <w:r>
              <w:rPr>
                <w:rFonts w:ascii="Century Gothic"/>
                <w:sz w:val="18"/>
              </w:rPr>
            </w:r>
          </w:p>
          <w:p>
            <w:pPr>
              <w:pStyle w:val="TableParagraph"/>
              <w:spacing w:line="240" w:lineRule="auto"/>
              <w:ind w:right="106"/>
              <w:jc w:val="right"/>
              <w:rPr>
                <w:rFonts w:ascii="Century Gothic" w:hAnsi="Century Gothic" w:cs="Century Gothic" w:eastAsia="Century Gothic" w:hint="default"/>
                <w:sz w:val="18"/>
                <w:szCs w:val="18"/>
              </w:rPr>
            </w:pPr>
            <w:r>
              <w:rPr>
                <w:rFonts w:ascii="Century Gothic"/>
                <w:b/>
                <w:w w:val="95"/>
                <w:sz w:val="18"/>
              </w:rPr>
              <w:t>58</w:t>
            </w:r>
            <w:r>
              <w:rPr>
                <w:rFonts w:ascii="Century Gothic"/>
                <w:sz w:val="18"/>
              </w:rPr>
            </w:r>
          </w:p>
        </w:tc>
      </w:tr>
    </w:tbl>
    <w:p>
      <w:pPr>
        <w:pStyle w:val="BodyText"/>
        <w:spacing w:line="240" w:lineRule="auto" w:before="86"/>
        <w:ind w:left="558" w:right="0"/>
        <w:jc w:val="left"/>
      </w:pPr>
      <w:r>
        <w:rPr/>
        <w:t>（</w:t>
      </w:r>
      <w:r>
        <w:rPr>
          <w:rFonts w:ascii="Century Gothic" w:hAnsi="Century Gothic" w:cs="Century Gothic" w:eastAsia="Century Gothic" w:hint="default"/>
        </w:rPr>
        <w:t>2</w:t>
      </w:r>
      <w:r>
        <w:rPr/>
        <w:t>）各项存货跌价准备的增减变动情况</w:t>
      </w:r>
    </w:p>
    <w:p>
      <w:pPr>
        <w:spacing w:line="240" w:lineRule="auto" w:before="10"/>
        <w:rPr>
          <w:rFonts w:ascii="宋体" w:hAnsi="宋体" w:cs="宋体" w:eastAsia="宋体" w:hint="default"/>
          <w:sz w:val="20"/>
          <w:szCs w:val="20"/>
        </w:rPr>
      </w:pPr>
    </w:p>
    <w:tbl>
      <w:tblPr>
        <w:tblW w:w="0" w:type="auto"/>
        <w:jc w:val="left"/>
        <w:tblInd w:w="281" w:type="dxa"/>
        <w:tblLayout w:type="fixed"/>
        <w:tblCellMar>
          <w:top w:w="0" w:type="dxa"/>
          <w:left w:w="0" w:type="dxa"/>
          <w:bottom w:w="0" w:type="dxa"/>
          <w:right w:w="0" w:type="dxa"/>
        </w:tblCellMar>
        <w:tblLook w:val="01E0"/>
      </w:tblPr>
      <w:tblGrid>
        <w:gridCol w:w="2369"/>
        <w:gridCol w:w="1620"/>
        <w:gridCol w:w="1451"/>
        <w:gridCol w:w="643"/>
        <w:gridCol w:w="1157"/>
        <w:gridCol w:w="1619"/>
      </w:tblGrid>
      <w:tr>
        <w:trPr>
          <w:trHeight w:val="363" w:hRule="exact"/>
        </w:trPr>
        <w:tc>
          <w:tcPr>
            <w:tcW w:w="2369" w:type="dxa"/>
            <w:vMerge w:val="restart"/>
            <w:tcBorders>
              <w:top w:val="single" w:sz="12" w:space="0" w:color="000000"/>
              <w:left w:val="nil" w:sz="6" w:space="0" w:color="auto"/>
              <w:right w:val="single" w:sz="6" w:space="0" w:color="000000"/>
            </w:tcBorders>
          </w:tcPr>
          <w:p>
            <w:pPr>
              <w:pStyle w:val="TableParagraph"/>
              <w:spacing w:line="240" w:lineRule="auto" w:before="161"/>
              <w:ind w:left="771"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620" w:type="dxa"/>
            <w:vMerge w:val="restart"/>
            <w:tcBorders>
              <w:top w:val="single" w:sz="12" w:space="0" w:color="000000"/>
              <w:left w:val="single" w:sz="6" w:space="0" w:color="000000"/>
              <w:right w:val="single" w:sz="6" w:space="0" w:color="000000"/>
            </w:tcBorders>
          </w:tcPr>
          <w:p>
            <w:pPr>
              <w:pStyle w:val="TableParagraph"/>
              <w:spacing w:line="240" w:lineRule="auto" w:before="161"/>
              <w:ind w:left="17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51" w:type="dxa"/>
            <w:vMerge w:val="restart"/>
            <w:tcBorders>
              <w:top w:val="single" w:sz="12" w:space="0" w:color="000000"/>
              <w:left w:val="single" w:sz="6" w:space="0" w:color="000000"/>
              <w:right w:val="single" w:sz="6" w:space="0" w:color="000000"/>
            </w:tcBorders>
          </w:tcPr>
          <w:p>
            <w:pPr>
              <w:pStyle w:val="TableParagraph"/>
              <w:spacing w:line="240" w:lineRule="auto" w:before="161"/>
              <w:ind w:left="193" w:right="0"/>
              <w:jc w:val="left"/>
              <w:rPr>
                <w:rFonts w:ascii="宋体" w:hAnsi="宋体" w:cs="宋体" w:eastAsia="宋体" w:hint="default"/>
                <w:sz w:val="21"/>
                <w:szCs w:val="21"/>
              </w:rPr>
            </w:pPr>
            <w:r>
              <w:rPr>
                <w:rFonts w:ascii="宋体" w:hAnsi="宋体" w:cs="宋体" w:eastAsia="宋体" w:hint="default"/>
                <w:sz w:val="21"/>
                <w:szCs w:val="21"/>
              </w:rPr>
              <w:t>本年计提额</w:t>
            </w:r>
          </w:p>
        </w:tc>
        <w:tc>
          <w:tcPr>
            <w:tcW w:w="180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367"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619" w:type="dxa"/>
            <w:vMerge w:val="restart"/>
            <w:tcBorders>
              <w:top w:val="single" w:sz="12" w:space="0" w:color="000000"/>
              <w:left w:val="single" w:sz="6" w:space="0" w:color="000000"/>
              <w:right w:val="nil" w:sz="6" w:space="0" w:color="auto"/>
            </w:tcBorders>
          </w:tcPr>
          <w:p>
            <w:pPr>
              <w:pStyle w:val="TableParagraph"/>
              <w:spacing w:line="240" w:lineRule="auto" w:before="161"/>
              <w:ind w:left="17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369" w:type="dxa"/>
            <w:vMerge/>
            <w:tcBorders>
              <w:left w:val="nil" w:sz="6" w:space="0" w:color="auto"/>
              <w:bottom w:val="single" w:sz="6" w:space="0" w:color="000000"/>
              <w:right w:val="single" w:sz="6" w:space="0" w:color="000000"/>
            </w:tcBorders>
          </w:tcPr>
          <w:p>
            <w:pPr/>
          </w:p>
        </w:tc>
        <w:tc>
          <w:tcPr>
            <w:tcW w:w="1620" w:type="dxa"/>
            <w:vMerge/>
            <w:tcBorders>
              <w:left w:val="single" w:sz="6" w:space="0" w:color="000000"/>
              <w:bottom w:val="single" w:sz="6" w:space="0" w:color="000000"/>
              <w:right w:val="single" w:sz="6" w:space="0" w:color="000000"/>
            </w:tcBorders>
          </w:tcPr>
          <w:p>
            <w:pPr/>
          </w:p>
        </w:tc>
        <w:tc>
          <w:tcPr>
            <w:tcW w:w="1451" w:type="dxa"/>
            <w:vMerge/>
            <w:tcBorders>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19" w:type="dxa"/>
            <w:vMerge/>
            <w:tcBorders>
              <w:left w:val="single" w:sz="6" w:space="0" w:color="000000"/>
              <w:bottom w:val="single" w:sz="6" w:space="0" w:color="000000"/>
              <w:right w:val="nil" w:sz="6" w:space="0" w:color="auto"/>
            </w:tcBorders>
          </w:tcPr>
          <w:p>
            <w:pPr/>
          </w:p>
        </w:tc>
      </w:tr>
      <w:tr>
        <w:trPr>
          <w:trHeight w:val="354"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520,495.45</w:t>
            </w:r>
          </w:p>
        </w:tc>
        <w:tc>
          <w:tcPr>
            <w:tcW w:w="1451"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 w:right="0"/>
              <w:jc w:val="center"/>
              <w:rPr>
                <w:rFonts w:ascii="Century Gothic" w:hAnsi="Century Gothic" w:cs="Century Gothic" w:eastAsia="Century Gothic" w:hint="default"/>
                <w:sz w:val="21"/>
                <w:szCs w:val="21"/>
              </w:rPr>
            </w:pPr>
            <w:r>
              <w:rPr>
                <w:rFonts w:ascii="Century Gothic"/>
                <w:sz w:val="21"/>
              </w:rPr>
              <w:t>37,406.20</w:t>
            </w:r>
          </w:p>
        </w:tc>
        <w:tc>
          <w:tcPr>
            <w:tcW w:w="1619"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483,089.25</w:t>
            </w:r>
          </w:p>
        </w:tc>
      </w:tr>
      <w:tr>
        <w:trPr>
          <w:trHeight w:val="363" w:hRule="exact"/>
        </w:trPr>
        <w:tc>
          <w:tcPr>
            <w:tcW w:w="2369"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包装物</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219,134.98</w:t>
            </w:r>
          </w:p>
        </w:tc>
        <w:tc>
          <w:tcPr>
            <w:tcW w:w="1451" w:type="dxa"/>
            <w:tcBorders>
              <w:top w:val="single" w:sz="6" w:space="0" w:color="000000"/>
              <w:left w:val="single" w:sz="6" w:space="0" w:color="000000"/>
              <w:bottom w:val="single" w:sz="12" w:space="0" w:color="000000"/>
              <w:right w:val="single" w:sz="6" w:space="0" w:color="000000"/>
            </w:tcBorders>
          </w:tcPr>
          <w:p>
            <w:pPr/>
          </w:p>
        </w:tc>
        <w:tc>
          <w:tcPr>
            <w:tcW w:w="643" w:type="dxa"/>
            <w:tcBorders>
              <w:top w:val="single" w:sz="6" w:space="0" w:color="000000"/>
              <w:left w:val="single" w:sz="6" w:space="0" w:color="000000"/>
              <w:bottom w:val="single" w:sz="12" w:space="0" w:color="000000"/>
              <w:right w:val="single" w:sz="6" w:space="0" w:color="000000"/>
            </w:tcBorders>
          </w:tcPr>
          <w:p>
            <w:pPr/>
          </w:p>
        </w:tc>
        <w:tc>
          <w:tcPr>
            <w:tcW w:w="1157" w:type="dxa"/>
            <w:tcBorders>
              <w:top w:val="single" w:sz="6" w:space="0" w:color="000000"/>
              <w:left w:val="single" w:sz="6" w:space="0" w:color="000000"/>
              <w:bottom w:val="single" w:sz="12" w:space="0" w:color="000000"/>
              <w:right w:val="single" w:sz="6" w:space="0" w:color="000000"/>
            </w:tcBorders>
          </w:tcPr>
          <w:p>
            <w:pPr/>
          </w:p>
        </w:tc>
        <w:tc>
          <w:tcPr>
            <w:tcW w:w="1619"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219,134.98</w:t>
            </w:r>
          </w:p>
        </w:tc>
      </w:tr>
    </w:tbl>
    <w:p>
      <w:pPr>
        <w:spacing w:line="240" w:lineRule="auto" w:before="4"/>
        <w:rPr>
          <w:rFonts w:ascii="宋体" w:hAnsi="宋体" w:cs="宋体" w:eastAsia="宋体" w:hint="default"/>
          <w:sz w:val="21"/>
          <w:szCs w:val="21"/>
        </w:rPr>
      </w:pPr>
    </w:p>
    <w:p>
      <w:pPr>
        <w:spacing w:before="76"/>
        <w:ind w:left="482" w:right="320" w:firstLine="0"/>
        <w:jc w:val="center"/>
        <w:rPr>
          <w:rFonts w:ascii="Times New Roman" w:hAnsi="Times New Roman" w:cs="Times New Roman" w:eastAsia="Times New Roman" w:hint="default"/>
          <w:sz w:val="18"/>
          <w:szCs w:val="18"/>
        </w:rPr>
      </w:pPr>
      <w:r>
        <w:rPr>
          <w:rFonts w:ascii="Times New Roman"/>
          <w:sz w:val="18"/>
        </w:rPr>
        <w:t>72</w:t>
      </w:r>
    </w:p>
    <w:p>
      <w:pPr>
        <w:spacing w:after="0"/>
        <w:jc w:val="center"/>
        <w:rPr>
          <w:rFonts w:ascii="Times New Roman" w:hAnsi="Times New Roman" w:cs="Times New Roman" w:eastAsia="Times New Roman" w:hint="default"/>
          <w:sz w:val="18"/>
          <w:szCs w:val="18"/>
        </w:rPr>
        <w:sectPr>
          <w:pgSz w:w="11910" w:h="16840"/>
          <w:pgMar w:top="780" w:bottom="280" w:left="1160" w:right="144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70.860001pt;margin-top:-9.926001pt;width:84.0pt;height:23.94pt;mso-position-horizontal-relative:page;mso-position-vertical-relative:paragraph;z-index:5152"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81" w:type="dxa"/>
        <w:tblLayout w:type="fixed"/>
        <w:tblCellMar>
          <w:top w:w="0" w:type="dxa"/>
          <w:left w:w="0" w:type="dxa"/>
          <w:bottom w:w="0" w:type="dxa"/>
          <w:right w:w="0" w:type="dxa"/>
        </w:tblCellMar>
        <w:tblLook w:val="01E0"/>
      </w:tblPr>
      <w:tblGrid>
        <w:gridCol w:w="2369"/>
        <w:gridCol w:w="1620"/>
        <w:gridCol w:w="1451"/>
        <w:gridCol w:w="643"/>
        <w:gridCol w:w="1157"/>
        <w:gridCol w:w="1619"/>
      </w:tblGrid>
      <w:tr>
        <w:trPr>
          <w:trHeight w:val="362" w:hRule="exact"/>
        </w:trPr>
        <w:tc>
          <w:tcPr>
            <w:tcW w:w="2369"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56" w:lineRule="exact"/>
              <w:ind w:right="100"/>
              <w:jc w:val="right"/>
              <w:rPr>
                <w:rFonts w:ascii="Century Gothic" w:hAnsi="Century Gothic" w:cs="Century Gothic" w:eastAsia="Century Gothic" w:hint="default"/>
                <w:sz w:val="21"/>
                <w:szCs w:val="21"/>
              </w:rPr>
            </w:pPr>
            <w:r>
              <w:rPr>
                <w:rFonts w:ascii="Century Gothic"/>
                <w:spacing w:val="-1"/>
                <w:sz w:val="21"/>
              </w:rPr>
              <w:t>61,023.83</w:t>
            </w:r>
          </w:p>
        </w:tc>
        <w:tc>
          <w:tcPr>
            <w:tcW w:w="1451" w:type="dxa"/>
            <w:tcBorders>
              <w:top w:val="single" w:sz="12" w:space="0" w:color="000000"/>
              <w:left w:val="single" w:sz="6" w:space="0" w:color="000000"/>
              <w:bottom w:val="single" w:sz="6" w:space="0" w:color="000000"/>
              <w:right w:val="single" w:sz="6" w:space="0" w:color="000000"/>
            </w:tcBorders>
          </w:tcPr>
          <w:p>
            <w:pPr/>
          </w:p>
        </w:tc>
        <w:tc>
          <w:tcPr>
            <w:tcW w:w="643" w:type="dxa"/>
            <w:tcBorders>
              <w:top w:val="single" w:sz="12" w:space="0" w:color="000000"/>
              <w:left w:val="single" w:sz="6" w:space="0" w:color="000000"/>
              <w:bottom w:val="single" w:sz="6" w:space="0" w:color="000000"/>
              <w:right w:val="single" w:sz="6" w:space="0" w:color="000000"/>
            </w:tcBorders>
          </w:tcPr>
          <w:p>
            <w:pPr/>
          </w:p>
        </w:tc>
        <w:tc>
          <w:tcPr>
            <w:tcW w:w="1157" w:type="dxa"/>
            <w:tcBorders>
              <w:top w:val="single" w:sz="12" w:space="0" w:color="000000"/>
              <w:left w:val="single" w:sz="6" w:space="0" w:color="000000"/>
              <w:bottom w:val="single" w:sz="6" w:space="0" w:color="000000"/>
              <w:right w:val="single" w:sz="6" w:space="0" w:color="000000"/>
            </w:tcBorders>
          </w:tcPr>
          <w:p>
            <w:pPr/>
          </w:p>
        </w:tc>
        <w:tc>
          <w:tcPr>
            <w:tcW w:w="1619" w:type="dxa"/>
            <w:tcBorders>
              <w:top w:val="single" w:sz="12" w:space="0" w:color="000000"/>
              <w:left w:val="single" w:sz="6" w:space="0" w:color="000000"/>
              <w:bottom w:val="single" w:sz="6" w:space="0" w:color="000000"/>
              <w:right w:val="nil" w:sz="6" w:space="0" w:color="auto"/>
            </w:tcBorders>
          </w:tcPr>
          <w:p>
            <w:pPr>
              <w:pStyle w:val="TableParagraph"/>
              <w:spacing w:line="256" w:lineRule="exact"/>
              <w:ind w:right="106"/>
              <w:jc w:val="right"/>
              <w:rPr>
                <w:rFonts w:ascii="Century Gothic" w:hAnsi="Century Gothic" w:cs="Century Gothic" w:eastAsia="Century Gothic" w:hint="default"/>
                <w:sz w:val="21"/>
                <w:szCs w:val="21"/>
              </w:rPr>
            </w:pPr>
            <w:r>
              <w:rPr>
                <w:rFonts w:ascii="Century Gothic"/>
                <w:spacing w:val="-1"/>
                <w:sz w:val="21"/>
              </w:rPr>
              <w:t>61,023.83</w:t>
            </w:r>
          </w:p>
        </w:tc>
      </w:tr>
      <w:tr>
        <w:trPr>
          <w:trHeight w:val="355"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自制半成品</w:t>
            </w:r>
          </w:p>
        </w:tc>
        <w:tc>
          <w:tcPr>
            <w:tcW w:w="1620"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1,176,993.92</w:t>
            </w:r>
          </w:p>
        </w:tc>
        <w:tc>
          <w:tcPr>
            <w:tcW w:w="643"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7"/>
              <w:jc w:val="right"/>
              <w:rPr>
                <w:rFonts w:ascii="Century Gothic" w:hAnsi="Century Gothic" w:cs="Century Gothic" w:eastAsia="Century Gothic" w:hint="default"/>
                <w:sz w:val="21"/>
                <w:szCs w:val="21"/>
              </w:rPr>
            </w:pPr>
            <w:r>
              <w:rPr>
                <w:rFonts w:ascii="Century Gothic"/>
                <w:spacing w:val="-1"/>
                <w:sz w:val="21"/>
              </w:rPr>
              <w:t>1,176,993.92</w:t>
            </w:r>
          </w:p>
        </w:tc>
      </w:tr>
      <w:tr>
        <w:trPr>
          <w:trHeight w:val="355"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722,646.79</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816,588.96</w:t>
            </w:r>
          </w:p>
        </w:tc>
        <w:tc>
          <w:tcPr>
            <w:tcW w:w="643"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0" w:right="0"/>
              <w:jc w:val="center"/>
              <w:rPr>
                <w:rFonts w:ascii="Century Gothic" w:hAnsi="Century Gothic" w:cs="Century Gothic" w:eastAsia="Century Gothic" w:hint="default"/>
                <w:sz w:val="21"/>
                <w:szCs w:val="21"/>
              </w:rPr>
            </w:pPr>
            <w:r>
              <w:rPr>
                <w:rFonts w:ascii="Century Gothic"/>
                <w:sz w:val="21"/>
              </w:rPr>
              <w:t>32,446.62</w:t>
            </w:r>
          </w:p>
        </w:tc>
        <w:tc>
          <w:tcPr>
            <w:tcW w:w="1619"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7"/>
              <w:jc w:val="right"/>
              <w:rPr>
                <w:rFonts w:ascii="Century Gothic" w:hAnsi="Century Gothic" w:cs="Century Gothic" w:eastAsia="Century Gothic" w:hint="default"/>
                <w:sz w:val="21"/>
                <w:szCs w:val="21"/>
              </w:rPr>
            </w:pPr>
            <w:r>
              <w:rPr>
                <w:rFonts w:ascii="Century Gothic"/>
                <w:spacing w:val="-1"/>
                <w:sz w:val="21"/>
              </w:rPr>
              <w:t>1,506,789.13</w:t>
            </w:r>
          </w:p>
        </w:tc>
      </w:tr>
      <w:tr>
        <w:trPr>
          <w:trHeight w:val="355"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420,867.61</w:t>
            </w:r>
          </w:p>
        </w:tc>
        <w:tc>
          <w:tcPr>
            <w:tcW w:w="1451"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420,867.61</w:t>
            </w:r>
          </w:p>
        </w:tc>
      </w:tr>
      <w:tr>
        <w:trPr>
          <w:trHeight w:val="355" w:hRule="exact"/>
        </w:trPr>
        <w:tc>
          <w:tcPr>
            <w:tcW w:w="2369"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发出商品</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245,862.72</w:t>
            </w:r>
          </w:p>
        </w:tc>
        <w:tc>
          <w:tcPr>
            <w:tcW w:w="1451" w:type="dxa"/>
            <w:tcBorders>
              <w:top w:val="single" w:sz="6" w:space="0" w:color="000000"/>
              <w:left w:val="single" w:sz="6" w:space="0" w:color="000000"/>
              <w:bottom w:val="single" w:sz="6" w:space="0" w:color="000000"/>
              <w:right w:val="single" w:sz="6" w:space="0" w:color="000000"/>
            </w:tcBorders>
          </w:tcPr>
          <w:p>
            <w:pPr/>
          </w:p>
        </w:tc>
        <w:tc>
          <w:tcPr>
            <w:tcW w:w="643"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245,862.72</w:t>
            </w:r>
          </w:p>
        </w:tc>
      </w:tr>
      <w:tr>
        <w:trPr>
          <w:trHeight w:val="363" w:hRule="exact"/>
        </w:trPr>
        <w:tc>
          <w:tcPr>
            <w:tcW w:w="2369" w:type="dxa"/>
            <w:tcBorders>
              <w:top w:val="single" w:sz="6" w:space="0" w:color="000000"/>
              <w:left w:val="nil" w:sz="6" w:space="0" w:color="auto"/>
              <w:bottom w:val="single" w:sz="12" w:space="0" w:color="000000"/>
              <w:right w:val="single" w:sz="6" w:space="0" w:color="000000"/>
            </w:tcBorders>
          </w:tcPr>
          <w:p>
            <w:pPr>
              <w:pStyle w:val="TableParagraph"/>
              <w:tabs>
                <w:tab w:pos="543" w:val="left" w:leader="none"/>
              </w:tabs>
              <w:spacing w:line="24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2,190,031.38</w:t>
            </w:r>
            <w:r>
              <w:rPr>
                <w:rFonts w:ascii="Century Gothic"/>
                <w:b/>
                <w:w w:val="95"/>
                <w:sz w:val="21"/>
              </w:rPr>
            </w:r>
            <w:r>
              <w:rPr>
                <w:rFonts w:ascii="Century Gothic"/>
                <w:sz w:val="21"/>
              </w:rPr>
            </w:r>
          </w:p>
        </w:tc>
        <w:tc>
          <w:tcPr>
            <w:tcW w:w="14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1,993,582.88</w:t>
            </w:r>
            <w:r>
              <w:rPr>
                <w:rFonts w:ascii="Century Gothic"/>
                <w:b/>
                <w:w w:val="95"/>
                <w:sz w:val="21"/>
              </w:rPr>
            </w:r>
            <w:r>
              <w:rPr>
                <w:rFonts w:ascii="Century Gothic"/>
                <w:sz w:val="21"/>
              </w:rPr>
            </w:r>
          </w:p>
        </w:tc>
        <w:tc>
          <w:tcPr>
            <w:tcW w:w="643" w:type="dxa"/>
            <w:tcBorders>
              <w:top w:val="single" w:sz="6" w:space="0" w:color="000000"/>
              <w:left w:val="single" w:sz="6" w:space="0" w:color="000000"/>
              <w:bottom w:val="single" w:sz="12" w:space="0" w:color="000000"/>
              <w:right w:val="single" w:sz="6" w:space="0" w:color="000000"/>
            </w:tcBorders>
          </w:tcPr>
          <w:p>
            <w:pPr/>
          </w:p>
        </w:tc>
        <w:tc>
          <w:tcPr>
            <w:tcW w:w="11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69,852.82</w:t>
            </w:r>
            <w:r>
              <w:rPr>
                <w:rFonts w:ascii="Century Gothic"/>
                <w:b/>
                <w:sz w:val="21"/>
              </w:rPr>
            </w:r>
            <w:r>
              <w:rPr>
                <w:rFonts w:ascii="Century Gothic"/>
                <w:sz w:val="21"/>
              </w:rPr>
            </w:r>
          </w:p>
        </w:tc>
        <w:tc>
          <w:tcPr>
            <w:tcW w:w="1619"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4,113,761.44</w:t>
            </w:r>
            <w:r>
              <w:rPr>
                <w:rFonts w:ascii="Century Gothic"/>
                <w:b/>
                <w:w w:val="95"/>
                <w:sz w:val="21"/>
              </w:rPr>
            </w:r>
            <w:r>
              <w:rPr>
                <w:rFonts w:ascii="Century Gothic"/>
                <w:sz w:val="21"/>
              </w:rPr>
            </w:r>
          </w:p>
        </w:tc>
      </w:tr>
    </w:tbl>
    <w:p>
      <w:pPr>
        <w:pStyle w:val="BodyText"/>
        <w:spacing w:line="357" w:lineRule="auto" w:before="94"/>
        <w:ind w:right="0" w:firstLine="420"/>
        <w:jc w:val="left"/>
      </w:pPr>
      <w:r>
        <w:rPr>
          <w:spacing w:val="-2"/>
        </w:rPr>
        <w:t>注：存货跌价准备计提依据为可收回金额低于账面价值。本年存货跌价准备的减少主要因出售存</w:t>
      </w:r>
      <w:r>
        <w:rPr/>
        <w:t> 货相应转销存货跌价准备所致。</w:t>
      </w:r>
    </w:p>
    <w:p>
      <w:pPr>
        <w:tabs>
          <w:tab w:pos="1413" w:val="left" w:leader="none"/>
        </w:tabs>
        <w:spacing w:line="357" w:lineRule="auto" w:before="31"/>
        <w:ind w:left="558" w:right="2795" w:firstLine="0"/>
        <w:jc w:val="left"/>
        <w:rPr>
          <w:rFonts w:ascii="宋体" w:hAnsi="宋体" w:cs="宋体" w:eastAsia="宋体" w:hint="default"/>
          <w:sz w:val="21"/>
          <w:szCs w:val="21"/>
        </w:rPr>
      </w:pPr>
      <w:r>
        <w:rPr>
          <w:rFonts w:ascii="宋体" w:hAnsi="宋体" w:cs="宋体" w:eastAsia="宋体" w:hint="default"/>
          <w:b/>
          <w:bCs/>
          <w:w w:val="95"/>
          <w:sz w:val="21"/>
          <w:szCs w:val="21"/>
        </w:rPr>
        <w:t>（七）</w:t>
        <w:tab/>
      </w:r>
      <w:r>
        <w:rPr>
          <w:rFonts w:ascii="宋体" w:hAnsi="宋体" w:cs="宋体" w:eastAsia="宋体" w:hint="default"/>
          <w:b/>
          <w:bCs/>
          <w:sz w:val="21"/>
          <w:szCs w:val="21"/>
        </w:rPr>
        <w:t>对合营企业投资和对联营企业投资</w:t>
      </w:r>
      <w:r>
        <w:rPr>
          <w:rFonts w:ascii="宋体" w:hAnsi="宋体" w:cs="宋体" w:eastAsia="宋体" w:hint="default"/>
          <w:b/>
          <w:bCs/>
          <w:w w:val="99"/>
          <w:sz w:val="21"/>
          <w:szCs w:val="21"/>
        </w:rPr>
        <w:t> </w:t>
      </w:r>
      <w:r>
        <w:rPr>
          <w:rFonts w:ascii="宋体" w:hAnsi="宋体" w:cs="宋体" w:eastAsia="宋体" w:hint="default"/>
          <w:sz w:val="21"/>
          <w:szCs w:val="21"/>
        </w:rPr>
        <w:t>本公司主要合营企业联营企业相关信息列示如下（单位：万元）：</w:t>
      </w:r>
    </w:p>
    <w:p>
      <w:pPr>
        <w:spacing w:line="240" w:lineRule="auto" w:before="0"/>
        <w:rPr>
          <w:rFonts w:ascii="宋体" w:hAnsi="宋体" w:cs="宋体" w:eastAsia="宋体" w:hint="default"/>
          <w:sz w:val="5"/>
          <w:szCs w:val="5"/>
        </w:rPr>
      </w:pPr>
    </w:p>
    <w:tbl>
      <w:tblPr>
        <w:tblW w:w="0" w:type="auto"/>
        <w:jc w:val="left"/>
        <w:tblInd w:w="273" w:type="dxa"/>
        <w:tblLayout w:type="fixed"/>
        <w:tblCellMar>
          <w:top w:w="0" w:type="dxa"/>
          <w:left w:w="0" w:type="dxa"/>
          <w:bottom w:w="0" w:type="dxa"/>
          <w:right w:w="0" w:type="dxa"/>
        </w:tblCellMar>
        <w:tblLook w:val="01E0"/>
      </w:tblPr>
      <w:tblGrid>
        <w:gridCol w:w="1744"/>
        <w:gridCol w:w="1009"/>
        <w:gridCol w:w="947"/>
        <w:gridCol w:w="960"/>
        <w:gridCol w:w="1076"/>
        <w:gridCol w:w="1102"/>
        <w:gridCol w:w="932"/>
        <w:gridCol w:w="1106"/>
      </w:tblGrid>
      <w:tr>
        <w:trPr>
          <w:trHeight w:val="842" w:hRule="exact"/>
        </w:trPr>
        <w:tc>
          <w:tcPr>
            <w:tcW w:w="17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0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392" w:right="180" w:hanging="210"/>
              <w:jc w:val="left"/>
              <w:rPr>
                <w:rFonts w:ascii="宋体" w:hAnsi="宋体" w:cs="宋体" w:eastAsia="宋体" w:hint="default"/>
                <w:sz w:val="21"/>
                <w:szCs w:val="21"/>
              </w:rPr>
            </w:pPr>
            <w:r>
              <w:rPr>
                <w:rFonts w:ascii="宋体" w:hAnsi="宋体" w:cs="宋体" w:eastAsia="宋体" w:hint="default"/>
                <w:sz w:val="21"/>
                <w:szCs w:val="21"/>
              </w:rPr>
              <w:t>企业类 型</w:t>
            </w:r>
          </w:p>
        </w:tc>
        <w:tc>
          <w:tcPr>
            <w:tcW w:w="9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9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left="367" w:right="156" w:hanging="210"/>
              <w:jc w:val="left"/>
              <w:rPr>
                <w:rFonts w:ascii="宋体" w:hAnsi="宋体" w:cs="宋体" w:eastAsia="宋体" w:hint="default"/>
                <w:sz w:val="21"/>
                <w:szCs w:val="21"/>
              </w:rPr>
            </w:pPr>
            <w:r>
              <w:rPr>
                <w:rFonts w:ascii="宋体" w:hAnsi="宋体" w:cs="宋体" w:eastAsia="宋体" w:hint="default"/>
                <w:sz w:val="21"/>
                <w:szCs w:val="21"/>
              </w:rPr>
              <w:t>法人代 表</w:t>
            </w:r>
          </w:p>
        </w:tc>
        <w:tc>
          <w:tcPr>
            <w:tcW w:w="10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102"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before="101"/>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9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932"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90" w:lineRule="exact"/>
              <w:ind w:left="166" w:right="0"/>
              <w:jc w:val="left"/>
              <w:rPr>
                <w:rFonts w:ascii="宋体" w:hAnsi="宋体" w:cs="宋体" w:eastAsia="宋体" w:hint="default"/>
                <w:sz w:val="21"/>
                <w:szCs w:val="21"/>
              </w:rPr>
            </w:pPr>
            <w:r>
              <w:rPr>
                <w:rFonts w:ascii="宋体" w:hAnsi="宋体" w:cs="宋体" w:eastAsia="宋体" w:hint="default"/>
                <w:sz w:val="21"/>
                <w:szCs w:val="21"/>
              </w:rPr>
              <w:t>（</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10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注册资本</w:t>
            </w:r>
          </w:p>
        </w:tc>
      </w:tr>
      <w:tr>
        <w:trPr>
          <w:trHeight w:val="299" w:hRule="exact"/>
        </w:trPr>
        <w:tc>
          <w:tcPr>
            <w:tcW w:w="174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一、合营企业</w:t>
            </w:r>
          </w:p>
        </w:tc>
        <w:tc>
          <w:tcPr>
            <w:tcW w:w="1009"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932"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1744"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安挺医药有限公司</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沙迦</w:t>
            </w:r>
          </w:p>
        </w:tc>
        <w:tc>
          <w:tcPr>
            <w:tcW w:w="9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Century Gothic" w:hAnsi="Century Gothic" w:cs="Century Gothic" w:eastAsia="Century Gothic" w:hint="default"/>
                <w:sz w:val="18"/>
                <w:szCs w:val="18"/>
              </w:rPr>
            </w:pPr>
            <w:r>
              <w:rPr>
                <w:rFonts w:ascii="Century Gothic"/>
                <w:sz w:val="18"/>
              </w:rPr>
              <w:t>50.00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Century Gothic" w:hAnsi="Century Gothic" w:cs="Century Gothic" w:eastAsia="Century Gothic" w:hint="default"/>
                <w:sz w:val="18"/>
                <w:szCs w:val="18"/>
              </w:rPr>
            </w:pPr>
            <w:r>
              <w:rPr>
                <w:rFonts w:ascii="Century Gothic"/>
                <w:sz w:val="18"/>
              </w:rPr>
              <w:t>50.00</w:t>
            </w:r>
          </w:p>
        </w:tc>
        <w:tc>
          <w:tcPr>
            <w:tcW w:w="11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7"/>
              <w:jc w:val="center"/>
              <w:rPr>
                <w:rFonts w:ascii="Century Gothic" w:hAnsi="Century Gothic" w:cs="Century Gothic" w:eastAsia="Century Gothic" w:hint="default"/>
                <w:sz w:val="18"/>
                <w:szCs w:val="18"/>
              </w:rPr>
            </w:pPr>
            <w:r>
              <w:rPr>
                <w:rFonts w:ascii="Century Gothic"/>
                <w:sz w:val="18"/>
              </w:rPr>
              <w:t>USD20.00</w:t>
            </w:r>
          </w:p>
        </w:tc>
      </w:tr>
      <w:tr>
        <w:trPr>
          <w:trHeight w:val="299" w:hRule="exact"/>
        </w:trPr>
        <w:tc>
          <w:tcPr>
            <w:tcW w:w="174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1009"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932" w:type="dxa"/>
            <w:tcBorders>
              <w:top w:val="single" w:sz="6" w:space="0" w:color="000000"/>
              <w:left w:val="single" w:sz="6" w:space="0" w:color="000000"/>
              <w:bottom w:val="single" w:sz="6" w:space="0" w:color="000000"/>
              <w:right w:val="single" w:sz="6" w:space="0" w:color="000000"/>
            </w:tcBorders>
          </w:tcPr>
          <w:p>
            <w:pPr/>
          </w:p>
        </w:tc>
        <w:tc>
          <w:tcPr>
            <w:tcW w:w="1106" w:type="dxa"/>
            <w:tcBorders>
              <w:top w:val="single" w:sz="6" w:space="0" w:color="000000"/>
              <w:left w:val="single" w:sz="6" w:space="0" w:color="000000"/>
              <w:bottom w:val="single" w:sz="6" w:space="0" w:color="000000"/>
              <w:right w:val="nil" w:sz="6" w:space="0" w:color="auto"/>
            </w:tcBorders>
          </w:tcPr>
          <w:p>
            <w:pPr/>
          </w:p>
        </w:tc>
      </w:tr>
      <w:tr>
        <w:trPr>
          <w:trHeight w:val="952" w:hRule="exact"/>
        </w:trPr>
        <w:tc>
          <w:tcPr>
            <w:tcW w:w="17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2" w:right="88"/>
              <w:jc w:val="left"/>
              <w:rPr>
                <w:rFonts w:ascii="宋体" w:hAnsi="宋体" w:cs="宋体" w:eastAsia="宋体" w:hint="default"/>
                <w:sz w:val="18"/>
                <w:szCs w:val="18"/>
              </w:rPr>
            </w:pPr>
            <w:r>
              <w:rPr>
                <w:rFonts w:ascii="宋体" w:hAnsi="宋体" w:cs="宋体" w:eastAsia="宋体" w:hint="default"/>
                <w:spacing w:val="9"/>
                <w:sz w:val="18"/>
                <w:szCs w:val="18"/>
              </w:rPr>
              <w:t>深圳华立南方电子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技术有限公司</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3"/>
                <w:sz w:val="18"/>
                <w:szCs w:val="18"/>
              </w:rPr>
              <w:t>深圳市南</w:t>
            </w:r>
            <w:r>
              <w:rPr>
                <w:rFonts w:ascii="宋体" w:hAnsi="宋体" w:cs="宋体" w:eastAsia="宋体" w:hint="default"/>
                <w:sz w:val="18"/>
                <w:szCs w:val="18"/>
              </w:rPr>
            </w:r>
          </w:p>
          <w:p>
            <w:pPr>
              <w:pStyle w:val="TableParagraph"/>
              <w:spacing w:line="240" w:lineRule="auto"/>
              <w:ind w:left="100" w:right="95"/>
              <w:jc w:val="both"/>
              <w:rPr>
                <w:rFonts w:ascii="宋体" w:hAnsi="宋体" w:cs="宋体" w:eastAsia="宋体" w:hint="default"/>
                <w:sz w:val="18"/>
                <w:szCs w:val="18"/>
              </w:rPr>
            </w:pPr>
            <w:r>
              <w:rPr>
                <w:rFonts w:ascii="宋体" w:hAnsi="宋体" w:cs="宋体" w:eastAsia="宋体" w:hint="default"/>
                <w:spacing w:val="3"/>
                <w:sz w:val="18"/>
                <w:szCs w:val="18"/>
              </w:rPr>
              <w:t>山区沙河 西路茶光 </w:t>
            </w:r>
            <w:r>
              <w:rPr>
                <w:rFonts w:ascii="宋体" w:hAnsi="宋体" w:cs="宋体" w:eastAsia="宋体" w:hint="default"/>
                <w:sz w:val="18"/>
                <w:szCs w:val="18"/>
              </w:rPr>
              <w:t>工业区</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章青侯</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Century Gothic" w:hAnsi="Century Gothic" w:cs="Century Gothic" w:eastAsia="Century Gothic" w:hint="default"/>
                <w:sz w:val="18"/>
                <w:szCs w:val="18"/>
              </w:rPr>
            </w:pPr>
            <w:r>
              <w:rPr>
                <w:rFonts w:ascii="Century Gothic"/>
                <w:sz w:val="18"/>
              </w:rPr>
              <w:t>45.00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Century Gothic" w:hAnsi="Century Gothic" w:cs="Century Gothic" w:eastAsia="Century Gothic" w:hint="default"/>
                <w:sz w:val="18"/>
                <w:szCs w:val="18"/>
              </w:rPr>
            </w:pPr>
            <w:r>
              <w:rPr>
                <w:rFonts w:ascii="Century Gothic"/>
                <w:sz w:val="18"/>
              </w:rPr>
              <w:t>45.00</w:t>
            </w:r>
          </w:p>
        </w:tc>
        <w:tc>
          <w:tcPr>
            <w:tcW w:w="110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6"/>
              <w:jc w:val="center"/>
              <w:rPr>
                <w:rFonts w:ascii="Century Gothic" w:hAnsi="Century Gothic" w:cs="Century Gothic" w:eastAsia="Century Gothic" w:hint="default"/>
                <w:sz w:val="18"/>
                <w:szCs w:val="18"/>
              </w:rPr>
            </w:pPr>
            <w:r>
              <w:rPr>
                <w:rFonts w:ascii="Century Gothic"/>
                <w:sz w:val="18"/>
              </w:rPr>
              <w:t>USD300.00</w:t>
            </w:r>
          </w:p>
        </w:tc>
      </w:tr>
      <w:tr>
        <w:trPr>
          <w:trHeight w:val="482" w:hRule="exact"/>
        </w:trPr>
        <w:tc>
          <w:tcPr>
            <w:tcW w:w="174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淮北万华仪表有限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淮北市相</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阳路</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张振军</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25.00</w:t>
            </w:r>
          </w:p>
        </w:tc>
        <w:tc>
          <w:tcPr>
            <w:tcW w:w="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25.00</w:t>
            </w:r>
          </w:p>
        </w:tc>
        <w:tc>
          <w:tcPr>
            <w:tcW w:w="11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5"/>
              <w:jc w:val="center"/>
              <w:rPr>
                <w:rFonts w:ascii="Century Gothic" w:hAnsi="Century Gothic" w:cs="Century Gothic" w:eastAsia="Century Gothic" w:hint="default"/>
                <w:sz w:val="18"/>
                <w:szCs w:val="18"/>
              </w:rPr>
            </w:pPr>
            <w:r>
              <w:rPr>
                <w:rFonts w:ascii="Century Gothic"/>
                <w:sz w:val="18"/>
              </w:rPr>
              <w:t>228.00</w:t>
            </w:r>
          </w:p>
        </w:tc>
      </w:tr>
      <w:tr>
        <w:trPr>
          <w:trHeight w:val="834" w:hRule="exact"/>
        </w:trPr>
        <w:tc>
          <w:tcPr>
            <w:tcW w:w="17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2" w:right="180"/>
              <w:jc w:val="left"/>
              <w:rPr>
                <w:rFonts w:ascii="宋体" w:hAnsi="宋体" w:cs="宋体" w:eastAsia="宋体" w:hint="default"/>
                <w:sz w:val="21"/>
                <w:szCs w:val="21"/>
              </w:rPr>
            </w:pPr>
            <w:r>
              <w:rPr>
                <w:rFonts w:ascii="宋体" w:hAnsi="宋体" w:cs="宋体" w:eastAsia="宋体" w:hint="default"/>
                <w:sz w:val="21"/>
                <w:szCs w:val="21"/>
              </w:rPr>
              <w:t>年末资 产总额</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9" w:right="150"/>
              <w:jc w:val="left"/>
              <w:rPr>
                <w:rFonts w:ascii="宋体" w:hAnsi="宋体" w:cs="宋体" w:eastAsia="宋体" w:hint="default"/>
                <w:sz w:val="21"/>
                <w:szCs w:val="21"/>
              </w:rPr>
            </w:pPr>
            <w:r>
              <w:rPr>
                <w:rFonts w:ascii="宋体" w:hAnsi="宋体" w:cs="宋体" w:eastAsia="宋体" w:hint="default"/>
                <w:sz w:val="21"/>
                <w:szCs w:val="21"/>
              </w:rPr>
              <w:t>年末负 债总额</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7" w:right="0"/>
              <w:jc w:val="left"/>
              <w:rPr>
                <w:rFonts w:ascii="宋体" w:hAnsi="宋体" w:cs="宋体" w:eastAsia="宋体" w:hint="default"/>
                <w:sz w:val="21"/>
                <w:szCs w:val="21"/>
              </w:rPr>
            </w:pPr>
            <w:r>
              <w:rPr>
                <w:rFonts w:ascii="宋体" w:hAnsi="宋体" w:cs="宋体" w:eastAsia="宋体" w:hint="default"/>
                <w:sz w:val="21"/>
                <w:szCs w:val="21"/>
              </w:rPr>
              <w:t>年末净</w:t>
            </w:r>
          </w:p>
          <w:p>
            <w:pPr>
              <w:pStyle w:val="TableParagraph"/>
              <w:spacing w:line="272" w:lineRule="exact" w:before="27"/>
              <w:ind w:left="367" w:right="156" w:hanging="210"/>
              <w:jc w:val="left"/>
              <w:rPr>
                <w:rFonts w:ascii="宋体" w:hAnsi="宋体" w:cs="宋体" w:eastAsia="宋体" w:hint="default"/>
                <w:sz w:val="21"/>
                <w:szCs w:val="21"/>
              </w:rPr>
            </w:pPr>
            <w:r>
              <w:rPr>
                <w:rFonts w:ascii="宋体" w:hAnsi="宋体" w:cs="宋体" w:eastAsia="宋体" w:hint="default"/>
                <w:sz w:val="21"/>
                <w:szCs w:val="21"/>
              </w:rPr>
              <w:t>资产总 额</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1" w:right="108"/>
              <w:jc w:val="left"/>
              <w:rPr>
                <w:rFonts w:ascii="宋体" w:hAnsi="宋体" w:cs="宋体" w:eastAsia="宋体" w:hint="default"/>
                <w:sz w:val="21"/>
                <w:szCs w:val="21"/>
              </w:rPr>
            </w:pPr>
            <w:r>
              <w:rPr>
                <w:rFonts w:ascii="宋体" w:hAnsi="宋体" w:cs="宋体" w:eastAsia="宋体" w:hint="default"/>
                <w:sz w:val="21"/>
                <w:szCs w:val="21"/>
              </w:rPr>
              <w:t>本年营业 收入总额</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37" w:right="121" w:hanging="315"/>
              <w:jc w:val="left"/>
              <w:rPr>
                <w:rFonts w:ascii="宋体" w:hAnsi="宋体" w:cs="宋体" w:eastAsia="宋体" w:hint="default"/>
                <w:sz w:val="21"/>
                <w:szCs w:val="21"/>
              </w:rPr>
            </w:pPr>
            <w:r>
              <w:rPr>
                <w:rFonts w:ascii="宋体" w:hAnsi="宋体" w:cs="宋体" w:eastAsia="宋体" w:hint="default"/>
                <w:sz w:val="21"/>
                <w:szCs w:val="21"/>
              </w:rPr>
              <w:t>本年净利 润</w:t>
            </w:r>
          </w:p>
        </w:tc>
        <w:tc>
          <w:tcPr>
            <w:tcW w:w="2039"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300" w:hRule="exact"/>
        </w:trPr>
        <w:tc>
          <w:tcPr>
            <w:tcW w:w="174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一、合营企业</w:t>
            </w:r>
          </w:p>
        </w:tc>
        <w:tc>
          <w:tcPr>
            <w:tcW w:w="1009"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2039" w:type="dxa"/>
            <w:gridSpan w:val="2"/>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1744"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安挺医药有限公司</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 w:right="0"/>
              <w:jc w:val="center"/>
              <w:rPr>
                <w:rFonts w:ascii="Century Gothic" w:hAnsi="Century Gothic" w:cs="Century Gothic" w:eastAsia="Century Gothic" w:hint="default"/>
                <w:sz w:val="18"/>
                <w:szCs w:val="18"/>
              </w:rPr>
            </w:pPr>
            <w:r>
              <w:rPr>
                <w:rFonts w:ascii="Century Gothic"/>
                <w:sz w:val="18"/>
              </w:rPr>
              <w:t>398.81</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Century Gothic" w:hAnsi="Century Gothic" w:cs="Century Gothic" w:eastAsia="Century Gothic" w:hint="default"/>
                <w:sz w:val="18"/>
                <w:szCs w:val="18"/>
              </w:rPr>
            </w:pPr>
            <w:r>
              <w:rPr>
                <w:rFonts w:ascii="Century Gothic"/>
                <w:sz w:val="18"/>
              </w:rPr>
              <w:t>8.98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Century Gothic" w:hAnsi="Century Gothic" w:cs="Century Gothic" w:eastAsia="Century Gothic" w:hint="default"/>
                <w:sz w:val="18"/>
                <w:szCs w:val="18"/>
              </w:rPr>
            </w:pPr>
            <w:r>
              <w:rPr>
                <w:rFonts w:ascii="Century Gothic"/>
                <w:sz w:val="18"/>
              </w:rPr>
              <w:t>389.83</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Century Gothic" w:hAnsi="Century Gothic" w:cs="Century Gothic" w:eastAsia="Century Gothic" w:hint="default"/>
                <w:sz w:val="18"/>
                <w:szCs w:val="18"/>
              </w:rPr>
            </w:pPr>
            <w:r>
              <w:rPr>
                <w:rFonts w:ascii="Century Gothic"/>
                <w:sz w:val="18"/>
              </w:rPr>
              <w:t>464.29</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Century Gothic" w:hAnsi="Century Gothic" w:cs="Century Gothic" w:eastAsia="Century Gothic" w:hint="default"/>
                <w:sz w:val="18"/>
                <w:szCs w:val="18"/>
              </w:rPr>
            </w:pPr>
            <w:r>
              <w:rPr>
                <w:rFonts w:ascii="Century Gothic"/>
                <w:sz w:val="18"/>
              </w:rPr>
              <w:t>-8.08</w:t>
            </w:r>
          </w:p>
        </w:tc>
        <w:tc>
          <w:tcPr>
            <w:tcW w:w="2039" w:type="dxa"/>
            <w:gridSpan w:val="2"/>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174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1009"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2039" w:type="dxa"/>
            <w:gridSpan w:val="2"/>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174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深圳华立南方电子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6,859.43</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2,888.82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3,970.61</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8,004.41</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1,058.89</w:t>
            </w:r>
          </w:p>
        </w:tc>
        <w:tc>
          <w:tcPr>
            <w:tcW w:w="2039"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left="533" w:right="0"/>
              <w:jc w:val="left"/>
              <w:rPr>
                <w:rFonts w:ascii="Century Gothic" w:hAnsi="Century Gothic" w:cs="Century Gothic" w:eastAsia="Century Gothic" w:hint="default"/>
                <w:sz w:val="18"/>
                <w:szCs w:val="18"/>
              </w:rPr>
            </w:pPr>
            <w:r>
              <w:rPr>
                <w:rFonts w:ascii="Century Gothic"/>
                <w:sz w:val="18"/>
              </w:rPr>
              <w:t>74885282-8</w:t>
            </w:r>
          </w:p>
        </w:tc>
      </w:tr>
      <w:tr>
        <w:trPr>
          <w:trHeight w:val="491" w:hRule="exact"/>
        </w:trPr>
        <w:tc>
          <w:tcPr>
            <w:tcW w:w="1744"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淮北万华仪表有限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2,499.26</w:t>
            </w:r>
          </w:p>
        </w:tc>
        <w:tc>
          <w:tcPr>
            <w:tcW w:w="9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2,092.40</w:t>
            </w:r>
          </w:p>
        </w:tc>
        <w:tc>
          <w:tcPr>
            <w:tcW w:w="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406.86</w:t>
            </w:r>
          </w:p>
        </w:tc>
        <w:tc>
          <w:tcPr>
            <w:tcW w:w="1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2,844.29</w:t>
            </w:r>
          </w:p>
        </w:tc>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44.66</w:t>
            </w:r>
          </w:p>
        </w:tc>
        <w:tc>
          <w:tcPr>
            <w:tcW w:w="2039"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125"/>
              <w:ind w:left="527" w:right="0"/>
              <w:jc w:val="left"/>
              <w:rPr>
                <w:rFonts w:ascii="Century Gothic" w:hAnsi="Century Gothic" w:cs="Century Gothic" w:eastAsia="Century Gothic" w:hint="default"/>
                <w:sz w:val="18"/>
                <w:szCs w:val="18"/>
              </w:rPr>
            </w:pPr>
            <w:r>
              <w:rPr>
                <w:rFonts w:ascii="Century Gothic"/>
                <w:sz w:val="18"/>
              </w:rPr>
              <w:t>74486264-X</w:t>
            </w:r>
          </w:p>
        </w:tc>
      </w:tr>
    </w:tbl>
    <w:p>
      <w:pPr>
        <w:pStyle w:val="Heading4"/>
        <w:tabs>
          <w:tab w:pos="1413" w:val="left" w:leader="none"/>
        </w:tabs>
        <w:spacing w:line="240" w:lineRule="auto" w:before="86"/>
        <w:ind w:right="0"/>
        <w:jc w:val="left"/>
        <w:rPr>
          <w:rFonts w:ascii="宋体" w:hAnsi="宋体" w:cs="宋体" w:eastAsia="宋体" w:hint="default"/>
          <w:b w:val="0"/>
          <w:bCs w:val="0"/>
        </w:rPr>
      </w:pPr>
      <w:r>
        <w:rPr>
          <w:rFonts w:ascii="宋体" w:hAnsi="宋体" w:cs="宋体" w:eastAsia="宋体" w:hint="default"/>
          <w:w w:val="95"/>
        </w:rPr>
        <w:t>（八）</w:t>
        <w:tab/>
      </w:r>
      <w:r>
        <w:rPr>
          <w:rFonts w:ascii="宋体" w:hAnsi="宋体" w:cs="宋体" w:eastAsia="宋体" w:hint="default"/>
        </w:rPr>
        <w:t>长期股权投资</w:t>
      </w:r>
      <w:r>
        <w:rPr>
          <w:rFonts w:ascii="宋体" w:hAnsi="宋体" w:cs="宋体" w:eastAsia="宋体" w:hint="default"/>
          <w:b w:val="0"/>
          <w:bCs w:val="0"/>
        </w:rPr>
      </w:r>
    </w:p>
    <w:p>
      <w:pPr>
        <w:pStyle w:val="BodyText"/>
        <w:spacing w:line="240" w:lineRule="auto" w:before="134"/>
        <w:ind w:left="558" w:right="0"/>
        <w:jc w:val="left"/>
      </w:pPr>
      <w:r>
        <w:rPr/>
        <w:t>（</w:t>
      </w:r>
      <w:r>
        <w:rPr>
          <w:rFonts w:ascii="Century Gothic" w:hAnsi="Century Gothic" w:cs="Century Gothic" w:eastAsia="Century Gothic" w:hint="default"/>
        </w:rPr>
        <w:t>1</w:t>
      </w:r>
      <w:r>
        <w:rPr/>
        <w:t>）</w:t>
      </w:r>
      <w:r>
        <w:rPr>
          <w:spacing w:val="77"/>
        </w:rPr>
        <w:t> </w:t>
      </w:r>
      <w:r>
        <w:rPr/>
        <w:t>长期股权投资分项列示如下：</w:t>
      </w:r>
    </w:p>
    <w:p>
      <w:pPr>
        <w:spacing w:line="240" w:lineRule="auto" w:before="8"/>
        <w:rPr>
          <w:rFonts w:ascii="宋体" w:hAnsi="宋体" w:cs="宋体" w:eastAsia="宋体" w:hint="default"/>
          <w:sz w:val="11"/>
          <w:szCs w:val="11"/>
        </w:rPr>
      </w:pPr>
    </w:p>
    <w:tbl>
      <w:tblPr>
        <w:tblW w:w="0" w:type="auto"/>
        <w:jc w:val="left"/>
        <w:tblInd w:w="327" w:type="dxa"/>
        <w:tblLayout w:type="fixed"/>
        <w:tblCellMar>
          <w:top w:w="0" w:type="dxa"/>
          <w:left w:w="0" w:type="dxa"/>
          <w:bottom w:w="0" w:type="dxa"/>
          <w:right w:w="0" w:type="dxa"/>
        </w:tblCellMar>
        <w:tblLook w:val="01E0"/>
      </w:tblPr>
      <w:tblGrid>
        <w:gridCol w:w="2260"/>
        <w:gridCol w:w="911"/>
        <w:gridCol w:w="1375"/>
        <w:gridCol w:w="1376"/>
        <w:gridCol w:w="1469"/>
        <w:gridCol w:w="1376"/>
      </w:tblGrid>
      <w:tr>
        <w:trPr>
          <w:trHeight w:val="568" w:hRule="exact"/>
        </w:trPr>
        <w:tc>
          <w:tcPr>
            <w:tcW w:w="226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61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911"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核算方</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法</w:t>
            </w:r>
          </w:p>
        </w:tc>
        <w:tc>
          <w:tcPr>
            <w:tcW w:w="137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初始投资成</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137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201" w:right="0"/>
              <w:jc w:val="left"/>
              <w:rPr>
                <w:rFonts w:ascii="宋体" w:hAnsi="宋体" w:cs="宋体" w:eastAsia="宋体" w:hint="default"/>
                <w:sz w:val="21"/>
                <w:szCs w:val="21"/>
              </w:rPr>
            </w:pPr>
            <w:r>
              <w:rPr>
                <w:rFonts w:ascii="宋体" w:hAnsi="宋体" w:cs="宋体" w:eastAsia="宋体" w:hint="default"/>
                <w:sz w:val="21"/>
                <w:szCs w:val="21"/>
              </w:rPr>
              <w:t>本年增减额</w:t>
            </w:r>
          </w:p>
        </w:tc>
        <w:tc>
          <w:tcPr>
            <w:tcW w:w="1376"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年末</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300"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10,000,000.00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Century Gothic" w:hAnsi="Century Gothic" w:cs="Century Gothic" w:eastAsia="Century Gothic" w:hint="default"/>
                <w:sz w:val="18"/>
                <w:szCs w:val="18"/>
              </w:rPr>
            </w:pPr>
            <w:r>
              <w:rPr>
                <w:rFonts w:ascii="Century Gothic"/>
                <w:spacing w:val="-1"/>
                <w:sz w:val="18"/>
              </w:rPr>
              <w:t>10,000,000.00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Century Gothic" w:hAnsi="Century Gothic" w:cs="Century Gothic" w:eastAsia="Century Gothic" w:hint="default"/>
                <w:sz w:val="18"/>
                <w:szCs w:val="18"/>
              </w:rPr>
            </w:pPr>
            <w:r>
              <w:rPr>
                <w:rFonts w:ascii="Century Gothic"/>
                <w:spacing w:val="-1"/>
                <w:sz w:val="18"/>
              </w:rPr>
              <w:t>-10,000,000.00</w:t>
            </w: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重庆三河华立商务有限公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Century Gothic" w:hAnsi="Century Gothic" w:cs="Century Gothic" w:eastAsia="Century Gothic" w:hint="default"/>
                <w:sz w:val="18"/>
                <w:szCs w:val="18"/>
              </w:rPr>
            </w:pPr>
            <w:r>
              <w:rPr>
                <w:rFonts w:ascii="Century Gothic"/>
                <w:spacing w:val="-1"/>
                <w:sz w:val="18"/>
              </w:rPr>
              <w:t>4,000,000.00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4,000,000.00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-4,000,000.00</w:t>
            </w:r>
            <w:r>
              <w:rPr>
                <w:rFonts w:ascii="Century Gothic"/>
                <w:sz w:val="18"/>
              </w:rPr>
            </w: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安挺医药有限公司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Century Gothic" w:hAnsi="Century Gothic" w:cs="Century Gothic" w:eastAsia="Century Gothic" w:hint="default"/>
                <w:sz w:val="18"/>
                <w:szCs w:val="18"/>
              </w:rPr>
            </w:pPr>
            <w:r>
              <w:rPr>
                <w:rFonts w:ascii="Century Gothic"/>
                <w:spacing w:val="-1"/>
                <w:sz w:val="18"/>
              </w:rPr>
              <w:t>808,320.00</w:t>
            </w:r>
            <w:r>
              <w:rPr>
                <w:rFonts w:ascii="Century Gothic"/>
                <w:sz w:val="18"/>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2,828,975.86</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Century Gothic" w:hAnsi="Century Gothic" w:cs="Century Gothic" w:eastAsia="Century Gothic" w:hint="default"/>
                <w:sz w:val="18"/>
                <w:szCs w:val="18"/>
              </w:rPr>
            </w:pPr>
            <w:r>
              <w:rPr>
                <w:rFonts w:ascii="Century Gothic"/>
                <w:spacing w:val="-1"/>
                <w:sz w:val="18"/>
              </w:rPr>
              <w:t>-1,264,220.41</w:t>
            </w:r>
            <w:r>
              <w:rPr>
                <w:rFonts w:ascii="Century Gothic"/>
                <w:sz w:val="18"/>
              </w:rPr>
            </w:r>
          </w:p>
        </w:tc>
        <w:tc>
          <w:tcPr>
            <w:tcW w:w="13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Century Gothic" w:hAnsi="Century Gothic" w:cs="Century Gothic" w:eastAsia="Century Gothic" w:hint="default"/>
                <w:sz w:val="18"/>
                <w:szCs w:val="18"/>
              </w:rPr>
            </w:pPr>
            <w:r>
              <w:rPr>
                <w:rFonts w:ascii="Century Gothic"/>
                <w:spacing w:val="-1"/>
                <w:sz w:val="18"/>
              </w:rPr>
              <w:t>1,564,755.45</w:t>
            </w:r>
          </w:p>
        </w:tc>
      </w:tr>
      <w:tr>
        <w:trPr>
          <w:trHeight w:val="299"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杭州翔升实业有限公司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Century Gothic" w:hAnsi="Century Gothic" w:cs="Century Gothic" w:eastAsia="Century Gothic" w:hint="default"/>
                <w:sz w:val="18"/>
                <w:szCs w:val="18"/>
              </w:rPr>
            </w:pPr>
            <w:r>
              <w:rPr>
                <w:rFonts w:ascii="Century Gothic"/>
                <w:spacing w:val="-1"/>
                <w:sz w:val="18"/>
              </w:rPr>
              <w:t>345,312.93</w:t>
            </w:r>
            <w:r>
              <w:rPr>
                <w:rFonts w:ascii="Century Gothic"/>
                <w:sz w:val="18"/>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345,312.93</w:t>
            </w:r>
            <w:r>
              <w:rPr>
                <w:rFonts w:ascii="Century Gothic"/>
                <w:sz w:val="18"/>
              </w:rPr>
            </w: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Century Gothic" w:hAnsi="Century Gothic" w:cs="Century Gothic" w:eastAsia="Century Gothic" w:hint="default"/>
                <w:sz w:val="18"/>
                <w:szCs w:val="18"/>
              </w:rPr>
            </w:pPr>
            <w:r>
              <w:rPr>
                <w:rFonts w:ascii="Century Gothic"/>
                <w:spacing w:val="-1"/>
                <w:sz w:val="18"/>
              </w:rPr>
              <w:t>345,312.93</w:t>
            </w:r>
            <w:r>
              <w:rPr>
                <w:rFonts w:ascii="Century Gothic"/>
                <w:sz w:val="18"/>
              </w:rPr>
            </w:r>
          </w:p>
        </w:tc>
      </w:tr>
      <w:tr>
        <w:trPr>
          <w:trHeight w:val="484"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浙江振兴仪器仪表责任有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Century Gothic" w:hAnsi="Century Gothic" w:cs="Century Gothic" w:eastAsia="Century Gothic" w:hint="default"/>
                <w:sz w:val="18"/>
                <w:szCs w:val="18"/>
              </w:rPr>
            </w:pPr>
            <w:r>
              <w:rPr>
                <w:rFonts w:ascii="Century Gothic"/>
                <w:spacing w:val="-1"/>
                <w:sz w:val="18"/>
              </w:rPr>
              <w:t>100,000.00</w:t>
            </w:r>
            <w:r>
              <w:rPr>
                <w:rFonts w:ascii="Century Gothic"/>
                <w:sz w:val="18"/>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100,000.00</w:t>
            </w:r>
            <w:r>
              <w:rPr>
                <w:rFonts w:ascii="Century Gothic"/>
                <w:sz w:val="18"/>
              </w:rPr>
            </w: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6"/>
              <w:jc w:val="right"/>
              <w:rPr>
                <w:rFonts w:ascii="Century Gothic" w:hAnsi="Century Gothic" w:cs="Century Gothic" w:eastAsia="Century Gothic" w:hint="default"/>
                <w:sz w:val="18"/>
                <w:szCs w:val="18"/>
              </w:rPr>
            </w:pPr>
            <w:r>
              <w:rPr>
                <w:rFonts w:ascii="Century Gothic"/>
                <w:spacing w:val="-1"/>
                <w:sz w:val="18"/>
              </w:rPr>
              <w:t>100,000.00</w:t>
            </w:r>
            <w:r>
              <w:rPr>
                <w:rFonts w:ascii="Century Gothic"/>
                <w:sz w:val="18"/>
              </w:rPr>
            </w:r>
          </w:p>
        </w:tc>
      </w:tr>
      <w:tr>
        <w:trPr>
          <w:trHeight w:val="490" w:hRule="exact"/>
        </w:trPr>
        <w:tc>
          <w:tcPr>
            <w:tcW w:w="2260"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深圳华立南方电子技术有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19,288,723.22</w:t>
            </w: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22,202,747.74</w:t>
            </w:r>
          </w:p>
        </w:tc>
        <w:tc>
          <w:tcPr>
            <w:tcW w:w="14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9"/>
              <w:jc w:val="right"/>
              <w:rPr>
                <w:rFonts w:ascii="Century Gothic" w:hAnsi="Century Gothic" w:cs="Century Gothic" w:eastAsia="Century Gothic" w:hint="default"/>
                <w:sz w:val="18"/>
                <w:szCs w:val="18"/>
              </w:rPr>
            </w:pPr>
            <w:r>
              <w:rPr>
                <w:rFonts w:ascii="Century Gothic"/>
                <w:spacing w:val="-1"/>
                <w:sz w:val="18"/>
              </w:rPr>
              <w:t>-105,616.25</w:t>
            </w:r>
            <w:r>
              <w:rPr>
                <w:rFonts w:ascii="Century Gothic"/>
                <w:sz w:val="18"/>
              </w:rPr>
            </w:r>
          </w:p>
        </w:tc>
        <w:tc>
          <w:tcPr>
            <w:tcW w:w="13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5"/>
              <w:ind w:right="107"/>
              <w:jc w:val="right"/>
              <w:rPr>
                <w:rFonts w:ascii="Century Gothic" w:hAnsi="Century Gothic" w:cs="Century Gothic" w:eastAsia="Century Gothic" w:hint="default"/>
                <w:sz w:val="18"/>
                <w:szCs w:val="18"/>
              </w:rPr>
            </w:pPr>
            <w:r>
              <w:rPr>
                <w:rFonts w:ascii="Century Gothic"/>
                <w:spacing w:val="-1"/>
                <w:sz w:val="18"/>
              </w:rPr>
              <w:t>22,097,131.49</w:t>
            </w:r>
          </w:p>
        </w:tc>
      </w:tr>
    </w:tbl>
    <w:p>
      <w:pPr>
        <w:spacing w:line="240" w:lineRule="auto" w:before="1"/>
        <w:rPr>
          <w:rFonts w:ascii="宋体" w:hAnsi="宋体" w:cs="宋体" w:eastAsia="宋体" w:hint="default"/>
          <w:sz w:val="27"/>
          <w:szCs w:val="27"/>
        </w:rPr>
      </w:pPr>
    </w:p>
    <w:p>
      <w:pPr>
        <w:spacing w:before="76"/>
        <w:ind w:left="4577" w:right="4555" w:firstLine="0"/>
        <w:jc w:val="center"/>
        <w:rPr>
          <w:rFonts w:ascii="Times New Roman" w:hAnsi="Times New Roman" w:cs="Times New Roman" w:eastAsia="Times New Roman" w:hint="default"/>
          <w:sz w:val="18"/>
          <w:szCs w:val="18"/>
        </w:rPr>
      </w:pPr>
      <w:r>
        <w:rPr>
          <w:rFonts w:ascii="Times New Roman"/>
          <w:sz w:val="18"/>
        </w:rPr>
        <w:t>73</w:t>
      </w:r>
    </w:p>
    <w:p>
      <w:pPr>
        <w:spacing w:after="0"/>
        <w:jc w:val="center"/>
        <w:rPr>
          <w:rFonts w:ascii="Times New Roman" w:hAnsi="Times New Roman" w:cs="Times New Roman" w:eastAsia="Times New Roman" w:hint="default"/>
          <w:sz w:val="18"/>
          <w:szCs w:val="18"/>
        </w:rPr>
        <w:sectPr>
          <w:pgSz w:w="11910" w:h="16840"/>
          <w:pgMar w:top="780" w:bottom="280" w:left="1280" w:right="11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5200"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327" w:type="dxa"/>
        <w:tblLayout w:type="fixed"/>
        <w:tblCellMar>
          <w:top w:w="0" w:type="dxa"/>
          <w:left w:w="0" w:type="dxa"/>
          <w:bottom w:w="0" w:type="dxa"/>
          <w:right w:w="0" w:type="dxa"/>
        </w:tblCellMar>
        <w:tblLook w:val="01E0"/>
      </w:tblPr>
      <w:tblGrid>
        <w:gridCol w:w="2260"/>
        <w:gridCol w:w="911"/>
        <w:gridCol w:w="1375"/>
        <w:gridCol w:w="1376"/>
        <w:gridCol w:w="1469"/>
        <w:gridCol w:w="1376"/>
      </w:tblGrid>
      <w:tr>
        <w:trPr>
          <w:trHeight w:val="490" w:hRule="exact"/>
        </w:trPr>
        <w:tc>
          <w:tcPr>
            <w:tcW w:w="2260"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淮北万华仪表有限责任公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Century Gothic" w:hAnsi="Century Gothic" w:cs="Century Gothic" w:eastAsia="Century Gothic" w:hint="default"/>
                <w:sz w:val="18"/>
                <w:szCs w:val="18"/>
              </w:rPr>
            </w:pPr>
            <w:r>
              <w:rPr>
                <w:rFonts w:ascii="Century Gothic"/>
                <w:spacing w:val="-1"/>
                <w:sz w:val="18"/>
              </w:rPr>
              <w:t>570,000.00</w:t>
            </w:r>
            <w:r>
              <w:rPr>
                <w:rFonts w:ascii="Century Gothic"/>
                <w:sz w:val="18"/>
              </w:rPr>
            </w:r>
          </w:p>
        </w:tc>
        <w:tc>
          <w:tcPr>
            <w:tcW w:w="13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824,266.03</w:t>
            </w:r>
            <w:r>
              <w:rPr>
                <w:rFonts w:ascii="Century Gothic"/>
                <w:sz w:val="18"/>
              </w:rPr>
            </w:r>
          </w:p>
        </w:tc>
        <w:tc>
          <w:tcPr>
            <w:tcW w:w="146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111,648.96</w:t>
            </w:r>
            <w:r>
              <w:rPr>
                <w:rFonts w:ascii="Century Gothic"/>
                <w:sz w:val="18"/>
              </w:rPr>
            </w:r>
          </w:p>
        </w:tc>
        <w:tc>
          <w:tcPr>
            <w:tcW w:w="137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5"/>
              <w:ind w:right="106"/>
              <w:jc w:val="right"/>
              <w:rPr>
                <w:rFonts w:ascii="Century Gothic" w:hAnsi="Century Gothic" w:cs="Century Gothic" w:eastAsia="Century Gothic" w:hint="default"/>
                <w:sz w:val="18"/>
                <w:szCs w:val="18"/>
              </w:rPr>
            </w:pPr>
            <w:r>
              <w:rPr>
                <w:rFonts w:ascii="Century Gothic"/>
                <w:spacing w:val="-1"/>
                <w:sz w:val="18"/>
              </w:rPr>
              <w:t>935,914.99</w:t>
            </w:r>
            <w:r>
              <w:rPr>
                <w:rFonts w:ascii="Century Gothic"/>
                <w:sz w:val="18"/>
              </w:rPr>
            </w:r>
          </w:p>
        </w:tc>
      </w:tr>
      <w:tr>
        <w:trPr>
          <w:trHeight w:val="482"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浙江华立电网控制系统有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Century Gothic" w:hAnsi="Century Gothic" w:cs="Century Gothic" w:eastAsia="Century Gothic" w:hint="default"/>
                <w:sz w:val="18"/>
                <w:szCs w:val="18"/>
              </w:rPr>
            </w:pPr>
            <w:r>
              <w:rPr>
                <w:rFonts w:ascii="Century Gothic"/>
                <w:spacing w:val="-1"/>
                <w:sz w:val="18"/>
              </w:rPr>
              <w:t>1,800,000.00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1,800,000.00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-1,800,000.00</w:t>
            </w:r>
            <w:r>
              <w:rPr>
                <w:rFonts w:ascii="Century Gothic"/>
                <w:sz w:val="18"/>
              </w:rPr>
            </w: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484"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浙江华立国际发展有限公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Century Gothic" w:hAnsi="Century Gothic" w:cs="Century Gothic" w:eastAsia="Century Gothic" w:hint="default"/>
                <w:sz w:val="18"/>
                <w:szCs w:val="18"/>
              </w:rPr>
            </w:pPr>
            <w:r>
              <w:rPr>
                <w:rFonts w:ascii="Century Gothic"/>
                <w:spacing w:val="-1"/>
                <w:sz w:val="18"/>
              </w:rPr>
              <w:t>3,340,572.28</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3,340,572.28</w:t>
            </w: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6"/>
              <w:jc w:val="right"/>
              <w:rPr>
                <w:rFonts w:ascii="Century Gothic" w:hAnsi="Century Gothic" w:cs="Century Gothic" w:eastAsia="Century Gothic" w:hint="default"/>
                <w:sz w:val="18"/>
                <w:szCs w:val="18"/>
              </w:rPr>
            </w:pPr>
            <w:r>
              <w:rPr>
                <w:rFonts w:ascii="Century Gothic"/>
                <w:spacing w:val="-1"/>
                <w:sz w:val="18"/>
              </w:rPr>
              <w:t>3,340,572.28</w:t>
            </w:r>
          </w:p>
        </w:tc>
      </w:tr>
      <w:tr>
        <w:trPr>
          <w:trHeight w:val="482"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乌中合资电子仪表有限公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Century Gothic" w:hAnsi="Century Gothic" w:cs="Century Gothic" w:eastAsia="Century Gothic" w:hint="default"/>
                <w:sz w:val="18"/>
                <w:szCs w:val="18"/>
              </w:rPr>
            </w:pPr>
            <w:r>
              <w:rPr>
                <w:rFonts w:ascii="Century Gothic"/>
                <w:spacing w:val="-1"/>
                <w:sz w:val="18"/>
              </w:rPr>
              <w:t>682,000.00</w:t>
            </w:r>
            <w:r>
              <w:rPr>
                <w:rFonts w:ascii="Century Gothic"/>
                <w:sz w:val="18"/>
              </w:rPr>
            </w: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682,000.00</w:t>
            </w:r>
            <w:r>
              <w:rPr>
                <w:rFonts w:ascii="Century Gothic"/>
                <w:sz w:val="18"/>
              </w:rPr>
            </w:r>
          </w:p>
        </w:tc>
        <w:tc>
          <w:tcPr>
            <w:tcW w:w="13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6"/>
              <w:jc w:val="right"/>
              <w:rPr>
                <w:rFonts w:ascii="Century Gothic" w:hAnsi="Century Gothic" w:cs="Century Gothic" w:eastAsia="Century Gothic" w:hint="default"/>
                <w:sz w:val="18"/>
                <w:szCs w:val="18"/>
              </w:rPr>
            </w:pPr>
            <w:r>
              <w:rPr>
                <w:rFonts w:ascii="Century Gothic"/>
                <w:spacing w:val="-1"/>
                <w:sz w:val="18"/>
              </w:rPr>
              <w:t>682,000.00</w:t>
            </w:r>
            <w:r>
              <w:rPr>
                <w:rFonts w:ascii="Century Gothic"/>
                <w:sz w:val="18"/>
              </w:rPr>
            </w:r>
          </w:p>
        </w:tc>
      </w:tr>
      <w:tr>
        <w:trPr>
          <w:trHeight w:val="300"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南充华立</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Century Gothic" w:hAnsi="Century Gothic" w:cs="Century Gothic" w:eastAsia="Century Gothic" w:hint="default"/>
                <w:sz w:val="18"/>
                <w:szCs w:val="18"/>
              </w:rPr>
            </w:pPr>
            <w:r>
              <w:rPr>
                <w:rFonts w:ascii="Century Gothic"/>
                <w:spacing w:val="-1"/>
                <w:sz w:val="18"/>
              </w:rPr>
              <w:t>825,123.11</w:t>
            </w:r>
            <w:r>
              <w:rPr>
                <w:rFonts w:ascii="Century Gothic"/>
                <w:sz w:val="18"/>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825,123.11</w:t>
            </w:r>
            <w:r>
              <w:rPr>
                <w:rFonts w:ascii="Century Gothic"/>
                <w:sz w:val="18"/>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-825,123.11</w:t>
            </w:r>
            <w:r>
              <w:rPr>
                <w:rFonts w:ascii="Century Gothic"/>
                <w:sz w:val="18"/>
              </w:rPr>
            </w: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杭州华立太商软件系统有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Century Gothic" w:hAnsi="Century Gothic" w:cs="Century Gothic" w:eastAsia="Century Gothic" w:hint="default"/>
                <w:sz w:val="18"/>
                <w:szCs w:val="18"/>
              </w:rPr>
            </w:pPr>
            <w:r>
              <w:rPr>
                <w:rFonts w:ascii="Century Gothic"/>
                <w:spacing w:val="-1"/>
                <w:sz w:val="18"/>
              </w:rPr>
              <w:t>2,027,181.34</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484"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西双版汉淋业实业有限公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7"/>
              <w:jc w:val="right"/>
              <w:rPr>
                <w:rFonts w:ascii="Century Gothic" w:hAnsi="Century Gothic" w:cs="Century Gothic" w:eastAsia="Century Gothic" w:hint="default"/>
                <w:sz w:val="18"/>
                <w:szCs w:val="18"/>
              </w:rPr>
            </w:pPr>
            <w:r>
              <w:rPr>
                <w:rFonts w:ascii="Century Gothic"/>
                <w:spacing w:val="-1"/>
                <w:sz w:val="18"/>
              </w:rPr>
              <w:t>500,000.00</w:t>
            </w:r>
            <w:r>
              <w:rPr>
                <w:rFonts w:ascii="Century Gothic"/>
                <w:sz w:val="18"/>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500,000.00</w:t>
            </w:r>
            <w:r>
              <w:rPr>
                <w:rFonts w:ascii="Century Gothic"/>
                <w:sz w:val="18"/>
              </w:rPr>
            </w: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6"/>
              <w:jc w:val="right"/>
              <w:rPr>
                <w:rFonts w:ascii="Century Gothic" w:hAnsi="Century Gothic" w:cs="Century Gothic" w:eastAsia="Century Gothic" w:hint="default"/>
                <w:sz w:val="18"/>
                <w:szCs w:val="18"/>
              </w:rPr>
            </w:pPr>
            <w:r>
              <w:rPr>
                <w:rFonts w:ascii="Century Gothic"/>
                <w:spacing w:val="-1"/>
                <w:sz w:val="18"/>
              </w:rPr>
              <w:t>500,000.00</w:t>
            </w:r>
            <w:r>
              <w:rPr>
                <w:rFonts w:ascii="Century Gothic"/>
                <w:sz w:val="18"/>
              </w:rPr>
            </w:r>
          </w:p>
        </w:tc>
      </w:tr>
      <w:tr>
        <w:trPr>
          <w:trHeight w:val="299"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华立美联</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Century Gothic" w:hAnsi="Century Gothic" w:cs="Century Gothic" w:eastAsia="Century Gothic" w:hint="default"/>
                <w:sz w:val="18"/>
                <w:szCs w:val="18"/>
              </w:rPr>
            </w:pPr>
            <w:r>
              <w:rPr>
                <w:rFonts w:ascii="Century Gothic"/>
                <w:spacing w:val="-1"/>
                <w:sz w:val="18"/>
              </w:rPr>
              <w:t>2,393,836.41</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2,393,836.41</w:t>
            </w: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Century Gothic" w:hAnsi="Century Gothic" w:cs="Century Gothic" w:eastAsia="Century Gothic" w:hint="default"/>
                <w:sz w:val="18"/>
                <w:szCs w:val="18"/>
              </w:rPr>
            </w:pPr>
            <w:r>
              <w:rPr>
                <w:rFonts w:ascii="Century Gothic"/>
                <w:spacing w:val="-1"/>
                <w:sz w:val="18"/>
              </w:rPr>
              <w:t>2,393,836.41</w:t>
            </w:r>
          </w:p>
        </w:tc>
      </w:tr>
      <w:tr>
        <w:trPr>
          <w:trHeight w:val="299"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法国华立子公司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Century Gothic" w:hAnsi="Century Gothic" w:cs="Century Gothic" w:eastAsia="Century Gothic" w:hint="default"/>
                <w:sz w:val="18"/>
                <w:szCs w:val="18"/>
              </w:rPr>
            </w:pPr>
            <w:r>
              <w:rPr>
                <w:rFonts w:ascii="Century Gothic"/>
                <w:spacing w:val="-1"/>
                <w:sz w:val="18"/>
              </w:rPr>
              <w:t>82,728.49</w:t>
            </w:r>
            <w:r>
              <w:rPr>
                <w:rFonts w:ascii="Century Gothic"/>
                <w:sz w:val="18"/>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82,728.49</w:t>
            </w:r>
            <w:r>
              <w:rPr>
                <w:rFonts w:ascii="Century Gothic"/>
                <w:sz w:val="18"/>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Century Gothic" w:hAnsi="Century Gothic" w:cs="Century Gothic" w:eastAsia="Century Gothic" w:hint="default"/>
                <w:sz w:val="18"/>
                <w:szCs w:val="18"/>
              </w:rPr>
            </w:pPr>
            <w:r>
              <w:rPr>
                <w:rFonts w:ascii="Century Gothic"/>
                <w:spacing w:val="-1"/>
                <w:sz w:val="18"/>
              </w:rPr>
              <w:t>-82,728.49</w:t>
            </w: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1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7"/>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46,763,797.78</w:t>
            </w:r>
            <w:r>
              <w:rPr>
                <w:rFonts w:ascii="Century Gothic"/>
                <w:b/>
                <w:w w:val="95"/>
                <w:sz w:val="18"/>
              </w:rPr>
            </w:r>
            <w:r>
              <w:rPr>
                <w:rFonts w:ascii="Century Gothic"/>
                <w:sz w:val="18"/>
              </w:rPr>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49,243,562.85</w:t>
            </w:r>
            <w:r>
              <w:rPr>
                <w:rFonts w:ascii="Century Gothic"/>
                <w:b/>
                <w:w w:val="95"/>
                <w:sz w:val="18"/>
              </w:rPr>
            </w:r>
            <w:r>
              <w:rPr>
                <w:rFonts w:ascii="Century Gothic"/>
                <w:sz w:val="18"/>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-17,284,039.30</w:t>
            </w:r>
            <w:r>
              <w:rPr>
                <w:rFonts w:ascii="Century Gothic"/>
                <w:b/>
                <w:w w:val="95"/>
                <w:sz w:val="18"/>
              </w:rPr>
            </w:r>
            <w:r>
              <w:rPr>
                <w:rFonts w:ascii="Century Gothic"/>
                <w:sz w:val="18"/>
              </w:rPr>
            </w:r>
          </w:p>
        </w:tc>
        <w:tc>
          <w:tcPr>
            <w:tcW w:w="13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31,959,523.55</w:t>
            </w:r>
            <w:r>
              <w:rPr>
                <w:rFonts w:ascii="Century Gothic"/>
                <w:b/>
                <w:w w:val="95"/>
                <w:sz w:val="18"/>
              </w:rPr>
            </w:r>
            <w:r>
              <w:rPr>
                <w:rFonts w:ascii="Century Gothic"/>
                <w:sz w:val="18"/>
              </w:rPr>
            </w:r>
          </w:p>
        </w:tc>
      </w:tr>
      <w:tr>
        <w:trPr>
          <w:trHeight w:val="562"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61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firstLine="31"/>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91" w:lineRule="exact"/>
              <w:ind w:left="100" w:right="0"/>
              <w:jc w:val="left"/>
              <w:rPr>
                <w:rFonts w:ascii="宋体" w:hAnsi="宋体" w:cs="宋体" w:eastAsia="宋体" w:hint="default"/>
                <w:sz w:val="21"/>
                <w:szCs w:val="21"/>
              </w:rPr>
            </w:pPr>
            <w:r>
              <w:rPr>
                <w:rFonts w:ascii="宋体" w:hAnsi="宋体" w:cs="宋体" w:eastAsia="宋体" w:hint="default"/>
                <w:sz w:val="21"/>
                <w:szCs w:val="21"/>
              </w:rPr>
              <w:t>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表决权比例</w:t>
            </w:r>
          </w:p>
          <w:p>
            <w:pPr>
              <w:pStyle w:val="TableParagraph"/>
              <w:spacing w:line="29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本年计提减</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值准备金额</w:t>
            </w:r>
          </w:p>
        </w:tc>
        <w:tc>
          <w:tcPr>
            <w:tcW w:w="1376"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本年现金红</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利</w:t>
            </w:r>
          </w:p>
        </w:tc>
      </w:tr>
      <w:tr>
        <w:trPr>
          <w:trHeight w:val="299"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Century Gothic" w:hAnsi="Century Gothic" w:cs="Century Gothic" w:eastAsia="Century Gothic" w:hint="default"/>
                <w:sz w:val="18"/>
                <w:szCs w:val="18"/>
              </w:rPr>
            </w:pPr>
            <w:r>
              <w:rPr>
                <w:rFonts w:ascii="Century Gothic"/>
                <w:sz w:val="18"/>
              </w:rPr>
              <w:t>60.00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 w:right="0"/>
              <w:jc w:val="center"/>
              <w:rPr>
                <w:rFonts w:ascii="Century Gothic" w:hAnsi="Century Gothic" w:cs="Century Gothic" w:eastAsia="Century Gothic" w:hint="default"/>
                <w:sz w:val="18"/>
                <w:szCs w:val="18"/>
              </w:rPr>
            </w:pPr>
            <w:r>
              <w:rPr>
                <w:rFonts w:ascii="Century Gothic"/>
                <w:sz w:val="18"/>
              </w:rPr>
              <w:t>60.00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重庆三河华立商务有限公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40.00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40.00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安挺医药有限公司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Century Gothic" w:hAnsi="Century Gothic" w:cs="Century Gothic" w:eastAsia="Century Gothic" w:hint="default"/>
                <w:sz w:val="18"/>
                <w:szCs w:val="18"/>
              </w:rPr>
            </w:pPr>
            <w:r>
              <w:rPr>
                <w:rFonts w:ascii="Century Gothic"/>
                <w:sz w:val="18"/>
              </w:rPr>
              <w:t>50.00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Century Gothic" w:hAnsi="Century Gothic" w:cs="Century Gothic" w:eastAsia="Century Gothic" w:hint="default"/>
                <w:sz w:val="18"/>
                <w:szCs w:val="18"/>
              </w:rPr>
            </w:pPr>
            <w:r>
              <w:rPr>
                <w:rFonts w:ascii="Century Gothic"/>
                <w:sz w:val="18"/>
              </w:rPr>
              <w:t>50.00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Century Gothic" w:hAnsi="Century Gothic" w:cs="Century Gothic" w:eastAsia="Century Gothic" w:hint="default"/>
                <w:sz w:val="18"/>
                <w:szCs w:val="18"/>
              </w:rPr>
            </w:pPr>
            <w:r>
              <w:rPr>
                <w:rFonts w:ascii="Century Gothic"/>
                <w:spacing w:val="-1"/>
                <w:sz w:val="18"/>
              </w:rPr>
              <w:t>1,264,220.41</w:t>
            </w:r>
          </w:p>
        </w:tc>
      </w:tr>
      <w:tr>
        <w:trPr>
          <w:trHeight w:val="300"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杭州翔升实业有限公司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Century Gothic" w:hAnsi="Century Gothic" w:cs="Century Gothic" w:eastAsia="Century Gothic" w:hint="default"/>
                <w:sz w:val="18"/>
                <w:szCs w:val="18"/>
              </w:rPr>
            </w:pPr>
            <w:r>
              <w:rPr>
                <w:rFonts w:ascii="Century Gothic"/>
                <w:sz w:val="18"/>
              </w:rPr>
              <w:t>4.31</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center"/>
              <w:rPr>
                <w:rFonts w:ascii="Century Gothic" w:hAnsi="Century Gothic" w:cs="Century Gothic" w:eastAsia="Century Gothic" w:hint="default"/>
                <w:sz w:val="18"/>
                <w:szCs w:val="18"/>
              </w:rPr>
            </w:pPr>
            <w:r>
              <w:rPr>
                <w:rFonts w:ascii="Century Gothic"/>
                <w:sz w:val="18"/>
              </w:rPr>
              <w:t>4.31</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浙江振兴仪器仪表责任有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12.19</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12.19</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484"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深圳华立南方电子技术有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45.00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45.00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6"/>
              <w:jc w:val="right"/>
              <w:rPr>
                <w:rFonts w:ascii="Century Gothic" w:hAnsi="Century Gothic" w:cs="Century Gothic" w:eastAsia="Century Gothic" w:hint="default"/>
                <w:sz w:val="18"/>
                <w:szCs w:val="18"/>
              </w:rPr>
            </w:pPr>
            <w:r>
              <w:rPr>
                <w:rFonts w:ascii="Century Gothic"/>
                <w:spacing w:val="-1"/>
                <w:sz w:val="18"/>
              </w:rPr>
              <w:t>4,626,000.00</w:t>
            </w:r>
          </w:p>
        </w:tc>
      </w:tr>
      <w:tr>
        <w:trPr>
          <w:trHeight w:val="482"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淮北万华仪表有限责任公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25.00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25.00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484"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浙江华立电网控制系统有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12.00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12.00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浙江华立国际发展有限公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6.00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6.00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484"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乌中合资电子仪表有限公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20.00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20.00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南充华立</w:t>
            </w:r>
          </w:p>
        </w:tc>
        <w:tc>
          <w:tcPr>
            <w:tcW w:w="91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杭州华立太商软件系统有</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49.00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49.00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484"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4"/>
                <w:sz w:val="18"/>
                <w:szCs w:val="18"/>
              </w:rPr>
              <w:t>西双版汉淋业实业有限公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1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华立美联</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Century Gothic" w:hAnsi="Century Gothic" w:cs="Century Gothic" w:eastAsia="Century Gothic" w:hint="default"/>
                <w:sz w:val="18"/>
                <w:szCs w:val="18"/>
              </w:rPr>
            </w:pPr>
            <w:r>
              <w:rPr>
                <w:rFonts w:ascii="Century Gothic"/>
                <w:sz w:val="18"/>
              </w:rPr>
              <w:t>100.00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06" w:right="0"/>
              <w:jc w:val="left"/>
              <w:rPr>
                <w:rFonts w:ascii="Century Gothic" w:hAnsi="Century Gothic" w:cs="Century Gothic" w:eastAsia="Century Gothic" w:hint="default"/>
                <w:sz w:val="18"/>
                <w:szCs w:val="18"/>
              </w:rPr>
            </w:pPr>
            <w:r>
              <w:rPr>
                <w:rFonts w:ascii="Century Gothic"/>
                <w:sz w:val="18"/>
              </w:rPr>
              <w:t>100.00</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Century Gothic" w:hAnsi="Century Gothic" w:cs="Century Gothic" w:eastAsia="Century Gothic" w:hint="default"/>
                <w:sz w:val="18"/>
                <w:szCs w:val="18"/>
              </w:rPr>
            </w:pPr>
            <w:r>
              <w:rPr>
                <w:rFonts w:ascii="Century Gothic"/>
                <w:spacing w:val="-1"/>
                <w:sz w:val="18"/>
              </w:rPr>
              <w:t>2,393,836.41</w:t>
            </w: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法国华立子公司</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Century Gothic" w:hAnsi="Century Gothic" w:cs="Century Gothic" w:eastAsia="Century Gothic" w:hint="default"/>
                <w:sz w:val="18"/>
                <w:szCs w:val="18"/>
              </w:rPr>
            </w:pPr>
            <w:r>
              <w:rPr>
                <w:rFonts w:ascii="Century Gothic"/>
                <w:sz w:val="18"/>
              </w:rPr>
              <w:t>80.00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Century Gothic" w:hAnsi="Century Gothic" w:cs="Century Gothic" w:eastAsia="Century Gothic" w:hint="default"/>
                <w:sz w:val="18"/>
                <w:szCs w:val="18"/>
              </w:rPr>
            </w:pPr>
            <w:r>
              <w:rPr>
                <w:rFonts w:ascii="Century Gothic"/>
                <w:sz w:val="18"/>
              </w:rPr>
              <w:t>80.00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
        </w:tc>
      </w:tr>
      <w:tr>
        <w:trPr>
          <w:trHeight w:val="356" w:hRule="exact"/>
        </w:trPr>
        <w:tc>
          <w:tcPr>
            <w:tcW w:w="226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1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2,393,836.41</w:t>
            </w:r>
            <w:r>
              <w:rPr>
                <w:rFonts w:ascii="Century Gothic"/>
                <w:b/>
                <w:w w:val="95"/>
                <w:sz w:val="18"/>
              </w:rPr>
            </w:r>
            <w:r>
              <w:rPr>
                <w:rFonts w:ascii="Century Gothic"/>
                <w:sz w:val="18"/>
              </w:rPr>
            </w:r>
          </w:p>
        </w:tc>
        <w:tc>
          <w:tcPr>
            <w:tcW w:w="1469"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6"/>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5,890,220.41</w:t>
            </w:r>
            <w:r>
              <w:rPr>
                <w:rFonts w:ascii="Century Gothic"/>
                <w:b/>
                <w:w w:val="95"/>
                <w:sz w:val="18"/>
              </w:rPr>
            </w:r>
            <w:r>
              <w:rPr>
                <w:rFonts w:ascii="Century Gothic"/>
                <w:sz w:val="18"/>
              </w:rPr>
            </w:r>
          </w:p>
        </w:tc>
      </w:tr>
    </w:tbl>
    <w:p>
      <w:pPr>
        <w:pStyle w:val="BodyText"/>
        <w:spacing w:line="240" w:lineRule="auto" w:before="94"/>
        <w:ind w:left="558" w:right="0"/>
        <w:jc w:val="left"/>
      </w:pPr>
      <w:r>
        <w:rPr/>
        <w:t>（</w:t>
      </w:r>
      <w:r>
        <w:rPr>
          <w:rFonts w:ascii="Century Gothic" w:hAnsi="Century Gothic" w:cs="Century Gothic" w:eastAsia="Century Gothic" w:hint="default"/>
        </w:rPr>
        <w:t>2</w:t>
      </w:r>
      <w:r>
        <w:rPr/>
        <w:t>）报告期内无被投资企业向公司转移资金的能力受到限制的情况。</w:t>
      </w:r>
    </w:p>
    <w:p>
      <w:pPr>
        <w:pStyle w:val="Heading4"/>
        <w:tabs>
          <w:tab w:pos="1413" w:val="left" w:leader="none"/>
        </w:tabs>
        <w:spacing w:line="240" w:lineRule="auto" w:before="117"/>
        <w:ind w:right="0"/>
        <w:jc w:val="left"/>
        <w:rPr>
          <w:rFonts w:ascii="宋体" w:hAnsi="宋体" w:cs="宋体" w:eastAsia="宋体" w:hint="default"/>
          <w:b w:val="0"/>
          <w:bCs w:val="0"/>
        </w:rPr>
      </w:pPr>
      <w:r>
        <w:rPr>
          <w:rFonts w:ascii="宋体" w:hAnsi="宋体" w:cs="宋体" w:eastAsia="宋体" w:hint="default"/>
          <w:w w:val="95"/>
        </w:rPr>
        <w:t>（九）</w:t>
        <w:tab/>
      </w:r>
      <w:r>
        <w:rPr>
          <w:rFonts w:ascii="宋体" w:hAnsi="宋体" w:cs="宋体" w:eastAsia="宋体" w:hint="default"/>
        </w:rPr>
        <w:t>固定资产</w:t>
      </w:r>
      <w:r>
        <w:rPr>
          <w:rFonts w:ascii="宋体" w:hAnsi="宋体" w:cs="宋体" w:eastAsia="宋体" w:hint="default"/>
          <w:b w:val="0"/>
          <w:bCs w:val="0"/>
        </w:rPr>
      </w:r>
    </w:p>
    <w:p>
      <w:pPr>
        <w:pStyle w:val="BodyText"/>
        <w:spacing w:line="240" w:lineRule="auto" w:before="134"/>
        <w:ind w:left="558" w:right="0"/>
        <w:jc w:val="left"/>
      </w:pPr>
      <w:r>
        <w:rPr/>
        <w:t>（</w:t>
      </w:r>
      <w:r>
        <w:rPr>
          <w:rFonts w:ascii="Century Gothic" w:hAnsi="Century Gothic" w:cs="Century Gothic" w:eastAsia="Century Gothic" w:hint="default"/>
        </w:rPr>
        <w:t>1</w:t>
      </w:r>
      <w:r>
        <w:rPr/>
        <w:t>）固定资产及其累计折旧明细项目和增减变动如下：</w:t>
      </w:r>
    </w:p>
    <w:p>
      <w:pPr>
        <w:spacing w:line="240" w:lineRule="auto" w:before="9"/>
        <w:rPr>
          <w:rFonts w:ascii="宋体" w:hAnsi="宋体" w:cs="宋体" w:eastAsia="宋体" w:hint="default"/>
          <w:sz w:val="11"/>
          <w:szCs w:val="11"/>
        </w:rPr>
      </w:pPr>
    </w:p>
    <w:tbl>
      <w:tblPr>
        <w:tblW w:w="0" w:type="auto"/>
        <w:jc w:val="left"/>
        <w:tblInd w:w="281" w:type="dxa"/>
        <w:tblLayout w:type="fixed"/>
        <w:tblCellMar>
          <w:top w:w="0" w:type="dxa"/>
          <w:left w:w="0" w:type="dxa"/>
          <w:bottom w:w="0" w:type="dxa"/>
          <w:right w:w="0" w:type="dxa"/>
        </w:tblCellMar>
        <w:tblLook w:val="01E0"/>
      </w:tblPr>
      <w:tblGrid>
        <w:gridCol w:w="2348"/>
        <w:gridCol w:w="1686"/>
        <w:gridCol w:w="1570"/>
        <w:gridCol w:w="1568"/>
        <w:gridCol w:w="1686"/>
      </w:tblGrid>
      <w:tr>
        <w:trPr>
          <w:trHeight w:val="362" w:hRule="exact"/>
        </w:trPr>
        <w:tc>
          <w:tcPr>
            <w:tcW w:w="2348"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年初账面余额</w:t>
            </w:r>
          </w:p>
        </w:tc>
        <w:tc>
          <w:tcPr>
            <w:tcW w:w="157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本年增加额</w:t>
            </w:r>
          </w:p>
        </w:tc>
        <w:tc>
          <w:tcPr>
            <w:tcW w:w="1568"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本年减少额</w:t>
            </w:r>
          </w:p>
        </w:tc>
        <w:tc>
          <w:tcPr>
            <w:tcW w:w="1686"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一、固定资产原价合计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853,574,937.47</w:t>
            </w:r>
            <w:r>
              <w:rPr>
                <w:rFonts w:ascii="Century Gothic"/>
                <w:b/>
                <w:sz w:val="21"/>
              </w:rPr>
            </w:r>
            <w:r>
              <w:rPr>
                <w:rFonts w:ascii="Century Gothic"/>
                <w:sz w:val="21"/>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34,723,160.19</w:t>
            </w:r>
            <w:r>
              <w:rPr>
                <w:rFonts w:ascii="Century Gothic"/>
                <w:b/>
                <w:sz w:val="21"/>
              </w:rPr>
            </w:r>
            <w:r>
              <w:rPr>
                <w:rFonts w:ascii="Century Gothic"/>
                <w:sz w:val="21"/>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89,911,441.60</w:t>
            </w:r>
            <w:r>
              <w:rPr>
                <w:rFonts w:ascii="Century Gothic"/>
                <w:b/>
                <w:sz w:val="21"/>
              </w:rPr>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5"/>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798,386,656.06</w:t>
            </w:r>
            <w:r>
              <w:rPr>
                <w:rFonts w:ascii="Century Gothic"/>
                <w:b/>
                <w:sz w:val="21"/>
              </w:rPr>
            </w:r>
            <w:r>
              <w:rPr>
                <w:rFonts w:ascii="Century Gothic"/>
                <w:sz w:val="21"/>
              </w:rPr>
            </w:r>
          </w:p>
        </w:tc>
      </w:tr>
      <w:tr>
        <w:trPr>
          <w:trHeight w:val="363" w:hRule="exact"/>
        </w:trPr>
        <w:tc>
          <w:tcPr>
            <w:tcW w:w="2348"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、房屋建筑物</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left="15" w:right="0"/>
              <w:jc w:val="center"/>
              <w:rPr>
                <w:rFonts w:ascii="Century Gothic" w:hAnsi="Century Gothic" w:cs="Century Gothic" w:eastAsia="Century Gothic" w:hint="default"/>
                <w:sz w:val="21"/>
                <w:szCs w:val="21"/>
              </w:rPr>
            </w:pPr>
            <w:r>
              <w:rPr>
                <w:rFonts w:ascii="Century Gothic"/>
                <w:sz w:val="21"/>
              </w:rPr>
              <w:t>543,067,473.39</w:t>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left="13" w:right="0"/>
              <w:jc w:val="center"/>
              <w:rPr>
                <w:rFonts w:ascii="Century Gothic" w:hAnsi="Century Gothic" w:cs="Century Gothic" w:eastAsia="Century Gothic" w:hint="default"/>
                <w:sz w:val="21"/>
                <w:szCs w:val="21"/>
              </w:rPr>
            </w:pPr>
            <w:r>
              <w:rPr>
                <w:rFonts w:ascii="Century Gothic"/>
                <w:sz w:val="21"/>
              </w:rPr>
              <w:t>22,683,502.14</w:t>
            </w:r>
          </w:p>
        </w:tc>
        <w:tc>
          <w:tcPr>
            <w:tcW w:w="1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left="14" w:right="0"/>
              <w:jc w:val="center"/>
              <w:rPr>
                <w:rFonts w:ascii="Century Gothic" w:hAnsi="Century Gothic" w:cs="Century Gothic" w:eastAsia="Century Gothic" w:hint="default"/>
                <w:sz w:val="21"/>
                <w:szCs w:val="21"/>
              </w:rPr>
            </w:pPr>
            <w:r>
              <w:rPr>
                <w:rFonts w:ascii="Century Gothic"/>
                <w:sz w:val="21"/>
              </w:rPr>
              <w:t>23,299,168.87</w:t>
            </w:r>
          </w:p>
        </w:tc>
        <w:tc>
          <w:tcPr>
            <w:tcW w:w="1686"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left="7" w:right="0"/>
              <w:jc w:val="center"/>
              <w:rPr>
                <w:rFonts w:ascii="Century Gothic" w:hAnsi="Century Gothic" w:cs="Century Gothic" w:eastAsia="Century Gothic" w:hint="default"/>
                <w:sz w:val="21"/>
                <w:szCs w:val="21"/>
              </w:rPr>
            </w:pPr>
            <w:r>
              <w:rPr>
                <w:rFonts w:ascii="Century Gothic"/>
                <w:sz w:val="21"/>
              </w:rPr>
              <w:t>542,451,806.66</w:t>
            </w:r>
          </w:p>
        </w:tc>
      </w:tr>
    </w:tbl>
    <w:p>
      <w:pPr>
        <w:spacing w:line="240" w:lineRule="auto" w:before="5"/>
        <w:rPr>
          <w:rFonts w:ascii="宋体" w:hAnsi="宋体" w:cs="宋体" w:eastAsia="宋体" w:hint="default"/>
          <w:sz w:val="25"/>
          <w:szCs w:val="25"/>
        </w:rPr>
      </w:pPr>
    </w:p>
    <w:p>
      <w:pPr>
        <w:spacing w:before="76"/>
        <w:ind w:left="482" w:right="320" w:firstLine="0"/>
        <w:jc w:val="center"/>
        <w:rPr>
          <w:rFonts w:ascii="Times New Roman" w:hAnsi="Times New Roman" w:cs="Times New Roman" w:eastAsia="Times New Roman" w:hint="default"/>
          <w:sz w:val="18"/>
          <w:szCs w:val="18"/>
        </w:rPr>
      </w:pPr>
      <w:r>
        <w:rPr>
          <w:rFonts w:ascii="Times New Roman"/>
          <w:sz w:val="18"/>
        </w:rPr>
        <w:t>74</w:t>
      </w:r>
    </w:p>
    <w:p>
      <w:pPr>
        <w:spacing w:after="0"/>
        <w:jc w:val="center"/>
        <w:rPr>
          <w:rFonts w:ascii="Times New Roman" w:hAnsi="Times New Roman" w:cs="Times New Roman" w:eastAsia="Times New Roman" w:hint="default"/>
          <w:sz w:val="18"/>
          <w:szCs w:val="18"/>
        </w:rPr>
        <w:sectPr>
          <w:pgSz w:w="11910" w:h="16840"/>
          <w:pgMar w:top="780" w:bottom="280" w:left="1160" w:right="144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70.860001pt;margin-top:-9.926001pt;width:84.0pt;height:23.94pt;mso-position-horizontal-relative:page;mso-position-vertical-relative:paragraph;z-index:5248"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81" w:type="dxa"/>
        <w:tblLayout w:type="fixed"/>
        <w:tblCellMar>
          <w:top w:w="0" w:type="dxa"/>
          <w:left w:w="0" w:type="dxa"/>
          <w:bottom w:w="0" w:type="dxa"/>
          <w:right w:w="0" w:type="dxa"/>
        </w:tblCellMar>
        <w:tblLook w:val="01E0"/>
      </w:tblPr>
      <w:tblGrid>
        <w:gridCol w:w="2348"/>
        <w:gridCol w:w="1686"/>
        <w:gridCol w:w="1570"/>
        <w:gridCol w:w="1568"/>
        <w:gridCol w:w="1686"/>
      </w:tblGrid>
      <w:tr>
        <w:trPr>
          <w:trHeight w:val="362" w:hRule="exact"/>
        </w:trPr>
        <w:tc>
          <w:tcPr>
            <w:tcW w:w="2348"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0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7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51"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568"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本年减少额</w:t>
            </w:r>
          </w:p>
        </w:tc>
        <w:tc>
          <w:tcPr>
            <w:tcW w:w="1686"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20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、通用设备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91,239,235.54</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1"/>
                <w:sz w:val="21"/>
              </w:rPr>
              <w:t>2,116,195.88</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center"/>
              <w:rPr>
                <w:rFonts w:ascii="Century Gothic" w:hAnsi="Century Gothic" w:cs="Century Gothic" w:eastAsia="Century Gothic" w:hint="default"/>
                <w:sz w:val="21"/>
                <w:szCs w:val="21"/>
              </w:rPr>
            </w:pPr>
            <w:r>
              <w:rPr>
                <w:rFonts w:ascii="Century Gothic"/>
                <w:sz w:val="21"/>
              </w:rPr>
              <w:t>39,684,804.82</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53,670,626.60</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宋体" w:hAnsi="宋体" w:cs="宋体" w:eastAsia="宋体" w:hint="default"/>
                <w:sz w:val="21"/>
                <w:szCs w:val="21"/>
              </w:rPr>
              <w:t>、专用设备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179,565,942.18</w:t>
            </w:r>
            <w:r>
              <w:rPr>
                <w:rFonts w:ascii="Century Gothic"/>
                <w:sz w:val="21"/>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1"/>
                <w:sz w:val="21"/>
              </w:rPr>
              <w:t>8,210,107.82</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9" w:right="0"/>
              <w:jc w:val="center"/>
              <w:rPr>
                <w:rFonts w:ascii="Century Gothic" w:hAnsi="Century Gothic" w:cs="Century Gothic" w:eastAsia="Century Gothic" w:hint="default"/>
                <w:sz w:val="21"/>
                <w:szCs w:val="21"/>
              </w:rPr>
            </w:pPr>
            <w:r>
              <w:rPr>
                <w:rFonts w:ascii="Century Gothic"/>
                <w:sz w:val="21"/>
              </w:rPr>
              <w:t>7,525,649.14</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180,250,400.86</w:t>
            </w:r>
            <w:r>
              <w:rPr>
                <w:rFonts w:ascii="Century Gothic"/>
                <w:sz w:val="21"/>
              </w:rPr>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4</w:t>
            </w:r>
            <w:r>
              <w:rPr>
                <w:rFonts w:ascii="宋体" w:hAnsi="宋体" w:cs="宋体" w:eastAsia="宋体" w:hint="default"/>
                <w:sz w:val="21"/>
                <w:szCs w:val="21"/>
              </w:rPr>
              <w:t>、运输设备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30,996,973.29</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1"/>
                <w:sz w:val="21"/>
              </w:rPr>
              <w:t>1,683,249.68</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center"/>
              <w:rPr>
                <w:rFonts w:ascii="Century Gothic" w:hAnsi="Century Gothic" w:cs="Century Gothic" w:eastAsia="Century Gothic" w:hint="default"/>
                <w:sz w:val="21"/>
                <w:szCs w:val="21"/>
              </w:rPr>
            </w:pPr>
            <w:r>
              <w:rPr>
                <w:rFonts w:ascii="Century Gothic"/>
                <w:sz w:val="21"/>
              </w:rPr>
              <w:t>14,785,022.10</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17,895,200.87</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5</w:t>
            </w:r>
            <w:r>
              <w:rPr>
                <w:rFonts w:ascii="宋体" w:hAnsi="宋体" w:cs="宋体" w:eastAsia="宋体" w:hint="default"/>
                <w:sz w:val="21"/>
                <w:szCs w:val="21"/>
              </w:rPr>
              <w:t>、其他设备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5,329,490.65</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10,304.67</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9" w:right="0"/>
              <w:jc w:val="center"/>
              <w:rPr>
                <w:rFonts w:ascii="Century Gothic" w:hAnsi="Century Gothic" w:cs="Century Gothic" w:eastAsia="Century Gothic" w:hint="default"/>
                <w:sz w:val="21"/>
                <w:szCs w:val="21"/>
              </w:rPr>
            </w:pPr>
            <w:r>
              <w:rPr>
                <w:rFonts w:ascii="Century Gothic"/>
                <w:sz w:val="21"/>
              </w:rPr>
              <w:t>1,875,624.25</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7"/>
              <w:jc w:val="right"/>
              <w:rPr>
                <w:rFonts w:ascii="Century Gothic" w:hAnsi="Century Gothic" w:cs="Century Gothic" w:eastAsia="Century Gothic" w:hint="default"/>
                <w:sz w:val="21"/>
                <w:szCs w:val="21"/>
              </w:rPr>
            </w:pPr>
            <w:r>
              <w:rPr>
                <w:rFonts w:ascii="Century Gothic"/>
                <w:spacing w:val="-1"/>
                <w:sz w:val="21"/>
              </w:rPr>
              <w:t>3,464,171.07</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6</w:t>
            </w:r>
            <w:r>
              <w:rPr>
                <w:rFonts w:ascii="宋体" w:hAnsi="宋体" w:cs="宋体" w:eastAsia="宋体" w:hint="default"/>
                <w:sz w:val="21"/>
                <w:szCs w:val="21"/>
              </w:rPr>
              <w:t>、装修费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3,375,822.42</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19,800.00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9" w:right="0"/>
              <w:jc w:val="center"/>
              <w:rPr>
                <w:rFonts w:ascii="Century Gothic" w:hAnsi="Century Gothic" w:cs="Century Gothic" w:eastAsia="Century Gothic" w:hint="default"/>
                <w:sz w:val="21"/>
                <w:szCs w:val="21"/>
              </w:rPr>
            </w:pPr>
            <w:r>
              <w:rPr>
                <w:rFonts w:ascii="Century Gothic"/>
                <w:sz w:val="21"/>
              </w:rPr>
              <w:t>2,741,172.42</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654,450.00</w:t>
            </w:r>
          </w:p>
        </w:tc>
      </w:tr>
      <w:tr>
        <w:trPr>
          <w:trHeight w:val="354"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188,631,501.26</w:t>
            </w:r>
            <w:r>
              <w:rPr>
                <w:rFonts w:ascii="Century Gothic"/>
                <w:b/>
                <w:w w:val="95"/>
                <w:sz w:val="21"/>
              </w:rPr>
            </w:r>
            <w:r>
              <w:rPr>
                <w:rFonts w:ascii="Century Gothic"/>
                <w:sz w:val="21"/>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36,830,303.97</w:t>
            </w:r>
            <w:r>
              <w:rPr>
                <w:rFonts w:ascii="Century Gothic"/>
                <w:b/>
                <w:w w:val="95"/>
                <w:sz w:val="21"/>
              </w:rPr>
            </w:r>
            <w:r>
              <w:rPr>
                <w:rFonts w:ascii="Century Gothic"/>
                <w:sz w:val="21"/>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37,960,545.29</w:t>
            </w:r>
            <w:r>
              <w:rPr>
                <w:rFonts w:ascii="Century Gothic"/>
                <w:b/>
                <w:sz w:val="21"/>
              </w:rPr>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187,501,259.94</w:t>
            </w:r>
            <w:r>
              <w:rPr>
                <w:rFonts w:ascii="Century Gothic"/>
                <w:b/>
                <w:w w:val="95"/>
                <w:sz w:val="21"/>
              </w:rPr>
            </w:r>
            <w:r>
              <w:rPr>
                <w:rFonts w:ascii="Century Gothic"/>
                <w:sz w:val="21"/>
              </w:rPr>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、房屋建筑物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48,493,763.40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15,928,190.34</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9" w:right="0"/>
              <w:jc w:val="center"/>
              <w:rPr>
                <w:rFonts w:ascii="Century Gothic" w:hAnsi="Century Gothic" w:cs="Century Gothic" w:eastAsia="Century Gothic" w:hint="default"/>
                <w:sz w:val="21"/>
                <w:szCs w:val="21"/>
              </w:rPr>
            </w:pPr>
            <w:r>
              <w:rPr>
                <w:rFonts w:ascii="Century Gothic"/>
                <w:sz w:val="21"/>
              </w:rPr>
              <w:t>2,477,556.72</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61,944,397.02</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、通用设备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47,676,699.54</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1"/>
                <w:sz w:val="21"/>
              </w:rPr>
              <w:t>5,171,363.94</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center"/>
              <w:rPr>
                <w:rFonts w:ascii="Century Gothic" w:hAnsi="Century Gothic" w:cs="Century Gothic" w:eastAsia="Century Gothic" w:hint="default"/>
                <w:sz w:val="21"/>
                <w:szCs w:val="21"/>
              </w:rPr>
            </w:pPr>
            <w:r>
              <w:rPr>
                <w:rFonts w:ascii="Century Gothic"/>
                <w:sz w:val="21"/>
              </w:rPr>
              <w:t>20,091,127.36</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32,756,936.12</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宋体" w:hAnsi="宋体" w:cs="宋体" w:eastAsia="宋体" w:hint="default"/>
                <w:sz w:val="21"/>
                <w:szCs w:val="21"/>
              </w:rPr>
              <w:t>、专用设备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70,068,801.70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12,222,073.35</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9" w:right="0"/>
              <w:jc w:val="center"/>
              <w:rPr>
                <w:rFonts w:ascii="Century Gothic" w:hAnsi="Century Gothic" w:cs="Century Gothic" w:eastAsia="Century Gothic" w:hint="default"/>
                <w:sz w:val="21"/>
                <w:szCs w:val="21"/>
              </w:rPr>
            </w:pPr>
            <w:r>
              <w:rPr>
                <w:rFonts w:ascii="Century Gothic"/>
                <w:sz w:val="21"/>
              </w:rPr>
              <w:t>2,014,149.96</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80,276,725.09</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4</w:t>
            </w:r>
            <w:r>
              <w:rPr>
                <w:rFonts w:ascii="宋体" w:hAnsi="宋体" w:cs="宋体" w:eastAsia="宋体" w:hint="default"/>
                <w:sz w:val="21"/>
                <w:szCs w:val="21"/>
              </w:rPr>
              <w:t>、运输设备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17,386,688.41</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1"/>
                <w:sz w:val="21"/>
              </w:rPr>
              <w:t>2,897,162.21</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9" w:right="0"/>
              <w:jc w:val="center"/>
              <w:rPr>
                <w:rFonts w:ascii="Century Gothic" w:hAnsi="Century Gothic" w:cs="Century Gothic" w:eastAsia="Century Gothic" w:hint="default"/>
                <w:sz w:val="21"/>
                <w:szCs w:val="21"/>
              </w:rPr>
            </w:pPr>
            <w:r>
              <w:rPr>
                <w:rFonts w:ascii="Century Gothic"/>
                <w:sz w:val="21"/>
              </w:rPr>
              <w:t>9,858,697.67</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10,425,152.95</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5</w:t>
            </w:r>
            <w:r>
              <w:rPr>
                <w:rFonts w:ascii="宋体" w:hAnsi="宋体" w:cs="宋体" w:eastAsia="宋体" w:hint="default"/>
                <w:sz w:val="21"/>
                <w:szCs w:val="21"/>
              </w:rPr>
              <w:t>、其他设备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2,758,409.85</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272,285.94</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9" w:right="0"/>
              <w:jc w:val="center"/>
              <w:rPr>
                <w:rFonts w:ascii="Century Gothic" w:hAnsi="Century Gothic" w:cs="Century Gothic" w:eastAsia="Century Gothic" w:hint="default"/>
                <w:sz w:val="21"/>
                <w:szCs w:val="21"/>
              </w:rPr>
            </w:pPr>
            <w:r>
              <w:rPr>
                <w:rFonts w:ascii="Century Gothic"/>
                <w:sz w:val="21"/>
              </w:rPr>
              <w:t>1,303,574.61</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7"/>
              <w:jc w:val="right"/>
              <w:rPr>
                <w:rFonts w:ascii="Century Gothic" w:hAnsi="Century Gothic" w:cs="Century Gothic" w:eastAsia="Century Gothic" w:hint="default"/>
                <w:sz w:val="21"/>
                <w:szCs w:val="21"/>
              </w:rPr>
            </w:pPr>
            <w:r>
              <w:rPr>
                <w:rFonts w:ascii="Century Gothic"/>
                <w:spacing w:val="-1"/>
                <w:sz w:val="21"/>
              </w:rPr>
              <w:t>1,727,121.18</w:t>
            </w:r>
          </w:p>
        </w:tc>
      </w:tr>
      <w:tr>
        <w:trPr>
          <w:trHeight w:val="354"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6</w:t>
            </w:r>
            <w:r>
              <w:rPr>
                <w:rFonts w:ascii="宋体" w:hAnsi="宋体" w:cs="宋体" w:eastAsia="宋体" w:hint="default"/>
                <w:sz w:val="21"/>
                <w:szCs w:val="21"/>
              </w:rPr>
              <w:t>、装修费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2,247,138.36</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339,228.19</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9" w:right="0"/>
              <w:jc w:val="center"/>
              <w:rPr>
                <w:rFonts w:ascii="Century Gothic" w:hAnsi="Century Gothic" w:cs="Century Gothic" w:eastAsia="Century Gothic" w:hint="default"/>
                <w:sz w:val="21"/>
                <w:szCs w:val="21"/>
              </w:rPr>
            </w:pPr>
            <w:r>
              <w:rPr>
                <w:rFonts w:ascii="Century Gothic"/>
                <w:sz w:val="21"/>
              </w:rPr>
              <w:t>2,215,438.97</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5"/>
              <w:jc w:val="right"/>
              <w:rPr>
                <w:rFonts w:ascii="Century Gothic" w:hAnsi="Century Gothic" w:cs="Century Gothic" w:eastAsia="Century Gothic" w:hint="default"/>
                <w:sz w:val="21"/>
                <w:szCs w:val="21"/>
              </w:rPr>
            </w:pPr>
            <w:r>
              <w:rPr>
                <w:rFonts w:ascii="Century Gothic"/>
                <w:spacing w:val="-1"/>
                <w:sz w:val="21"/>
              </w:rPr>
              <w:t>370,927.58</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三、固定资产净值合计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664,943,436.21</w:t>
            </w:r>
            <w:r>
              <w:rPr>
                <w:rFonts w:ascii="Century Gothic"/>
                <w:b/>
                <w:w w:val="95"/>
                <w:sz w:val="21"/>
              </w:rPr>
            </w:r>
            <w:r>
              <w:rPr>
                <w:rFonts w:ascii="Century Gothic"/>
                <w:sz w:val="21"/>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610,885,396.12</w:t>
            </w:r>
            <w:r>
              <w:rPr>
                <w:rFonts w:ascii="Century Gothic"/>
                <w:b/>
                <w:w w:val="95"/>
                <w:sz w:val="21"/>
              </w:rPr>
            </w:r>
            <w:r>
              <w:rPr>
                <w:rFonts w:ascii="Century Gothic"/>
                <w:sz w:val="21"/>
              </w:rPr>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、房屋建筑物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494,573,709.99</w:t>
            </w:r>
            <w:r>
              <w:rPr>
                <w:rFonts w:ascii="Century Gothic"/>
                <w:sz w:val="21"/>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480,507,409.64</w:t>
            </w:r>
            <w:r>
              <w:rPr>
                <w:rFonts w:ascii="Century Gothic"/>
                <w:sz w:val="21"/>
              </w:rPr>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、通用设备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43,562,536.00</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20,913,690.48</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宋体" w:hAnsi="宋体" w:cs="宋体" w:eastAsia="宋体" w:hint="default"/>
                <w:sz w:val="21"/>
                <w:szCs w:val="21"/>
              </w:rPr>
              <w:t>、专用设备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109,497,140.48</w:t>
            </w:r>
            <w:r>
              <w:rPr>
                <w:rFonts w:ascii="Century Gothic"/>
                <w:sz w:val="21"/>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99,973,675.77</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4</w:t>
            </w:r>
            <w:r>
              <w:rPr>
                <w:rFonts w:ascii="宋体" w:hAnsi="宋体" w:cs="宋体" w:eastAsia="宋体" w:hint="default"/>
                <w:sz w:val="21"/>
                <w:szCs w:val="21"/>
              </w:rPr>
              <w:t>、运输设备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13,610,284.88</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7"/>
              <w:jc w:val="right"/>
              <w:rPr>
                <w:rFonts w:ascii="Century Gothic" w:hAnsi="Century Gothic" w:cs="Century Gothic" w:eastAsia="Century Gothic" w:hint="default"/>
                <w:sz w:val="21"/>
                <w:szCs w:val="21"/>
              </w:rPr>
            </w:pPr>
            <w:r>
              <w:rPr>
                <w:rFonts w:ascii="Century Gothic"/>
                <w:spacing w:val="-1"/>
                <w:sz w:val="21"/>
              </w:rPr>
              <w:t>7,470,047.92</w:t>
            </w:r>
          </w:p>
        </w:tc>
      </w:tr>
      <w:tr>
        <w:trPr>
          <w:trHeight w:val="354"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91"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5</w:t>
            </w:r>
            <w:r>
              <w:rPr>
                <w:rFonts w:ascii="宋体" w:hAnsi="宋体" w:cs="宋体" w:eastAsia="宋体" w:hint="default"/>
                <w:sz w:val="21"/>
                <w:szCs w:val="21"/>
              </w:rPr>
              <w:t>、其他设备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2,571,080.80</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7"/>
              <w:jc w:val="right"/>
              <w:rPr>
                <w:rFonts w:ascii="Century Gothic" w:hAnsi="Century Gothic" w:cs="Century Gothic" w:eastAsia="Century Gothic" w:hint="default"/>
                <w:sz w:val="21"/>
                <w:szCs w:val="21"/>
              </w:rPr>
            </w:pPr>
            <w:r>
              <w:rPr>
                <w:rFonts w:ascii="Century Gothic"/>
                <w:spacing w:val="-1"/>
                <w:sz w:val="21"/>
              </w:rPr>
              <w:t>1,737,049.89</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6</w:t>
            </w:r>
            <w:r>
              <w:rPr>
                <w:rFonts w:ascii="宋体" w:hAnsi="宋体" w:cs="宋体" w:eastAsia="宋体" w:hint="default"/>
                <w:sz w:val="21"/>
                <w:szCs w:val="21"/>
              </w:rPr>
              <w:t>、装修费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1,128,684.06</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283,522.42</w:t>
            </w:r>
          </w:p>
        </w:tc>
      </w:tr>
      <w:tr>
        <w:trPr>
          <w:trHeight w:val="562"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四、固定资产减值准备</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累计金额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五、固定资产账面价值</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664,943,436.21</w:t>
            </w:r>
            <w:r>
              <w:rPr>
                <w:rFonts w:ascii="Century Gothic"/>
                <w:b/>
                <w:w w:val="95"/>
                <w:sz w:val="21"/>
              </w:rPr>
            </w:r>
            <w:r>
              <w:rPr>
                <w:rFonts w:ascii="Century Gothic"/>
                <w:sz w:val="21"/>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610,885,396.12</w:t>
            </w:r>
            <w:r>
              <w:rPr>
                <w:rFonts w:ascii="Century Gothic"/>
                <w:b/>
                <w:w w:val="95"/>
                <w:sz w:val="21"/>
              </w:rPr>
            </w:r>
            <w:r>
              <w:rPr>
                <w:rFonts w:ascii="Century Gothic"/>
                <w:sz w:val="21"/>
              </w:rPr>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、房屋建筑物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494,573,709.99</w:t>
            </w:r>
            <w:r>
              <w:rPr>
                <w:rFonts w:ascii="Century Gothic"/>
                <w:sz w:val="21"/>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480,507,409.64</w:t>
            </w:r>
            <w:r>
              <w:rPr>
                <w:rFonts w:ascii="Century Gothic"/>
                <w:sz w:val="21"/>
              </w:rPr>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、通用设备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43,562,536.00</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20,913,690.48</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宋体" w:hAnsi="宋体" w:cs="宋体" w:eastAsia="宋体" w:hint="default"/>
                <w:sz w:val="21"/>
                <w:szCs w:val="21"/>
              </w:rPr>
              <w:t>、专用设备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109,497,140.48</w:t>
            </w:r>
            <w:r>
              <w:rPr>
                <w:rFonts w:ascii="Century Gothic"/>
                <w:sz w:val="21"/>
              </w:rPr>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99,973,675.77</w:t>
            </w:r>
          </w:p>
        </w:tc>
      </w:tr>
      <w:tr>
        <w:trPr>
          <w:trHeight w:val="354"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4</w:t>
            </w:r>
            <w:r>
              <w:rPr>
                <w:rFonts w:ascii="宋体" w:hAnsi="宋体" w:cs="宋体" w:eastAsia="宋体" w:hint="default"/>
                <w:sz w:val="21"/>
                <w:szCs w:val="21"/>
              </w:rPr>
              <w:t>、运输设备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13,610,284.88</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7"/>
              <w:jc w:val="right"/>
              <w:rPr>
                <w:rFonts w:ascii="Century Gothic" w:hAnsi="Century Gothic" w:cs="Century Gothic" w:eastAsia="Century Gothic" w:hint="default"/>
                <w:sz w:val="21"/>
                <w:szCs w:val="21"/>
              </w:rPr>
            </w:pPr>
            <w:r>
              <w:rPr>
                <w:rFonts w:ascii="Century Gothic"/>
                <w:spacing w:val="-1"/>
                <w:sz w:val="21"/>
              </w:rPr>
              <w:t>7,470,047.92</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5</w:t>
            </w:r>
            <w:r>
              <w:rPr>
                <w:rFonts w:ascii="宋体" w:hAnsi="宋体" w:cs="宋体" w:eastAsia="宋体" w:hint="default"/>
                <w:sz w:val="21"/>
                <w:szCs w:val="21"/>
              </w:rPr>
              <w:t>、其他设备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2,571,080.80</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107"/>
              <w:jc w:val="right"/>
              <w:rPr>
                <w:rFonts w:ascii="Century Gothic" w:hAnsi="Century Gothic" w:cs="Century Gothic" w:eastAsia="Century Gothic" w:hint="default"/>
                <w:sz w:val="21"/>
                <w:szCs w:val="21"/>
              </w:rPr>
            </w:pPr>
            <w:r>
              <w:rPr>
                <w:rFonts w:ascii="Century Gothic"/>
                <w:spacing w:val="-1"/>
                <w:sz w:val="21"/>
              </w:rPr>
              <w:t>1,737,049.89</w:t>
            </w:r>
          </w:p>
        </w:tc>
      </w:tr>
      <w:tr>
        <w:trPr>
          <w:trHeight w:val="363" w:hRule="exact"/>
        </w:trPr>
        <w:tc>
          <w:tcPr>
            <w:tcW w:w="2348"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6</w:t>
            </w:r>
            <w:r>
              <w:rPr>
                <w:rFonts w:ascii="宋体" w:hAnsi="宋体" w:cs="宋体" w:eastAsia="宋体" w:hint="default"/>
                <w:sz w:val="21"/>
                <w:szCs w:val="21"/>
              </w:rPr>
              <w:t>、装修费</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1,128,684.06</w:t>
            </w:r>
          </w:p>
        </w:tc>
        <w:tc>
          <w:tcPr>
            <w:tcW w:w="1570" w:type="dxa"/>
            <w:tcBorders>
              <w:top w:val="single" w:sz="6" w:space="0" w:color="000000"/>
              <w:left w:val="single" w:sz="6" w:space="0" w:color="000000"/>
              <w:bottom w:val="single" w:sz="12" w:space="0" w:color="000000"/>
              <w:right w:val="single" w:sz="6" w:space="0" w:color="000000"/>
            </w:tcBorders>
          </w:tcPr>
          <w:p>
            <w:pPr/>
          </w:p>
        </w:tc>
        <w:tc>
          <w:tcPr>
            <w:tcW w:w="1568"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106"/>
              <w:jc w:val="right"/>
              <w:rPr>
                <w:rFonts w:ascii="Century Gothic" w:hAnsi="Century Gothic" w:cs="Century Gothic" w:eastAsia="Century Gothic" w:hint="default"/>
                <w:sz w:val="21"/>
                <w:szCs w:val="21"/>
              </w:rPr>
            </w:pPr>
            <w:r>
              <w:rPr>
                <w:rFonts w:ascii="Century Gothic"/>
                <w:spacing w:val="-1"/>
                <w:sz w:val="21"/>
              </w:rPr>
              <w:t>283,522.42</w:t>
            </w:r>
          </w:p>
        </w:tc>
      </w:tr>
    </w:tbl>
    <w:p>
      <w:pPr>
        <w:pStyle w:val="BodyText"/>
        <w:spacing w:line="240" w:lineRule="auto" w:before="94"/>
        <w:ind w:left="558" w:right="0"/>
        <w:jc w:val="left"/>
      </w:pPr>
      <w:r>
        <w:rPr/>
        <w:t>本年计提的折旧额为</w:t>
      </w:r>
      <w:r>
        <w:rPr>
          <w:spacing w:val="-59"/>
        </w:rPr>
        <w:t> </w:t>
      </w:r>
      <w:r>
        <w:rPr>
          <w:rFonts w:ascii="Century Gothic" w:hAnsi="Century Gothic" w:cs="Century Gothic" w:eastAsia="Century Gothic" w:hint="default"/>
        </w:rPr>
        <w:t>36,830,303.97</w:t>
      </w:r>
      <w:r>
        <w:rPr>
          <w:rFonts w:ascii="Century Gothic" w:hAnsi="Century Gothic" w:cs="Century Gothic" w:eastAsia="Century Gothic" w:hint="default"/>
          <w:spacing w:val="-12"/>
        </w:rPr>
        <w:t> </w:t>
      </w:r>
      <w:r>
        <w:rPr/>
        <w:t>元。</w:t>
      </w:r>
    </w:p>
    <w:p>
      <w:pPr>
        <w:pStyle w:val="BodyText"/>
        <w:spacing w:line="240" w:lineRule="auto"/>
        <w:ind w:left="558" w:right="0"/>
        <w:jc w:val="left"/>
      </w:pPr>
      <w:r>
        <w:rPr/>
        <w:t>本年在建工程完工转入固定资产的原价为</w:t>
      </w:r>
      <w:r>
        <w:rPr>
          <w:spacing w:val="-59"/>
        </w:rPr>
        <w:t> </w:t>
      </w:r>
      <w:r>
        <w:rPr>
          <w:rFonts w:ascii="Century Gothic" w:hAnsi="Century Gothic" w:cs="Century Gothic" w:eastAsia="Century Gothic" w:hint="default"/>
        </w:rPr>
        <w:t>14,875,965.38</w:t>
      </w:r>
      <w:r>
        <w:rPr>
          <w:rFonts w:ascii="Century Gothic" w:hAnsi="Century Gothic" w:cs="Century Gothic" w:eastAsia="Century Gothic" w:hint="default"/>
          <w:spacing w:val="-12"/>
        </w:rPr>
        <w:t> </w:t>
      </w:r>
      <w:r>
        <w:rPr/>
        <w:t>元。</w:t>
      </w:r>
    </w:p>
    <w:p>
      <w:pPr>
        <w:pStyle w:val="BodyText"/>
        <w:spacing w:line="240" w:lineRule="auto" w:before="119"/>
        <w:ind w:left="558" w:right="0"/>
        <w:jc w:val="left"/>
      </w:pPr>
      <w:r>
        <w:rPr/>
        <w:t>（</w:t>
      </w:r>
      <w:r>
        <w:rPr>
          <w:rFonts w:ascii="Century Gothic" w:hAnsi="Century Gothic" w:cs="Century Gothic" w:eastAsia="Century Gothic" w:hint="default"/>
        </w:rPr>
        <w:t>2</w:t>
      </w:r>
      <w:r>
        <w:rPr/>
        <w:t>）报告期内无应提取固定资产减值准备的情况。</w:t>
      </w:r>
    </w:p>
    <w:p>
      <w:pPr>
        <w:pStyle w:val="Heading4"/>
        <w:tabs>
          <w:tab w:pos="1413" w:val="left" w:leader="none"/>
        </w:tabs>
        <w:spacing w:line="240" w:lineRule="auto" w:before="117"/>
        <w:ind w:right="0"/>
        <w:jc w:val="left"/>
        <w:rPr>
          <w:rFonts w:ascii="宋体" w:hAnsi="宋体" w:cs="宋体" w:eastAsia="宋体" w:hint="default"/>
          <w:b w:val="0"/>
          <w:bCs w:val="0"/>
        </w:rPr>
      </w:pPr>
      <w:r>
        <w:rPr>
          <w:rFonts w:ascii="宋体" w:hAnsi="宋体" w:cs="宋体" w:eastAsia="宋体" w:hint="default"/>
          <w:w w:val="95"/>
        </w:rPr>
        <w:t>（十）</w:t>
        <w:tab/>
      </w:r>
      <w:r>
        <w:rPr>
          <w:rFonts w:ascii="宋体" w:hAnsi="宋体" w:cs="宋体" w:eastAsia="宋体" w:hint="default"/>
        </w:rPr>
        <w:t>在建工程</w:t>
      </w:r>
      <w:r>
        <w:rPr>
          <w:rFonts w:ascii="宋体" w:hAnsi="宋体" w:cs="宋体" w:eastAsia="宋体" w:hint="default"/>
          <w:b w:val="0"/>
          <w:bCs w:val="0"/>
        </w:rPr>
      </w:r>
    </w:p>
    <w:p>
      <w:pPr>
        <w:pStyle w:val="BodyText"/>
        <w:spacing w:line="240" w:lineRule="auto" w:before="134"/>
        <w:ind w:left="558" w:right="0"/>
        <w:jc w:val="left"/>
      </w:pPr>
      <w:r>
        <w:rPr/>
        <w:t>（</w:t>
      </w:r>
      <w:r>
        <w:rPr>
          <w:rFonts w:ascii="Century Gothic" w:hAnsi="Century Gothic" w:cs="Century Gothic" w:eastAsia="Century Gothic" w:hint="default"/>
        </w:rPr>
        <w:t>1</w:t>
      </w:r>
      <w:r>
        <w:rPr/>
        <w:t>）在建工程分项列示如下：</w:t>
      </w:r>
    </w:p>
    <w:p>
      <w:pPr>
        <w:spacing w:line="240" w:lineRule="auto" w:before="8"/>
        <w:rPr>
          <w:rFonts w:ascii="宋体" w:hAnsi="宋体" w:cs="宋体" w:eastAsia="宋体" w:hint="default"/>
          <w:sz w:val="11"/>
          <w:szCs w:val="11"/>
        </w:rPr>
      </w:pPr>
    </w:p>
    <w:tbl>
      <w:tblPr>
        <w:tblW w:w="0" w:type="auto"/>
        <w:jc w:val="left"/>
        <w:tblInd w:w="212" w:type="dxa"/>
        <w:tblLayout w:type="fixed"/>
        <w:tblCellMar>
          <w:top w:w="0" w:type="dxa"/>
          <w:left w:w="0" w:type="dxa"/>
          <w:bottom w:w="0" w:type="dxa"/>
          <w:right w:w="0" w:type="dxa"/>
        </w:tblCellMar>
        <w:tblLook w:val="01E0"/>
      </w:tblPr>
      <w:tblGrid>
        <w:gridCol w:w="1307"/>
        <w:gridCol w:w="3780"/>
        <w:gridCol w:w="3924"/>
      </w:tblGrid>
      <w:tr>
        <w:trPr>
          <w:trHeight w:val="314" w:hRule="exact"/>
        </w:trPr>
        <w:tc>
          <w:tcPr>
            <w:tcW w:w="1307" w:type="dxa"/>
            <w:tcBorders>
              <w:top w:val="single" w:sz="12" w:space="0" w:color="000000"/>
              <w:left w:val="nil" w:sz="6" w:space="0" w:color="auto"/>
              <w:bottom w:val="single" w:sz="12"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80" w:type="dxa"/>
            <w:tcBorders>
              <w:top w:val="single" w:sz="12" w:space="0" w:color="000000"/>
              <w:left w:val="single" w:sz="6" w:space="0" w:color="000000"/>
              <w:bottom w:val="single" w:sz="12" w:space="0" w:color="000000"/>
              <w:right w:val="single" w:sz="6" w:space="0" w:color="000000"/>
            </w:tcBorders>
          </w:tcPr>
          <w:p>
            <w:pPr>
              <w:pStyle w:val="TableParagraph"/>
              <w:spacing w:line="247" w:lineRule="exact"/>
              <w:ind w:left="1251"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924" w:type="dxa"/>
            <w:tcBorders>
              <w:top w:val="single" w:sz="12" w:space="0" w:color="000000"/>
              <w:left w:val="single" w:sz="6" w:space="0" w:color="000000"/>
              <w:bottom w:val="single" w:sz="12" w:space="0" w:color="000000"/>
              <w:right w:val="nil" w:sz="6" w:space="0" w:color="auto"/>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年初账面余额</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before="76"/>
        <w:ind w:left="4451" w:right="4369" w:firstLine="0"/>
        <w:jc w:val="center"/>
        <w:rPr>
          <w:rFonts w:ascii="Times New Roman" w:hAnsi="Times New Roman" w:cs="Times New Roman" w:eastAsia="Times New Roman" w:hint="default"/>
          <w:sz w:val="18"/>
          <w:szCs w:val="18"/>
        </w:rPr>
      </w:pPr>
      <w:r>
        <w:rPr>
          <w:rFonts w:ascii="Times New Roman"/>
          <w:sz w:val="18"/>
        </w:rPr>
        <w:t>75</w:t>
      </w:r>
    </w:p>
    <w:p>
      <w:pPr>
        <w:spacing w:after="0"/>
        <w:jc w:val="center"/>
        <w:rPr>
          <w:rFonts w:ascii="Times New Roman" w:hAnsi="Times New Roman" w:cs="Times New Roman" w:eastAsia="Times New Roman" w:hint="default"/>
          <w:sz w:val="18"/>
          <w:szCs w:val="18"/>
        </w:rPr>
        <w:sectPr>
          <w:pgSz w:w="11910" w:h="16840"/>
          <w:pgMar w:top="780" w:bottom="280" w:left="1280" w:right="124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5296"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190" w:type="dxa"/>
        <w:tblLayout w:type="fixed"/>
        <w:tblCellMar>
          <w:top w:w="0" w:type="dxa"/>
          <w:left w:w="0" w:type="dxa"/>
          <w:bottom w:w="0" w:type="dxa"/>
          <w:right w:w="0" w:type="dxa"/>
        </w:tblCellMar>
        <w:tblLook w:val="01E0"/>
      </w:tblPr>
      <w:tblGrid>
        <w:gridCol w:w="1328"/>
        <w:gridCol w:w="1570"/>
        <w:gridCol w:w="641"/>
        <w:gridCol w:w="1570"/>
        <w:gridCol w:w="1686"/>
        <w:gridCol w:w="559"/>
        <w:gridCol w:w="1686"/>
      </w:tblGrid>
      <w:tr>
        <w:trPr>
          <w:trHeight w:val="1114" w:hRule="exact"/>
        </w:trPr>
        <w:tc>
          <w:tcPr>
            <w:tcW w:w="1328" w:type="dxa"/>
            <w:tcBorders>
              <w:top w:val="single" w:sz="12" w:space="0" w:color="000000"/>
              <w:left w:val="nil" w:sz="6" w:space="0" w:color="auto"/>
              <w:bottom w:val="single" w:sz="6" w:space="0" w:color="000000"/>
              <w:right w:val="single" w:sz="6" w:space="0" w:color="000000"/>
            </w:tcBorders>
          </w:tcPr>
          <w:p>
            <w:pPr/>
          </w:p>
        </w:tc>
        <w:tc>
          <w:tcPr>
            <w:tcW w:w="15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黑体" w:hAnsi="黑体" w:cs="黑体" w:eastAsia="黑体" w:hint="default"/>
                <w:b/>
                <w:bCs/>
                <w:sz w:val="18"/>
                <w:szCs w:val="18"/>
              </w:rPr>
            </w:pP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15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b/>
                <w:bCs/>
                <w:sz w:val="28"/>
                <w:szCs w:val="28"/>
              </w:rPr>
            </w:pPr>
          </w:p>
          <w:p>
            <w:pPr>
              <w:pStyle w:val="TableParagraph"/>
              <w:spacing w:line="240" w:lineRule="auto"/>
              <w:ind w:left="356" w:right="0"/>
              <w:jc w:val="left"/>
              <w:rPr>
                <w:rFonts w:ascii="宋体" w:hAnsi="宋体" w:cs="宋体" w:eastAsia="宋体" w:hint="default"/>
                <w:sz w:val="21"/>
                <w:szCs w:val="21"/>
              </w:rPr>
            </w:pPr>
            <w:r>
              <w:rPr>
                <w:rFonts w:ascii="宋体" w:hAnsi="宋体" w:cs="宋体" w:eastAsia="宋体" w:hint="default"/>
                <w:sz w:val="21"/>
                <w:szCs w:val="21"/>
              </w:rPr>
              <w:t>账面净额</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b/>
                <w:bCs/>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5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67"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37" w:lineRule="auto" w:before="1"/>
              <w:ind w:left="167" w:right="164"/>
              <w:jc w:val="both"/>
              <w:rPr>
                <w:rFonts w:ascii="宋体" w:hAnsi="宋体" w:cs="宋体" w:eastAsia="宋体" w:hint="default"/>
                <w:sz w:val="21"/>
                <w:szCs w:val="21"/>
              </w:rPr>
            </w:pPr>
            <w:r>
              <w:rPr>
                <w:rFonts w:ascii="宋体" w:hAnsi="宋体" w:cs="宋体" w:eastAsia="宋体" w:hint="default"/>
                <w:sz w:val="21"/>
                <w:szCs w:val="21"/>
              </w:rPr>
              <w:t>值 准 备</w:t>
            </w:r>
          </w:p>
        </w:tc>
        <w:tc>
          <w:tcPr>
            <w:tcW w:w="168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黑体" w:hAnsi="黑体" w:cs="黑体" w:eastAsia="黑体" w:hint="default"/>
                <w:b/>
                <w:bCs/>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账面净额</w:t>
            </w:r>
          </w:p>
        </w:tc>
      </w:tr>
      <w:tr>
        <w:trPr>
          <w:trHeight w:val="299"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科技园工程</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766,125.72</w:t>
            </w:r>
            <w:r>
              <w:rPr>
                <w:rFonts w:ascii="Century Gothic"/>
                <w:sz w:val="21"/>
              </w:rPr>
            </w:r>
          </w:p>
        </w:tc>
        <w:tc>
          <w:tcPr>
            <w:tcW w:w="64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766,125.72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142,588,781.81</w:t>
            </w:r>
            <w:r>
              <w:rPr>
                <w:rFonts w:ascii="Century Gothic"/>
                <w:sz w:val="21"/>
              </w:rPr>
            </w:r>
          </w:p>
        </w:tc>
        <w:tc>
          <w:tcPr>
            <w:tcW w:w="55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142,588,781.81</w:t>
            </w:r>
            <w:r>
              <w:rPr>
                <w:rFonts w:ascii="Century Gothic"/>
                <w:sz w:val="21"/>
              </w:rPr>
            </w:r>
          </w:p>
        </w:tc>
      </w:tr>
      <w:tr>
        <w:trPr>
          <w:trHeight w:val="562"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北碚药业基</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地</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13,114,239.61</w:t>
            </w:r>
          </w:p>
        </w:tc>
        <w:tc>
          <w:tcPr>
            <w:tcW w:w="64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13,114,239.61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12,199,462.47</w:t>
            </w:r>
          </w:p>
        </w:tc>
        <w:tc>
          <w:tcPr>
            <w:tcW w:w="55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12,199,462.47</w:t>
            </w:r>
          </w:p>
        </w:tc>
      </w:tr>
      <w:tr>
        <w:trPr>
          <w:trHeight w:val="299"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汉普生产线</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Century Gothic" w:hAnsi="Century Gothic" w:cs="Century Gothic" w:eastAsia="Century Gothic" w:hint="default"/>
                <w:sz w:val="21"/>
                <w:szCs w:val="21"/>
              </w:rPr>
            </w:pPr>
            <w:r>
              <w:rPr>
                <w:rFonts w:ascii="Century Gothic"/>
                <w:spacing w:val="-1"/>
                <w:sz w:val="21"/>
              </w:rPr>
              <w:t>1,843,566.20</w:t>
            </w:r>
          </w:p>
        </w:tc>
        <w:tc>
          <w:tcPr>
            <w:tcW w:w="64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Century Gothic" w:hAnsi="Century Gothic" w:cs="Century Gothic" w:eastAsia="Century Gothic" w:hint="default"/>
                <w:sz w:val="21"/>
                <w:szCs w:val="21"/>
              </w:rPr>
            </w:pPr>
            <w:r>
              <w:rPr>
                <w:rFonts w:ascii="Century Gothic"/>
                <w:spacing w:val="-1"/>
                <w:sz w:val="21"/>
              </w:rPr>
              <w:t>1,843,566.20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1,275,076.20</w:t>
            </w:r>
          </w:p>
        </w:tc>
        <w:tc>
          <w:tcPr>
            <w:tcW w:w="55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1,275,076.20</w:t>
            </w:r>
          </w:p>
        </w:tc>
      </w:tr>
      <w:tr>
        <w:trPr>
          <w:trHeight w:val="560"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总商会办公</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楼</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11,885,486.16</w:t>
            </w:r>
          </w:p>
        </w:tc>
        <w:tc>
          <w:tcPr>
            <w:tcW w:w="64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11,885,486.16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17,376,850.72</w:t>
            </w:r>
          </w:p>
        </w:tc>
        <w:tc>
          <w:tcPr>
            <w:tcW w:w="55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17,376,850.72</w:t>
            </w:r>
          </w:p>
        </w:tc>
      </w:tr>
      <w:tr>
        <w:trPr>
          <w:trHeight w:val="562"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2"/>
                <w:sz w:val="21"/>
                <w:szCs w:val="21"/>
              </w:rPr>
              <w:t>云南大麻西</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部项目</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112,000.00</w:t>
            </w:r>
            <w:r>
              <w:rPr>
                <w:rFonts w:ascii="Century Gothic"/>
                <w:sz w:val="21"/>
              </w:rPr>
            </w:r>
          </w:p>
        </w:tc>
        <w:tc>
          <w:tcPr>
            <w:tcW w:w="64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112,000.00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1"/>
                <w:sz w:val="21"/>
              </w:rPr>
              <w:t>970,661.85</w:t>
            </w:r>
          </w:p>
        </w:tc>
        <w:tc>
          <w:tcPr>
            <w:tcW w:w="55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970,661.85</w:t>
            </w:r>
          </w:p>
        </w:tc>
      </w:tr>
      <w:tr>
        <w:trPr>
          <w:trHeight w:val="299" w:hRule="exact"/>
        </w:trPr>
        <w:tc>
          <w:tcPr>
            <w:tcW w:w="132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零星工程</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305,242.47</w:t>
            </w:r>
            <w:r>
              <w:rPr>
                <w:rFonts w:ascii="Century Gothic"/>
                <w:sz w:val="21"/>
              </w:rPr>
            </w:r>
          </w:p>
        </w:tc>
        <w:tc>
          <w:tcPr>
            <w:tcW w:w="641"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305,242.47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264,070.00</w:t>
            </w:r>
          </w:p>
        </w:tc>
        <w:tc>
          <w:tcPr>
            <w:tcW w:w="55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264,070.00</w:t>
            </w:r>
          </w:p>
        </w:tc>
      </w:tr>
      <w:tr>
        <w:trPr>
          <w:trHeight w:val="307" w:hRule="exact"/>
        </w:trPr>
        <w:tc>
          <w:tcPr>
            <w:tcW w:w="1328"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46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28,026,660.16</w:t>
            </w:r>
            <w:r>
              <w:rPr>
                <w:rFonts w:ascii="Century Gothic"/>
                <w:b/>
                <w:w w:val="95"/>
                <w:sz w:val="21"/>
              </w:rPr>
            </w:r>
            <w:r>
              <w:rPr>
                <w:rFonts w:ascii="Century Gothic"/>
                <w:sz w:val="21"/>
              </w:rPr>
            </w:r>
          </w:p>
        </w:tc>
        <w:tc>
          <w:tcPr>
            <w:tcW w:w="641" w:type="dxa"/>
            <w:tcBorders>
              <w:top w:val="single" w:sz="6" w:space="0" w:color="000000"/>
              <w:left w:val="single" w:sz="6" w:space="0" w:color="000000"/>
              <w:bottom w:val="single" w:sz="12" w:space="0" w:color="000000"/>
              <w:right w:val="single" w:sz="6" w:space="0" w:color="000000"/>
            </w:tcBorders>
          </w:tcPr>
          <w:p>
            <w:pP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28,026,660.16</w:t>
            </w:r>
            <w:r>
              <w:rPr>
                <w:rFonts w:ascii="Century Gothic"/>
                <w:b/>
                <w:w w:val="95"/>
                <w:sz w:val="21"/>
              </w:rPr>
            </w:r>
            <w:r>
              <w:rPr>
                <w:rFonts w:ascii="Century Gothic"/>
                <w:sz w:val="21"/>
              </w:rPr>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174,674,903.05</w:t>
            </w:r>
            <w:r>
              <w:rPr>
                <w:rFonts w:ascii="Century Gothic"/>
                <w:b/>
                <w:w w:val="95"/>
                <w:sz w:val="21"/>
              </w:rPr>
            </w:r>
            <w:r>
              <w:rPr>
                <w:rFonts w:ascii="Century Gothic"/>
                <w:sz w:val="21"/>
              </w:rPr>
            </w:r>
          </w:p>
        </w:tc>
        <w:tc>
          <w:tcPr>
            <w:tcW w:w="559"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174,674,903.05</w:t>
            </w:r>
            <w:r>
              <w:rPr>
                <w:rFonts w:ascii="Century Gothic"/>
                <w:b/>
                <w:w w:val="95"/>
                <w:sz w:val="21"/>
              </w:rPr>
            </w:r>
            <w:r>
              <w:rPr>
                <w:rFonts w:ascii="Century Gothic"/>
                <w:sz w:val="21"/>
              </w:rPr>
            </w:r>
          </w:p>
        </w:tc>
      </w:tr>
    </w:tbl>
    <w:p>
      <w:pPr>
        <w:pStyle w:val="BodyText"/>
        <w:spacing w:line="240" w:lineRule="auto" w:before="94"/>
        <w:ind w:left="558" w:right="0"/>
        <w:jc w:val="left"/>
      </w:pPr>
      <w:r>
        <w:rPr/>
        <w:t>（</w:t>
      </w:r>
      <w:r>
        <w:rPr>
          <w:rFonts w:ascii="Century Gothic" w:hAnsi="Century Gothic" w:cs="Century Gothic" w:eastAsia="Century Gothic" w:hint="default"/>
        </w:rPr>
        <w:t>2</w:t>
      </w:r>
      <w:r>
        <w:rPr/>
        <w:t>）重大在建工程项目基本情况及增减变动如下：</w:t>
      </w:r>
    </w:p>
    <w:p>
      <w:pPr>
        <w:spacing w:line="240" w:lineRule="auto" w:before="10"/>
        <w:rPr>
          <w:rFonts w:ascii="宋体" w:hAnsi="宋体" w:cs="宋体" w:eastAsia="宋体" w:hint="default"/>
          <w:sz w:val="20"/>
          <w:szCs w:val="20"/>
        </w:rPr>
      </w:pPr>
    </w:p>
    <w:tbl>
      <w:tblPr>
        <w:tblW w:w="0" w:type="auto"/>
        <w:jc w:val="left"/>
        <w:tblInd w:w="281" w:type="dxa"/>
        <w:tblLayout w:type="fixed"/>
        <w:tblCellMar>
          <w:top w:w="0" w:type="dxa"/>
          <w:left w:w="0" w:type="dxa"/>
          <w:bottom w:w="0" w:type="dxa"/>
          <w:right w:w="0" w:type="dxa"/>
        </w:tblCellMar>
        <w:tblLook w:val="01E0"/>
      </w:tblPr>
      <w:tblGrid>
        <w:gridCol w:w="1801"/>
        <w:gridCol w:w="707"/>
        <w:gridCol w:w="620"/>
        <w:gridCol w:w="1686"/>
        <w:gridCol w:w="1570"/>
        <w:gridCol w:w="1568"/>
        <w:gridCol w:w="906"/>
      </w:tblGrid>
      <w:tr>
        <w:trPr>
          <w:trHeight w:val="363" w:hRule="exact"/>
        </w:trPr>
        <w:tc>
          <w:tcPr>
            <w:tcW w:w="180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487"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707" w:type="dxa"/>
            <w:vMerge w:val="restart"/>
            <w:tcBorders>
              <w:top w:val="single" w:sz="12"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35" w:right="134"/>
              <w:jc w:val="left"/>
              <w:rPr>
                <w:rFonts w:ascii="宋体" w:hAnsi="宋体" w:cs="宋体" w:eastAsia="宋体" w:hint="default"/>
                <w:sz w:val="21"/>
                <w:szCs w:val="21"/>
              </w:rPr>
            </w:pPr>
            <w:r>
              <w:rPr>
                <w:rFonts w:ascii="宋体" w:hAnsi="宋体" w:cs="宋体" w:eastAsia="宋体" w:hint="default"/>
                <w:sz w:val="21"/>
                <w:szCs w:val="21"/>
              </w:rPr>
              <w:t>预算 金额</w:t>
            </w:r>
          </w:p>
        </w:tc>
        <w:tc>
          <w:tcPr>
            <w:tcW w:w="620" w:type="dxa"/>
            <w:vMerge w:val="restart"/>
            <w:tcBorders>
              <w:top w:val="single" w:sz="12" w:space="0" w:color="000000"/>
              <w:left w:val="single" w:sz="6" w:space="0" w:color="000000"/>
              <w:right w:val="single" w:sz="6" w:space="0" w:color="000000"/>
            </w:tcBorders>
          </w:tcPr>
          <w:p>
            <w:pPr>
              <w:pStyle w:val="TableParagraph"/>
              <w:spacing w:line="237" w:lineRule="auto"/>
              <w:ind w:left="197" w:right="197"/>
              <w:jc w:val="both"/>
              <w:rPr>
                <w:rFonts w:ascii="宋体" w:hAnsi="宋体" w:cs="宋体" w:eastAsia="宋体" w:hint="default"/>
                <w:sz w:val="21"/>
                <w:szCs w:val="21"/>
              </w:rPr>
            </w:pPr>
            <w:r>
              <w:rPr>
                <w:rFonts w:ascii="宋体" w:hAnsi="宋体" w:cs="宋体" w:eastAsia="宋体" w:hint="default"/>
                <w:sz w:val="21"/>
                <w:szCs w:val="21"/>
              </w:rPr>
              <w:t>资 金 来 源</w:t>
            </w:r>
          </w:p>
        </w:tc>
        <w:tc>
          <w:tcPr>
            <w:tcW w:w="325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年初金额</w:t>
            </w:r>
          </w:p>
        </w:tc>
        <w:tc>
          <w:tcPr>
            <w:tcW w:w="2474" w:type="dxa"/>
            <w:gridSpan w:val="2"/>
            <w:tcBorders>
              <w:top w:val="single" w:sz="12" w:space="0" w:color="000000"/>
              <w:left w:val="single" w:sz="6" w:space="0" w:color="000000"/>
              <w:bottom w:val="single" w:sz="6" w:space="0" w:color="000000"/>
              <w:right w:val="nil" w:sz="6" w:space="0" w:color="auto"/>
            </w:tcBorders>
          </w:tcPr>
          <w:p>
            <w:pPr>
              <w:pStyle w:val="TableParagraph"/>
              <w:spacing w:line="274" w:lineRule="exact"/>
              <w:ind w:left="704" w:right="0"/>
              <w:jc w:val="left"/>
              <w:rPr>
                <w:rFonts w:ascii="宋体" w:hAnsi="宋体" w:cs="宋体" w:eastAsia="宋体" w:hint="default"/>
                <w:sz w:val="21"/>
                <w:szCs w:val="21"/>
              </w:rPr>
            </w:pPr>
            <w:r>
              <w:rPr>
                <w:rFonts w:ascii="宋体" w:hAnsi="宋体" w:cs="宋体" w:eastAsia="宋体" w:hint="default"/>
                <w:sz w:val="21"/>
                <w:szCs w:val="21"/>
              </w:rPr>
              <w:t>本年增加额</w:t>
            </w:r>
          </w:p>
        </w:tc>
      </w:tr>
      <w:tr>
        <w:trPr>
          <w:trHeight w:val="834" w:hRule="exact"/>
        </w:trPr>
        <w:tc>
          <w:tcPr>
            <w:tcW w:w="1801" w:type="dxa"/>
            <w:vMerge/>
            <w:tcBorders>
              <w:left w:val="nil" w:sz="6" w:space="0" w:color="auto"/>
              <w:bottom w:val="single" w:sz="6" w:space="0" w:color="000000"/>
              <w:right w:val="single" w:sz="6" w:space="0" w:color="000000"/>
            </w:tcBorders>
          </w:tcPr>
          <w:p>
            <w:pPr/>
          </w:p>
        </w:tc>
        <w:tc>
          <w:tcPr>
            <w:tcW w:w="707" w:type="dxa"/>
            <w:vMerge/>
            <w:tcBorders>
              <w:left w:val="single" w:sz="6" w:space="0" w:color="000000"/>
              <w:bottom w:val="single" w:sz="6" w:space="0" w:color="000000"/>
              <w:right w:val="single" w:sz="6" w:space="0" w:color="000000"/>
            </w:tcBorders>
          </w:tcPr>
          <w:p>
            <w:pPr/>
          </w:p>
        </w:tc>
        <w:tc>
          <w:tcPr>
            <w:tcW w:w="620"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566" w:right="146" w:hanging="420"/>
              <w:jc w:val="left"/>
              <w:rPr>
                <w:rFonts w:ascii="宋体" w:hAnsi="宋体" w:cs="宋体" w:eastAsia="宋体" w:hint="default"/>
                <w:sz w:val="21"/>
                <w:szCs w:val="21"/>
              </w:rPr>
            </w:pPr>
            <w:r>
              <w:rPr>
                <w:rFonts w:ascii="宋体" w:hAnsi="宋体" w:cs="宋体" w:eastAsia="宋体" w:hint="default"/>
                <w:sz w:val="21"/>
                <w:szCs w:val="21"/>
              </w:rPr>
              <w:t>其中：利息资 本化</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06"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left="130"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40" w:lineRule="auto"/>
              <w:ind w:left="235" w:right="137" w:hanging="105"/>
              <w:jc w:val="left"/>
              <w:rPr>
                <w:rFonts w:ascii="宋体" w:hAnsi="宋体" w:cs="宋体" w:eastAsia="宋体" w:hint="default"/>
                <w:sz w:val="21"/>
                <w:szCs w:val="21"/>
              </w:rPr>
            </w:pPr>
            <w:r>
              <w:rPr>
                <w:rFonts w:ascii="宋体" w:hAnsi="宋体" w:cs="宋体" w:eastAsia="宋体" w:hint="default"/>
                <w:sz w:val="21"/>
                <w:szCs w:val="21"/>
              </w:rPr>
              <w:t>利息资 本化</w:t>
            </w:r>
          </w:p>
        </w:tc>
      </w:tr>
      <w:tr>
        <w:trPr>
          <w:trHeight w:val="560" w:hRule="exact"/>
        </w:trPr>
        <w:tc>
          <w:tcPr>
            <w:tcW w:w="1801"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科技园工程（注</w:t>
            </w:r>
            <w:r>
              <w:rPr>
                <w:rFonts w:ascii="宋体" w:hAnsi="宋体" w:cs="宋体" w:eastAsia="宋体" w:hint="default"/>
                <w:sz w:val="21"/>
                <w:szCs w:val="21"/>
              </w:rPr>
            </w:r>
          </w:p>
          <w:p>
            <w:pPr>
              <w:pStyle w:val="TableParagraph"/>
              <w:spacing w:line="290"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w:t>
            </w:r>
          </w:p>
        </w:tc>
        <w:tc>
          <w:tcPr>
            <w:tcW w:w="707"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1"/>
                <w:sz w:val="21"/>
              </w:rPr>
              <w:t>142,588,781.81</w:t>
            </w:r>
            <w:r>
              <w:rPr>
                <w:rFonts w:ascii="Century Gothic"/>
                <w:sz w:val="21"/>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13,790,200.00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11,101,260.00</w:t>
            </w:r>
          </w:p>
        </w:tc>
        <w:tc>
          <w:tcPr>
            <w:tcW w:w="906"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1801"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北碚药业基地</w:t>
            </w:r>
          </w:p>
        </w:tc>
        <w:tc>
          <w:tcPr>
            <w:tcW w:w="707"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12,199,462.47</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2,688,297.14</w:t>
            </w:r>
          </w:p>
        </w:tc>
        <w:tc>
          <w:tcPr>
            <w:tcW w:w="906"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1801"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总商会办公楼</w:t>
            </w:r>
          </w:p>
        </w:tc>
        <w:tc>
          <w:tcPr>
            <w:tcW w:w="707"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17,376,850.72</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1"/>
                <w:sz w:val="21"/>
              </w:rPr>
              <w:t>544,162.12</w:t>
            </w:r>
            <w:r>
              <w:rPr>
                <w:rFonts w:ascii="Century Gothic"/>
                <w:sz w:val="21"/>
              </w:rPr>
            </w:r>
          </w:p>
        </w:tc>
        <w:tc>
          <w:tcPr>
            <w:tcW w:w="906"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1801"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07" w:type="dxa"/>
            <w:tcBorders>
              <w:top w:val="single" w:sz="6" w:space="0" w:color="000000"/>
              <w:left w:val="single" w:sz="6" w:space="0" w:color="000000"/>
              <w:bottom w:val="single" w:sz="12" w:space="0" w:color="000000"/>
              <w:right w:val="single" w:sz="6" w:space="0" w:color="000000"/>
            </w:tcBorders>
          </w:tcPr>
          <w:p>
            <w:pPr/>
          </w:p>
        </w:tc>
        <w:tc>
          <w:tcPr>
            <w:tcW w:w="620"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172,165,095.00</w:t>
            </w:r>
            <w:r>
              <w:rPr>
                <w:rFonts w:ascii="Century Gothic"/>
                <w:b/>
                <w:w w:val="95"/>
                <w:sz w:val="21"/>
              </w:rPr>
            </w:r>
            <w:r>
              <w:rPr>
                <w:rFonts w:ascii="Century Gothic"/>
                <w:sz w:val="21"/>
              </w:rPr>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13,790,200.00</w:t>
            </w:r>
            <w:r>
              <w:rPr>
                <w:rFonts w:ascii="Century Gothic"/>
                <w:b/>
                <w:w w:val="95"/>
                <w:sz w:val="21"/>
              </w:rPr>
            </w:r>
            <w:r>
              <w:rPr>
                <w:rFonts w:ascii="Century Gothic"/>
                <w:sz w:val="21"/>
              </w:rPr>
            </w:r>
          </w:p>
        </w:tc>
        <w:tc>
          <w:tcPr>
            <w:tcW w:w="1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14,333,719.26</w:t>
            </w:r>
            <w:r>
              <w:rPr>
                <w:rFonts w:ascii="Century Gothic"/>
                <w:b/>
                <w:w w:val="95"/>
                <w:sz w:val="21"/>
              </w:rPr>
            </w:r>
            <w:r>
              <w:rPr>
                <w:rFonts w:ascii="Century Gothic"/>
                <w:sz w:val="21"/>
              </w:rPr>
            </w:r>
          </w:p>
        </w:tc>
        <w:tc>
          <w:tcPr>
            <w:tcW w:w="906"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558" w:right="0"/>
        <w:jc w:val="left"/>
      </w:pPr>
      <w:r>
        <w:rPr/>
        <w:t>（续上表）</w:t>
      </w:r>
    </w:p>
    <w:p>
      <w:pPr>
        <w:spacing w:line="240" w:lineRule="auto" w:before="11"/>
        <w:rPr>
          <w:rFonts w:ascii="宋体" w:hAnsi="宋体" w:cs="宋体" w:eastAsia="宋体" w:hint="default"/>
          <w:sz w:val="16"/>
          <w:szCs w:val="16"/>
        </w:rPr>
      </w:pPr>
    </w:p>
    <w:tbl>
      <w:tblPr>
        <w:tblW w:w="0" w:type="auto"/>
        <w:jc w:val="left"/>
        <w:tblInd w:w="278" w:type="dxa"/>
        <w:tblLayout w:type="fixed"/>
        <w:tblCellMar>
          <w:top w:w="0" w:type="dxa"/>
          <w:left w:w="0" w:type="dxa"/>
          <w:bottom w:w="0" w:type="dxa"/>
          <w:right w:w="0" w:type="dxa"/>
        </w:tblCellMar>
        <w:tblLook w:val="01E0"/>
      </w:tblPr>
      <w:tblGrid>
        <w:gridCol w:w="1736"/>
        <w:gridCol w:w="1686"/>
        <w:gridCol w:w="1568"/>
        <w:gridCol w:w="1570"/>
        <w:gridCol w:w="1001"/>
        <w:gridCol w:w="446"/>
        <w:gridCol w:w="859"/>
      </w:tblGrid>
      <w:tr>
        <w:trPr>
          <w:trHeight w:val="363" w:hRule="exact"/>
        </w:trPr>
        <w:tc>
          <w:tcPr>
            <w:tcW w:w="1736"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454" w:right="0"/>
              <w:jc w:val="left"/>
              <w:rPr>
                <w:rFonts w:ascii="宋体" w:hAnsi="宋体" w:cs="宋体" w:eastAsia="宋体" w:hint="default"/>
                <w:sz w:val="21"/>
                <w:szCs w:val="21"/>
              </w:rPr>
            </w:pPr>
            <w:r>
              <w:rPr>
                <w:rFonts w:ascii="宋体" w:hAnsi="宋体" w:cs="宋体" w:eastAsia="宋体" w:hint="default"/>
                <w:sz w:val="21"/>
                <w:szCs w:val="21"/>
              </w:rPr>
              <w:t>工程名称</w:t>
            </w:r>
          </w:p>
        </w:tc>
        <w:tc>
          <w:tcPr>
            <w:tcW w:w="325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本年减少额</w:t>
            </w:r>
          </w:p>
        </w:tc>
        <w:tc>
          <w:tcPr>
            <w:tcW w:w="257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年末金额</w:t>
            </w:r>
          </w:p>
        </w:tc>
        <w:tc>
          <w:tcPr>
            <w:tcW w:w="446" w:type="dxa"/>
            <w:vMerge w:val="restart"/>
            <w:tcBorders>
              <w:top w:val="single" w:sz="12" w:space="0" w:color="000000"/>
              <w:left w:val="single" w:sz="6" w:space="0" w:color="000000"/>
              <w:right w:val="single" w:sz="6" w:space="0" w:color="000000"/>
            </w:tcBorders>
          </w:tcPr>
          <w:p>
            <w:pPr>
              <w:pStyle w:val="TableParagraph"/>
              <w:spacing w:line="237" w:lineRule="auto"/>
              <w:ind w:left="110" w:right="109"/>
              <w:jc w:val="both"/>
              <w:rPr>
                <w:rFonts w:ascii="宋体" w:hAnsi="宋体" w:cs="宋体" w:eastAsia="宋体" w:hint="default"/>
                <w:sz w:val="21"/>
                <w:szCs w:val="21"/>
              </w:rPr>
            </w:pPr>
            <w:r>
              <w:rPr>
                <w:rFonts w:ascii="宋体" w:hAnsi="宋体" w:cs="宋体" w:eastAsia="宋体" w:hint="default"/>
                <w:sz w:val="21"/>
                <w:szCs w:val="21"/>
              </w:rPr>
              <w:t>工 程 进 度</w:t>
            </w:r>
          </w:p>
        </w:tc>
        <w:tc>
          <w:tcPr>
            <w:tcW w:w="859" w:type="dxa"/>
            <w:vMerge w:val="restart"/>
            <w:tcBorders>
              <w:top w:val="single" w:sz="12" w:space="0" w:color="000000"/>
              <w:left w:val="single" w:sz="6" w:space="0" w:color="000000"/>
              <w:right w:val="nil" w:sz="6" w:space="0" w:color="auto"/>
            </w:tcBorders>
          </w:tcPr>
          <w:p>
            <w:pPr>
              <w:pStyle w:val="TableParagraph"/>
              <w:spacing w:line="237" w:lineRule="auto"/>
              <w:ind w:left="106" w:right="113"/>
              <w:jc w:val="both"/>
              <w:rPr>
                <w:rFonts w:ascii="宋体" w:hAnsi="宋体" w:cs="宋体" w:eastAsia="宋体" w:hint="default"/>
                <w:sz w:val="21"/>
                <w:szCs w:val="21"/>
              </w:rPr>
            </w:pPr>
            <w:r>
              <w:rPr>
                <w:rFonts w:ascii="宋体" w:hAnsi="宋体" w:cs="宋体" w:eastAsia="宋体" w:hint="default"/>
                <w:sz w:val="21"/>
                <w:szCs w:val="21"/>
              </w:rPr>
              <w:t>工程投 入占预 算比例</w:t>
            </w:r>
          </w:p>
          <w:p>
            <w:pPr>
              <w:pStyle w:val="TableParagraph"/>
              <w:spacing w:line="291" w:lineRule="exact"/>
              <w:ind w:left="130" w:right="0"/>
              <w:jc w:val="both"/>
              <w:rPr>
                <w:rFonts w:ascii="宋体" w:hAnsi="宋体" w:cs="宋体" w:eastAsia="宋体" w:hint="default"/>
                <w:sz w:val="21"/>
                <w:szCs w:val="21"/>
              </w:rPr>
            </w:pPr>
            <w:r>
              <w:rPr>
                <w:rFonts w:ascii="宋体" w:hAnsi="宋体" w:cs="宋体" w:eastAsia="宋体" w:hint="default"/>
                <w:sz w:val="21"/>
                <w:szCs w:val="21"/>
              </w:rPr>
              <w:t>（</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r>
      <w:tr>
        <w:trPr>
          <w:trHeight w:val="834" w:hRule="exact"/>
        </w:trPr>
        <w:tc>
          <w:tcPr>
            <w:tcW w:w="1736" w:type="dxa"/>
            <w:vMerge/>
            <w:tcBorders>
              <w:left w:val="nil" w:sz="6" w:space="0" w:color="auto"/>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672" w:right="145" w:hanging="526"/>
              <w:jc w:val="left"/>
              <w:rPr>
                <w:rFonts w:ascii="宋体" w:hAnsi="宋体" w:cs="宋体" w:eastAsia="宋体" w:hint="default"/>
                <w:sz w:val="21"/>
                <w:szCs w:val="21"/>
              </w:rPr>
            </w:pPr>
            <w:r>
              <w:rPr>
                <w:rFonts w:ascii="宋体" w:hAnsi="宋体" w:cs="宋体" w:eastAsia="宋体" w:hint="default"/>
                <w:sz w:val="21"/>
                <w:szCs w:val="21"/>
              </w:rPr>
              <w:t>其中：本年转 固</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hanging="77"/>
              <w:jc w:val="left"/>
              <w:rPr>
                <w:rFonts w:ascii="宋体" w:hAnsi="宋体" w:cs="宋体" w:eastAsia="宋体" w:hint="default"/>
                <w:sz w:val="21"/>
                <w:szCs w:val="21"/>
              </w:rPr>
            </w:pPr>
            <w:r>
              <w:rPr>
                <w:rFonts w:ascii="宋体" w:hAnsi="宋体" w:cs="宋体" w:eastAsia="宋体" w:hint="default"/>
                <w:spacing w:val="-14"/>
                <w:sz w:val="21"/>
                <w:szCs w:val="21"/>
              </w:rPr>
              <w:t>其中：利</w:t>
            </w:r>
          </w:p>
          <w:p>
            <w:pPr>
              <w:pStyle w:val="TableParagraph"/>
              <w:spacing w:line="240" w:lineRule="auto"/>
              <w:ind w:left="387" w:right="176" w:hanging="210"/>
              <w:jc w:val="left"/>
              <w:rPr>
                <w:rFonts w:ascii="宋体" w:hAnsi="宋体" w:cs="宋体" w:eastAsia="宋体" w:hint="default"/>
                <w:sz w:val="21"/>
                <w:szCs w:val="21"/>
              </w:rPr>
            </w:pPr>
            <w:r>
              <w:rPr>
                <w:rFonts w:ascii="宋体" w:hAnsi="宋体" w:cs="宋体" w:eastAsia="宋体" w:hint="default"/>
                <w:sz w:val="21"/>
                <w:szCs w:val="21"/>
              </w:rPr>
              <w:t>息资本 化</w:t>
            </w:r>
          </w:p>
        </w:tc>
        <w:tc>
          <w:tcPr>
            <w:tcW w:w="446" w:type="dxa"/>
            <w:vMerge/>
            <w:tcBorders>
              <w:left w:val="single" w:sz="6" w:space="0" w:color="000000"/>
              <w:bottom w:val="single" w:sz="6" w:space="0" w:color="000000"/>
              <w:right w:val="single" w:sz="6" w:space="0" w:color="000000"/>
            </w:tcBorders>
          </w:tcPr>
          <w:p>
            <w:pPr/>
          </w:p>
        </w:tc>
        <w:tc>
          <w:tcPr>
            <w:tcW w:w="859" w:type="dxa"/>
            <w:vMerge/>
            <w:tcBorders>
              <w:left w:val="single" w:sz="6" w:space="0" w:color="000000"/>
              <w:bottom w:val="single" w:sz="6" w:space="0" w:color="000000"/>
              <w:right w:val="nil" w:sz="6" w:space="0" w:color="auto"/>
            </w:tcBorders>
          </w:tcPr>
          <w:p>
            <w:pPr/>
          </w:p>
        </w:tc>
      </w:tr>
      <w:tr>
        <w:trPr>
          <w:trHeight w:val="355" w:hRule="exact"/>
        </w:trPr>
        <w:tc>
          <w:tcPr>
            <w:tcW w:w="173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科技园工程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152,923,916.09</w:t>
            </w:r>
            <w:r>
              <w:rPr>
                <w:rFonts w:ascii="Century Gothic"/>
                <w:sz w:val="21"/>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12,132,016.09</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766,125.72</w:t>
            </w:r>
          </w:p>
        </w:tc>
        <w:tc>
          <w:tcPr>
            <w:tcW w:w="1001" w:type="dxa"/>
            <w:tcBorders>
              <w:top w:val="single" w:sz="6" w:space="0" w:color="000000"/>
              <w:left w:val="single" w:sz="6" w:space="0" w:color="000000"/>
              <w:bottom w:val="single" w:sz="6" w:space="0" w:color="000000"/>
              <w:right w:val="single" w:sz="6" w:space="0" w:color="000000"/>
            </w:tcBorders>
          </w:tcPr>
          <w:p>
            <w:pPr/>
          </w:p>
        </w:tc>
        <w:tc>
          <w:tcPr>
            <w:tcW w:w="446"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173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北碚药业基地</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1,773,520.00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1,773,520.00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13,114,239.61</w:t>
            </w:r>
          </w:p>
        </w:tc>
        <w:tc>
          <w:tcPr>
            <w:tcW w:w="1001" w:type="dxa"/>
            <w:tcBorders>
              <w:top w:val="single" w:sz="6" w:space="0" w:color="000000"/>
              <w:left w:val="single" w:sz="6" w:space="0" w:color="000000"/>
              <w:bottom w:val="single" w:sz="6" w:space="0" w:color="000000"/>
              <w:right w:val="single" w:sz="6" w:space="0" w:color="000000"/>
            </w:tcBorders>
          </w:tcPr>
          <w:p>
            <w:pPr/>
          </w:p>
        </w:tc>
        <w:tc>
          <w:tcPr>
            <w:tcW w:w="446"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173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总商会办公楼</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6,035,526.68</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11,885,486.16</w:t>
            </w:r>
          </w:p>
        </w:tc>
        <w:tc>
          <w:tcPr>
            <w:tcW w:w="1001" w:type="dxa"/>
            <w:tcBorders>
              <w:top w:val="single" w:sz="6" w:space="0" w:color="000000"/>
              <w:left w:val="single" w:sz="6" w:space="0" w:color="000000"/>
              <w:bottom w:val="single" w:sz="6" w:space="0" w:color="000000"/>
              <w:right w:val="single" w:sz="6" w:space="0" w:color="000000"/>
            </w:tcBorders>
          </w:tcPr>
          <w:p>
            <w:pPr/>
          </w:p>
        </w:tc>
        <w:tc>
          <w:tcPr>
            <w:tcW w:w="446" w:type="dxa"/>
            <w:tcBorders>
              <w:top w:val="single" w:sz="6" w:space="0" w:color="000000"/>
              <w:left w:val="single" w:sz="6" w:space="0" w:color="000000"/>
              <w:bottom w:val="single" w:sz="6" w:space="0" w:color="000000"/>
              <w:right w:val="single" w:sz="6" w:space="0" w:color="000000"/>
            </w:tcBorders>
          </w:tcPr>
          <w:p>
            <w:pPr/>
          </w:p>
        </w:tc>
        <w:tc>
          <w:tcPr>
            <w:tcW w:w="859"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1736"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160,732,962.77</w:t>
            </w:r>
            <w:r>
              <w:rPr>
                <w:rFonts w:ascii="Century Gothic"/>
                <w:b/>
                <w:w w:val="95"/>
                <w:sz w:val="21"/>
              </w:rPr>
            </w:r>
            <w:r>
              <w:rPr>
                <w:rFonts w:ascii="Century Gothic"/>
                <w:sz w:val="21"/>
              </w:rPr>
            </w:r>
          </w:p>
        </w:tc>
        <w:tc>
          <w:tcPr>
            <w:tcW w:w="1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13,905,536.09</w:t>
            </w:r>
            <w:r>
              <w:rPr>
                <w:rFonts w:ascii="Century Gothic"/>
                <w:b/>
                <w:w w:val="95"/>
                <w:sz w:val="21"/>
              </w:rPr>
            </w:r>
            <w:r>
              <w:rPr>
                <w:rFonts w:ascii="Century Gothic"/>
                <w:sz w:val="21"/>
              </w:rPr>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25,765,851.49</w:t>
            </w:r>
            <w:r>
              <w:rPr>
                <w:rFonts w:ascii="Century Gothic"/>
                <w:b/>
                <w:w w:val="95"/>
                <w:sz w:val="21"/>
              </w:rPr>
            </w:r>
            <w:r>
              <w:rPr>
                <w:rFonts w:ascii="Century Gothic"/>
                <w:sz w:val="21"/>
              </w:rPr>
            </w:r>
          </w:p>
        </w:tc>
        <w:tc>
          <w:tcPr>
            <w:tcW w:w="1001" w:type="dxa"/>
            <w:tcBorders>
              <w:top w:val="single" w:sz="6" w:space="0" w:color="000000"/>
              <w:left w:val="single" w:sz="6" w:space="0" w:color="000000"/>
              <w:bottom w:val="single" w:sz="12" w:space="0" w:color="000000"/>
              <w:right w:val="single" w:sz="6" w:space="0" w:color="000000"/>
            </w:tcBorders>
          </w:tcPr>
          <w:p>
            <w:pPr/>
          </w:p>
        </w:tc>
        <w:tc>
          <w:tcPr>
            <w:tcW w:w="446" w:type="dxa"/>
            <w:tcBorders>
              <w:top w:val="single" w:sz="6" w:space="0" w:color="000000"/>
              <w:left w:val="single" w:sz="6" w:space="0" w:color="000000"/>
              <w:bottom w:val="single" w:sz="12" w:space="0" w:color="000000"/>
              <w:right w:val="single" w:sz="6" w:space="0" w:color="000000"/>
            </w:tcBorders>
          </w:tcPr>
          <w:p>
            <w:pPr/>
          </w:p>
        </w:tc>
        <w:tc>
          <w:tcPr>
            <w:tcW w:w="859"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557" w:right="0"/>
        <w:jc w:val="left"/>
      </w:pPr>
      <w:r>
        <w:rPr/>
        <w:t>注：本期科技园工程的减少主要系在建工程转让所致，详见附注六、（二）、</w:t>
      </w:r>
      <w:r>
        <w:rPr>
          <w:rFonts w:ascii="Century Gothic" w:hAnsi="Century Gothic" w:cs="Century Gothic" w:eastAsia="Century Gothic" w:hint="default"/>
        </w:rPr>
        <w:t>2</w:t>
      </w:r>
      <w:r>
        <w:rPr/>
        <w:t>、</w:t>
      </w:r>
      <w:r>
        <w:rPr>
          <w:rFonts w:ascii="Century Gothic" w:hAnsi="Century Gothic" w:cs="Century Gothic" w:eastAsia="Century Gothic" w:hint="default"/>
        </w:rPr>
        <w:t>A</w:t>
      </w:r>
      <w:r>
        <w:rPr>
          <w:rFonts w:ascii="Century Gothic" w:hAnsi="Century Gothic" w:cs="Century Gothic" w:eastAsia="Century Gothic" w:hint="default"/>
          <w:spacing w:val="-7"/>
        </w:rPr>
        <w:t> </w:t>
      </w:r>
      <w:r>
        <w:rPr/>
        <w:t>所述。</w:t>
      </w:r>
    </w:p>
    <w:p>
      <w:pPr>
        <w:pStyle w:val="BodyText"/>
        <w:spacing w:line="240" w:lineRule="auto"/>
        <w:ind w:left="558" w:right="0"/>
        <w:jc w:val="left"/>
      </w:pPr>
      <w:r>
        <w:rPr/>
        <w:t>（</w:t>
      </w:r>
      <w:r>
        <w:rPr>
          <w:rFonts w:ascii="Century Gothic" w:hAnsi="Century Gothic" w:cs="Century Gothic" w:eastAsia="Century Gothic" w:hint="default"/>
        </w:rPr>
        <w:t>3</w:t>
      </w:r>
      <w:r>
        <w:rPr/>
        <w:t>）报告期内无应提取在建工程减值准备的情况。</w:t>
      </w:r>
    </w:p>
    <w:p>
      <w:pPr>
        <w:pStyle w:val="Heading4"/>
        <w:spacing w:line="240" w:lineRule="auto" w:before="119"/>
        <w:ind w:right="0"/>
        <w:jc w:val="left"/>
        <w:rPr>
          <w:rFonts w:ascii="宋体" w:hAnsi="宋体" w:cs="宋体" w:eastAsia="宋体" w:hint="default"/>
          <w:b w:val="0"/>
          <w:bCs w:val="0"/>
        </w:rPr>
      </w:pPr>
      <w:r>
        <w:rPr>
          <w:rFonts w:ascii="宋体" w:hAnsi="宋体" w:cs="宋体" w:eastAsia="宋体" w:hint="default"/>
        </w:rPr>
        <w:t>（十一）生产性生物资产</w:t>
      </w:r>
      <w:r>
        <w:rPr>
          <w:rFonts w:ascii="宋体" w:hAnsi="宋体" w:cs="宋体" w:eastAsia="宋体" w:hint="default"/>
          <w:b w:val="0"/>
          <w:bCs w:val="0"/>
        </w:rPr>
      </w:r>
    </w:p>
    <w:p>
      <w:pPr>
        <w:pStyle w:val="BodyText"/>
        <w:spacing w:line="240" w:lineRule="auto" w:before="134"/>
        <w:ind w:left="558" w:right="0"/>
        <w:jc w:val="left"/>
      </w:pPr>
      <w:r>
        <w:rPr/>
        <w:t>（</w:t>
      </w:r>
      <w:r>
        <w:rPr>
          <w:rFonts w:ascii="Century Gothic" w:hAnsi="Century Gothic" w:cs="Century Gothic" w:eastAsia="Century Gothic" w:hint="default"/>
        </w:rPr>
        <w:t>1</w:t>
      </w:r>
      <w:r>
        <w:rPr/>
        <w:t>）以成本计量的生产性生物资产明细列示如下：</w:t>
      </w:r>
    </w:p>
    <w:p>
      <w:pPr>
        <w:spacing w:line="240" w:lineRule="auto" w:before="8"/>
        <w:rPr>
          <w:rFonts w:ascii="宋体" w:hAnsi="宋体" w:cs="宋体" w:eastAsia="宋体" w:hint="default"/>
          <w:sz w:val="11"/>
          <w:szCs w:val="11"/>
        </w:rPr>
      </w:pPr>
    </w:p>
    <w:tbl>
      <w:tblPr>
        <w:tblW w:w="0" w:type="auto"/>
        <w:jc w:val="left"/>
        <w:tblInd w:w="297" w:type="dxa"/>
        <w:tblLayout w:type="fixed"/>
        <w:tblCellMar>
          <w:top w:w="0" w:type="dxa"/>
          <w:left w:w="0" w:type="dxa"/>
          <w:bottom w:w="0" w:type="dxa"/>
          <w:right w:w="0" w:type="dxa"/>
        </w:tblCellMar>
        <w:tblLook w:val="01E0"/>
      </w:tblPr>
      <w:tblGrid>
        <w:gridCol w:w="2167"/>
        <w:gridCol w:w="1568"/>
        <w:gridCol w:w="1800"/>
        <w:gridCol w:w="1744"/>
        <w:gridCol w:w="1549"/>
      </w:tblGrid>
      <w:tr>
        <w:trPr>
          <w:trHeight w:val="307" w:hRule="exact"/>
        </w:trPr>
        <w:tc>
          <w:tcPr>
            <w:tcW w:w="2167"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年初账面余额</w:t>
            </w:r>
          </w:p>
        </w:tc>
        <w:tc>
          <w:tcPr>
            <w:tcW w:w="1800"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367"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744"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339"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49"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299" w:hRule="exact"/>
        </w:trPr>
        <w:tc>
          <w:tcPr>
            <w:tcW w:w="2167"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一、种植业</w:t>
            </w:r>
          </w:p>
        </w:tc>
        <w:tc>
          <w:tcPr>
            <w:tcW w:w="1568"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2167" w:type="dxa"/>
            <w:tcBorders>
              <w:top w:val="single" w:sz="6" w:space="0" w:color="000000"/>
              <w:left w:val="nil" w:sz="6" w:space="0" w:color="auto"/>
              <w:bottom w:val="single" w:sz="12"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曼地亚红豆杉</w:t>
            </w:r>
          </w:p>
        </w:tc>
        <w:tc>
          <w:tcPr>
            <w:tcW w:w="1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left="14" w:right="0"/>
              <w:jc w:val="center"/>
              <w:rPr>
                <w:rFonts w:ascii="Century Gothic" w:hAnsi="Century Gothic" w:cs="Century Gothic" w:eastAsia="Century Gothic" w:hint="default"/>
                <w:sz w:val="21"/>
                <w:szCs w:val="21"/>
              </w:rPr>
            </w:pPr>
            <w:r>
              <w:rPr>
                <w:rFonts w:ascii="Century Gothic"/>
                <w:sz w:val="21"/>
              </w:rPr>
              <w:t>15,305,236.33</w:t>
            </w:r>
          </w:p>
        </w:tc>
        <w:tc>
          <w:tcPr>
            <w:tcW w:w="18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left="461" w:right="0"/>
              <w:jc w:val="left"/>
              <w:rPr>
                <w:rFonts w:ascii="Century Gothic" w:hAnsi="Century Gothic" w:cs="Century Gothic" w:eastAsia="Century Gothic" w:hint="default"/>
                <w:sz w:val="21"/>
                <w:szCs w:val="21"/>
              </w:rPr>
            </w:pPr>
            <w:r>
              <w:rPr>
                <w:rFonts w:ascii="Century Gothic"/>
                <w:sz w:val="21"/>
              </w:rPr>
              <w:t>1,215,550.36</w:t>
            </w:r>
          </w:p>
        </w:tc>
        <w:tc>
          <w:tcPr>
            <w:tcW w:w="17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left="406" w:right="0"/>
              <w:jc w:val="left"/>
              <w:rPr>
                <w:rFonts w:ascii="Century Gothic" w:hAnsi="Century Gothic" w:cs="Century Gothic" w:eastAsia="Century Gothic" w:hint="default"/>
                <w:sz w:val="21"/>
                <w:szCs w:val="21"/>
              </w:rPr>
            </w:pPr>
            <w:r>
              <w:rPr>
                <w:rFonts w:ascii="Century Gothic"/>
                <w:sz w:val="21"/>
              </w:rPr>
              <w:t>8,836,193.11</w:t>
            </w:r>
          </w:p>
        </w:tc>
        <w:tc>
          <w:tcPr>
            <w:tcW w:w="154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left="104" w:right="0"/>
              <w:jc w:val="center"/>
              <w:rPr>
                <w:rFonts w:ascii="Century Gothic" w:hAnsi="Century Gothic" w:cs="Century Gothic" w:eastAsia="Century Gothic" w:hint="default"/>
                <w:sz w:val="21"/>
                <w:szCs w:val="21"/>
              </w:rPr>
            </w:pPr>
            <w:r>
              <w:rPr>
                <w:rFonts w:ascii="Century Gothic"/>
                <w:sz w:val="21"/>
              </w:rPr>
              <w:t>7,684,593.58</w:t>
            </w:r>
          </w:p>
        </w:tc>
      </w:tr>
    </w:tbl>
    <w:p>
      <w:pPr>
        <w:spacing w:line="240" w:lineRule="auto" w:before="0"/>
        <w:rPr>
          <w:rFonts w:ascii="宋体" w:hAnsi="宋体" w:cs="宋体" w:eastAsia="宋体" w:hint="default"/>
          <w:sz w:val="15"/>
          <w:szCs w:val="15"/>
        </w:rPr>
      </w:pPr>
    </w:p>
    <w:p>
      <w:pPr>
        <w:spacing w:before="76"/>
        <w:ind w:left="4451" w:right="4369" w:firstLine="0"/>
        <w:jc w:val="center"/>
        <w:rPr>
          <w:rFonts w:ascii="Times New Roman" w:hAnsi="Times New Roman" w:cs="Times New Roman" w:eastAsia="Times New Roman" w:hint="default"/>
          <w:sz w:val="18"/>
          <w:szCs w:val="18"/>
        </w:rPr>
      </w:pPr>
      <w:r>
        <w:rPr>
          <w:rFonts w:ascii="Times New Roman"/>
          <w:sz w:val="18"/>
        </w:rPr>
        <w:t>76</w:t>
      </w:r>
    </w:p>
    <w:p>
      <w:pPr>
        <w:spacing w:after="0"/>
        <w:jc w:val="center"/>
        <w:rPr>
          <w:rFonts w:ascii="Times New Roman" w:hAnsi="Times New Roman" w:cs="Times New Roman" w:eastAsia="Times New Roman" w:hint="default"/>
          <w:sz w:val="18"/>
          <w:szCs w:val="18"/>
        </w:rPr>
        <w:sectPr>
          <w:pgSz w:w="11910" w:h="16840"/>
          <w:pgMar w:top="780" w:bottom="280" w:left="1160" w:right="136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70.860001pt;margin-top:-9.926001pt;width:84.0pt;height:23.94pt;mso-position-horizontal-relative:page;mso-position-vertical-relative:paragraph;z-index:5344"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97" w:type="dxa"/>
        <w:tblLayout w:type="fixed"/>
        <w:tblCellMar>
          <w:top w:w="0" w:type="dxa"/>
          <w:left w:w="0" w:type="dxa"/>
          <w:bottom w:w="0" w:type="dxa"/>
          <w:right w:w="0" w:type="dxa"/>
        </w:tblCellMar>
        <w:tblLook w:val="01E0"/>
      </w:tblPr>
      <w:tblGrid>
        <w:gridCol w:w="2167"/>
        <w:gridCol w:w="1568"/>
        <w:gridCol w:w="1800"/>
        <w:gridCol w:w="1744"/>
        <w:gridCol w:w="1549"/>
      </w:tblGrid>
      <w:tr>
        <w:trPr>
          <w:trHeight w:val="545" w:hRule="exact"/>
        </w:trPr>
        <w:tc>
          <w:tcPr>
            <w:tcW w:w="2167" w:type="dxa"/>
            <w:tcBorders>
              <w:top w:val="single" w:sz="12" w:space="0" w:color="000000"/>
              <w:left w:val="nil" w:sz="6" w:space="0" w:color="auto"/>
              <w:bottom w:val="single" w:sz="12" w:space="0" w:color="000000"/>
              <w:right w:val="single" w:sz="6" w:space="0" w:color="000000"/>
            </w:tcBorders>
          </w:tcPr>
          <w:p>
            <w:pPr>
              <w:pStyle w:val="TableParagraph"/>
              <w:tabs>
                <w:tab w:pos="440" w:val="left" w:leader="none"/>
              </w:tabs>
              <w:spacing w:line="240" w:lineRule="auto" w:before="87"/>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left="100" w:right="0"/>
              <w:jc w:val="left"/>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15,305,236.33</w:t>
            </w:r>
            <w:r>
              <w:rPr>
                <w:rFonts w:ascii="Century Gothic"/>
                <w:b/>
                <w:sz w:val="21"/>
              </w:rPr>
            </w:r>
            <w:r>
              <w:rPr>
                <w:rFonts w:ascii="Century Gothic"/>
                <w:sz w:val="21"/>
              </w:rPr>
            </w:r>
          </w:p>
        </w:tc>
        <w:tc>
          <w:tcPr>
            <w:tcW w:w="18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left="343" w:right="0"/>
              <w:jc w:val="left"/>
              <w:rPr>
                <w:rFonts w:ascii="Century Gothic" w:hAnsi="Century Gothic" w:cs="Century Gothic" w:eastAsia="Century Gothic" w:hint="default"/>
                <w:sz w:val="21"/>
                <w:szCs w:val="21"/>
              </w:rPr>
            </w:pPr>
            <w:r>
              <w:rPr>
                <w:rFonts w:ascii="Century Gothic"/>
                <w:b/>
                <w:sz w:val="21"/>
              </w:rPr>
            </w:r>
            <w:r>
              <w:rPr>
                <w:rFonts w:ascii="Century Gothic"/>
                <w:b/>
                <w:sz w:val="21"/>
                <w:u w:val="single" w:color="000000"/>
              </w:rPr>
              <w:t> </w:t>
            </w:r>
            <w:r>
              <w:rPr>
                <w:rFonts w:ascii="Century Gothic"/>
                <w:b/>
                <w:spacing w:val="-12"/>
                <w:sz w:val="21"/>
                <w:u w:val="single" w:color="000000"/>
              </w:rPr>
              <w:t> </w:t>
            </w:r>
            <w:r>
              <w:rPr>
                <w:rFonts w:ascii="Century Gothic"/>
                <w:b/>
                <w:sz w:val="21"/>
                <w:u w:val="single" w:color="000000"/>
              </w:rPr>
              <w:t>1,215,550.36</w:t>
            </w:r>
            <w:r>
              <w:rPr>
                <w:rFonts w:ascii="Century Gothic"/>
                <w:b/>
                <w:sz w:val="21"/>
              </w:rPr>
            </w:r>
            <w:r>
              <w:rPr>
                <w:rFonts w:ascii="Century Gothic"/>
                <w:sz w:val="21"/>
              </w:rPr>
            </w:r>
          </w:p>
        </w:tc>
        <w:tc>
          <w:tcPr>
            <w:tcW w:w="17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7"/>
              <w:ind w:left="287" w:right="0"/>
              <w:jc w:val="left"/>
              <w:rPr>
                <w:rFonts w:ascii="Century Gothic" w:hAnsi="Century Gothic" w:cs="Century Gothic" w:eastAsia="Century Gothic" w:hint="default"/>
                <w:sz w:val="21"/>
                <w:szCs w:val="21"/>
              </w:rPr>
            </w:pPr>
            <w:r>
              <w:rPr>
                <w:rFonts w:ascii="Century Gothic"/>
                <w:b/>
                <w:sz w:val="21"/>
              </w:rPr>
            </w:r>
            <w:r>
              <w:rPr>
                <w:rFonts w:ascii="Century Gothic"/>
                <w:b/>
                <w:sz w:val="21"/>
                <w:u w:val="single" w:color="000000"/>
              </w:rPr>
              <w:t> </w:t>
            </w:r>
            <w:r>
              <w:rPr>
                <w:rFonts w:ascii="Century Gothic"/>
                <w:b/>
                <w:spacing w:val="-12"/>
                <w:sz w:val="21"/>
                <w:u w:val="single" w:color="000000"/>
              </w:rPr>
              <w:t> </w:t>
            </w:r>
            <w:r>
              <w:rPr>
                <w:rFonts w:ascii="Century Gothic"/>
                <w:b/>
                <w:sz w:val="21"/>
                <w:u w:val="single" w:color="000000"/>
              </w:rPr>
              <w:t>8,836,193.11</w:t>
            </w:r>
            <w:r>
              <w:rPr>
                <w:rFonts w:ascii="Century Gothic"/>
                <w:b/>
                <w:sz w:val="21"/>
              </w:rPr>
            </w:r>
            <w:r>
              <w:rPr>
                <w:rFonts w:ascii="Century Gothic"/>
                <w:sz w:val="21"/>
              </w:rPr>
            </w:r>
          </w:p>
        </w:tc>
        <w:tc>
          <w:tcPr>
            <w:tcW w:w="154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黑体" w:hAnsi="黑体" w:cs="黑体" w:eastAsia="黑体" w:hint="default"/>
                <w:b/>
                <w:bCs/>
                <w:sz w:val="19"/>
                <w:szCs w:val="19"/>
              </w:rPr>
            </w:pPr>
          </w:p>
          <w:p>
            <w:pPr>
              <w:pStyle w:val="TableParagraph"/>
              <w:spacing w:line="240" w:lineRule="auto"/>
              <w:ind w:left="199" w:right="0"/>
              <w:jc w:val="left"/>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7,684,593.58</w:t>
            </w:r>
            <w:r>
              <w:rPr>
                <w:rFonts w:ascii="Century Gothic"/>
                <w:b/>
                <w:sz w:val="21"/>
              </w:rPr>
            </w:r>
            <w:r>
              <w:rPr>
                <w:rFonts w:ascii="Century Gothic"/>
                <w:sz w:val="21"/>
              </w:rPr>
            </w:r>
          </w:p>
        </w:tc>
      </w:tr>
    </w:tbl>
    <w:p>
      <w:pPr>
        <w:pStyle w:val="BodyText"/>
        <w:spacing w:line="240" w:lineRule="auto" w:before="94"/>
        <w:ind w:left="558" w:right="0"/>
        <w:jc w:val="left"/>
      </w:pPr>
      <w:r>
        <w:rPr/>
        <w:t>注：本期生产性生物资产的减少主要系处置部分曼地亚红豆杉所致。</w:t>
      </w:r>
    </w:p>
    <w:p>
      <w:pPr>
        <w:pStyle w:val="BodyText"/>
        <w:spacing w:line="240" w:lineRule="auto" w:before="134"/>
        <w:ind w:left="558" w:right="0"/>
        <w:jc w:val="left"/>
      </w:pPr>
      <w:r>
        <w:rPr/>
        <w:t>（</w:t>
      </w:r>
      <w:r>
        <w:rPr>
          <w:rFonts w:ascii="Century Gothic" w:hAnsi="Century Gothic" w:cs="Century Gothic" w:eastAsia="Century Gothic" w:hint="default"/>
        </w:rPr>
        <w:t>2</w:t>
      </w:r>
      <w:r>
        <w:rPr/>
        <w:t>）报告期内无应提取生产性生物资产减值准备的情况。</w:t>
      </w:r>
    </w:p>
    <w:p>
      <w:pPr>
        <w:pStyle w:val="Heading4"/>
        <w:spacing w:line="240" w:lineRule="auto" w:before="119"/>
        <w:ind w:right="0"/>
        <w:jc w:val="left"/>
        <w:rPr>
          <w:rFonts w:ascii="宋体" w:hAnsi="宋体" w:cs="宋体" w:eastAsia="宋体" w:hint="default"/>
          <w:b w:val="0"/>
          <w:bCs w:val="0"/>
        </w:rPr>
      </w:pPr>
      <w:r>
        <w:rPr>
          <w:rFonts w:ascii="宋体" w:hAnsi="宋体" w:cs="宋体" w:eastAsia="宋体" w:hint="default"/>
        </w:rPr>
        <w:t>（十二）无形资产</w:t>
      </w:r>
      <w:r>
        <w:rPr>
          <w:rFonts w:ascii="宋体" w:hAnsi="宋体" w:cs="宋体" w:eastAsia="宋体" w:hint="default"/>
          <w:b w:val="0"/>
          <w:bCs w:val="0"/>
        </w:rPr>
      </w:r>
    </w:p>
    <w:p>
      <w:pPr>
        <w:pStyle w:val="BodyText"/>
        <w:spacing w:line="240" w:lineRule="auto" w:before="134"/>
        <w:ind w:left="558" w:right="0"/>
        <w:jc w:val="left"/>
      </w:pPr>
      <w:r>
        <w:rPr/>
        <w:t>（</w:t>
      </w:r>
      <w:r>
        <w:rPr>
          <w:rFonts w:ascii="Century Gothic" w:hAnsi="Century Gothic" w:cs="Century Gothic" w:eastAsia="Century Gothic" w:hint="default"/>
        </w:rPr>
        <w:t>1</w:t>
      </w:r>
      <w:r>
        <w:rPr/>
        <w:t>）无形资产情况</w:t>
      </w:r>
    </w:p>
    <w:p>
      <w:pPr>
        <w:spacing w:line="240" w:lineRule="auto" w:before="8"/>
        <w:rPr>
          <w:rFonts w:ascii="宋体" w:hAnsi="宋体" w:cs="宋体" w:eastAsia="宋体" w:hint="default"/>
          <w:sz w:val="11"/>
          <w:szCs w:val="11"/>
        </w:rPr>
      </w:pPr>
    </w:p>
    <w:tbl>
      <w:tblPr>
        <w:tblW w:w="0" w:type="auto"/>
        <w:jc w:val="left"/>
        <w:tblInd w:w="281" w:type="dxa"/>
        <w:tblLayout w:type="fixed"/>
        <w:tblCellMar>
          <w:top w:w="0" w:type="dxa"/>
          <w:left w:w="0" w:type="dxa"/>
          <w:bottom w:w="0" w:type="dxa"/>
          <w:right w:w="0" w:type="dxa"/>
        </w:tblCellMar>
        <w:tblLook w:val="01E0"/>
      </w:tblPr>
      <w:tblGrid>
        <w:gridCol w:w="2467"/>
        <w:gridCol w:w="1686"/>
        <w:gridCol w:w="1451"/>
        <w:gridCol w:w="1568"/>
        <w:gridCol w:w="1686"/>
      </w:tblGrid>
      <w:tr>
        <w:trPr>
          <w:trHeight w:val="307" w:hRule="exact"/>
        </w:trPr>
        <w:tc>
          <w:tcPr>
            <w:tcW w:w="2467"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20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51"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193"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568"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252"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686"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left="20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299"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一、无形资产原价合计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270,389,024.18</w:t>
            </w:r>
            <w:r>
              <w:rPr>
                <w:rFonts w:ascii="Century Gothic"/>
                <w:b/>
                <w:w w:val="95"/>
                <w:sz w:val="21"/>
              </w:rPr>
            </w:r>
            <w:r>
              <w:rPr>
                <w:rFonts w:ascii="Century Gothic"/>
                <w:sz w:val="21"/>
              </w:rPr>
            </w:r>
          </w:p>
        </w:tc>
        <w:tc>
          <w:tcPr>
            <w:tcW w:w="145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16,266,156.51</w:t>
            </w:r>
            <w:r>
              <w:rPr>
                <w:rFonts w:ascii="Century Gothic"/>
                <w:b/>
                <w:w w:val="95"/>
                <w:sz w:val="21"/>
              </w:rPr>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254,122,867.67</w:t>
            </w:r>
            <w:r>
              <w:rPr>
                <w:rFonts w:ascii="Century Gothic"/>
                <w:b/>
                <w:w w:val="95"/>
                <w:sz w:val="21"/>
              </w:rPr>
            </w:r>
            <w:r>
              <w:rPr>
                <w:rFonts w:ascii="Century Gothic"/>
                <w:sz w:val="21"/>
              </w:rPr>
            </w:r>
          </w:p>
        </w:tc>
      </w:tr>
      <w:tr>
        <w:trPr>
          <w:trHeight w:val="299"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、土地使用权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190,060,686.37</w:t>
            </w:r>
            <w:r>
              <w:rPr>
                <w:rFonts w:ascii="Century Gothic"/>
                <w:sz w:val="21"/>
              </w:rPr>
            </w:r>
          </w:p>
        </w:tc>
        <w:tc>
          <w:tcPr>
            <w:tcW w:w="145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9,917,516.51</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180,143,169.86</w:t>
            </w:r>
            <w:r>
              <w:rPr>
                <w:rFonts w:ascii="Century Gothic"/>
                <w:sz w:val="21"/>
              </w:rPr>
            </w:r>
          </w:p>
        </w:tc>
      </w:tr>
      <w:tr>
        <w:trPr>
          <w:trHeight w:val="299"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、电能表销售网络</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26,479,860.00</w:t>
            </w:r>
          </w:p>
        </w:tc>
        <w:tc>
          <w:tcPr>
            <w:tcW w:w="145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26,479,860.00</w:t>
            </w:r>
          </w:p>
        </w:tc>
      </w:tr>
      <w:tr>
        <w:trPr>
          <w:trHeight w:val="299"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宋体" w:hAnsi="宋体" w:cs="宋体" w:eastAsia="宋体" w:hint="default"/>
                <w:sz w:val="21"/>
                <w:szCs w:val="21"/>
              </w:rPr>
              <w:t>、生产经营权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49,814,776.61</w:t>
            </w:r>
          </w:p>
        </w:tc>
        <w:tc>
          <w:tcPr>
            <w:tcW w:w="145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6,040,040.00</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43,774,736.61</w:t>
            </w:r>
          </w:p>
        </w:tc>
      </w:tr>
      <w:tr>
        <w:trPr>
          <w:trHeight w:val="300"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4</w:t>
            </w:r>
            <w:r>
              <w:rPr>
                <w:rFonts w:ascii="宋体" w:hAnsi="宋体" w:cs="宋体" w:eastAsia="宋体" w:hint="default"/>
                <w:sz w:val="21"/>
                <w:szCs w:val="21"/>
              </w:rPr>
              <w:t>、管理软件</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4,033,701.20</w:t>
            </w:r>
          </w:p>
        </w:tc>
        <w:tc>
          <w:tcPr>
            <w:tcW w:w="145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308,600.00</w:t>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3,725,101.20</w:t>
            </w:r>
          </w:p>
        </w:tc>
      </w:tr>
      <w:tr>
        <w:trPr>
          <w:trHeight w:val="560"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二、无形资产累计摊销额</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51,478,081.69</w:t>
            </w:r>
            <w:r>
              <w:rPr>
                <w:rFonts w:ascii="Century Gothic"/>
                <w:b/>
                <w:w w:val="95"/>
                <w:sz w:val="21"/>
              </w:rPr>
            </w:r>
            <w:r>
              <w:rPr>
                <w:rFonts w:ascii="Century Gothic"/>
                <w:sz w:val="21"/>
              </w:rPr>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9,121,735.42</w:t>
            </w:r>
            <w:r>
              <w:rPr>
                <w:rFonts w:ascii="Century Gothic"/>
                <w:b/>
                <w:w w:val="95"/>
                <w:sz w:val="21"/>
              </w:rPr>
            </w:r>
            <w:r>
              <w:rPr>
                <w:rFonts w:ascii="Century Gothic"/>
                <w:sz w:val="21"/>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6,420,612.67</w:t>
            </w:r>
            <w:r>
              <w:rPr>
                <w:rFonts w:ascii="Century Gothic"/>
                <w:b/>
                <w:w w:val="95"/>
                <w:sz w:val="21"/>
              </w:rPr>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54,179,204.44</w:t>
            </w:r>
            <w:r>
              <w:rPr>
                <w:rFonts w:ascii="Century Gothic"/>
                <w:b/>
                <w:w w:val="95"/>
                <w:sz w:val="21"/>
              </w:rPr>
            </w:r>
            <w:r>
              <w:rPr>
                <w:rFonts w:ascii="Century Gothic"/>
                <w:sz w:val="21"/>
              </w:rPr>
            </w:r>
          </w:p>
        </w:tc>
      </w:tr>
      <w:tr>
        <w:trPr>
          <w:trHeight w:val="299"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、土地使用权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8,452,871.69</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3,488,382.00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1,809,996.02</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10,131,257.67</w:t>
            </w:r>
          </w:p>
        </w:tc>
      </w:tr>
      <w:tr>
        <w:trPr>
          <w:trHeight w:val="299"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、电能表销售网络</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21,183,888.00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2,647,986.00</w:t>
            </w: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23,831,874.00</w:t>
            </w:r>
          </w:p>
        </w:tc>
      </w:tr>
      <w:tr>
        <w:trPr>
          <w:trHeight w:val="300"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宋体" w:hAnsi="宋体" w:cs="宋体" w:eastAsia="宋体" w:hint="default"/>
                <w:sz w:val="21"/>
                <w:szCs w:val="21"/>
              </w:rPr>
              <w:t>、生产经营权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19,147,082.26</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2,590,853.94</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4,496,860.75</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17,241,075.45</w:t>
            </w:r>
          </w:p>
        </w:tc>
      </w:tr>
      <w:tr>
        <w:trPr>
          <w:trHeight w:val="299"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4</w:t>
            </w:r>
            <w:r>
              <w:rPr>
                <w:rFonts w:ascii="宋体" w:hAnsi="宋体" w:cs="宋体" w:eastAsia="宋体" w:hint="default"/>
                <w:sz w:val="21"/>
                <w:szCs w:val="21"/>
              </w:rPr>
              <w:t>、管理软件</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2,694,239.74</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394,513.48</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113,755.90</w:t>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2,974,997.32</w:t>
            </w:r>
          </w:p>
        </w:tc>
      </w:tr>
      <w:tr>
        <w:trPr>
          <w:trHeight w:val="560"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三、无形资产账面净值合</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218,910,942.49</w:t>
            </w:r>
            <w:r>
              <w:rPr>
                <w:rFonts w:ascii="Century Gothic"/>
                <w:b/>
                <w:w w:val="95"/>
                <w:sz w:val="21"/>
              </w:rPr>
            </w:r>
            <w:r>
              <w:rPr>
                <w:rFonts w:ascii="Century Gothic"/>
                <w:sz w:val="21"/>
              </w:rPr>
            </w:r>
          </w:p>
        </w:tc>
        <w:tc>
          <w:tcPr>
            <w:tcW w:w="145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199,943,663.23</w:t>
            </w:r>
            <w:r>
              <w:rPr>
                <w:rFonts w:ascii="Century Gothic"/>
                <w:b/>
                <w:w w:val="95"/>
                <w:sz w:val="21"/>
              </w:rPr>
            </w:r>
            <w:r>
              <w:rPr>
                <w:rFonts w:ascii="Century Gothic"/>
                <w:sz w:val="21"/>
              </w:rPr>
            </w:r>
          </w:p>
        </w:tc>
      </w:tr>
      <w:tr>
        <w:trPr>
          <w:trHeight w:val="299"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、土地使用权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181,607,814.68</w:t>
            </w:r>
            <w:r>
              <w:rPr>
                <w:rFonts w:ascii="Century Gothic"/>
                <w:sz w:val="21"/>
              </w:rPr>
            </w:r>
          </w:p>
        </w:tc>
        <w:tc>
          <w:tcPr>
            <w:tcW w:w="145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170,011,912.19</w:t>
            </w:r>
            <w:r>
              <w:rPr>
                <w:rFonts w:ascii="Century Gothic"/>
                <w:sz w:val="21"/>
              </w:rPr>
            </w:r>
          </w:p>
        </w:tc>
      </w:tr>
      <w:tr>
        <w:trPr>
          <w:trHeight w:val="300"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、电能表销售网络</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5,295,972.00</w:t>
            </w:r>
          </w:p>
        </w:tc>
        <w:tc>
          <w:tcPr>
            <w:tcW w:w="145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2,647,986.00</w:t>
            </w:r>
          </w:p>
        </w:tc>
      </w:tr>
      <w:tr>
        <w:trPr>
          <w:trHeight w:val="299"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宋体" w:hAnsi="宋体" w:cs="宋体" w:eastAsia="宋体" w:hint="default"/>
                <w:sz w:val="21"/>
                <w:szCs w:val="21"/>
              </w:rPr>
              <w:t>、生产经营权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30,667,694.35</w:t>
            </w:r>
          </w:p>
        </w:tc>
        <w:tc>
          <w:tcPr>
            <w:tcW w:w="145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26,533,661.16</w:t>
            </w:r>
          </w:p>
        </w:tc>
      </w:tr>
      <w:tr>
        <w:trPr>
          <w:trHeight w:val="299"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4</w:t>
            </w:r>
            <w:r>
              <w:rPr>
                <w:rFonts w:ascii="宋体" w:hAnsi="宋体" w:cs="宋体" w:eastAsia="宋体" w:hint="default"/>
                <w:sz w:val="21"/>
                <w:szCs w:val="21"/>
              </w:rPr>
              <w:t>、管理软件</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1,339,461.46</w:t>
            </w:r>
          </w:p>
        </w:tc>
        <w:tc>
          <w:tcPr>
            <w:tcW w:w="145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750,103.88</w:t>
            </w:r>
          </w:p>
        </w:tc>
      </w:tr>
      <w:tr>
        <w:trPr>
          <w:trHeight w:val="560"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四、无形资产减值准备累</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45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五、无形资产账面价值合</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218,910,942.49</w:t>
            </w:r>
            <w:r>
              <w:rPr>
                <w:rFonts w:ascii="Century Gothic"/>
                <w:b/>
                <w:w w:val="95"/>
                <w:sz w:val="21"/>
              </w:rPr>
            </w:r>
            <w:r>
              <w:rPr>
                <w:rFonts w:ascii="Century Gothic"/>
                <w:sz w:val="21"/>
              </w:rPr>
            </w:r>
          </w:p>
        </w:tc>
        <w:tc>
          <w:tcPr>
            <w:tcW w:w="145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199,943,663.23</w:t>
            </w:r>
            <w:r>
              <w:rPr>
                <w:rFonts w:ascii="Century Gothic"/>
                <w:b/>
                <w:w w:val="95"/>
                <w:sz w:val="21"/>
              </w:rPr>
            </w:r>
            <w:r>
              <w:rPr>
                <w:rFonts w:ascii="Century Gothic"/>
                <w:sz w:val="21"/>
              </w:rPr>
            </w:r>
          </w:p>
        </w:tc>
      </w:tr>
      <w:tr>
        <w:trPr>
          <w:trHeight w:val="299"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、土地使用权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181,607,814.68</w:t>
            </w:r>
            <w:r>
              <w:rPr>
                <w:rFonts w:ascii="Century Gothic"/>
                <w:sz w:val="21"/>
              </w:rPr>
            </w:r>
          </w:p>
        </w:tc>
        <w:tc>
          <w:tcPr>
            <w:tcW w:w="145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170,011,912.19</w:t>
            </w:r>
            <w:r>
              <w:rPr>
                <w:rFonts w:ascii="Century Gothic"/>
                <w:sz w:val="21"/>
              </w:rPr>
            </w:r>
          </w:p>
        </w:tc>
      </w:tr>
      <w:tr>
        <w:trPr>
          <w:trHeight w:val="299"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、电能表销售网络</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5,295,972.00</w:t>
            </w:r>
          </w:p>
        </w:tc>
        <w:tc>
          <w:tcPr>
            <w:tcW w:w="145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2,647,986.00</w:t>
            </w:r>
          </w:p>
        </w:tc>
      </w:tr>
      <w:tr>
        <w:trPr>
          <w:trHeight w:val="299" w:hRule="exact"/>
        </w:trPr>
        <w:tc>
          <w:tcPr>
            <w:tcW w:w="2467"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宋体" w:hAnsi="宋体" w:cs="宋体" w:eastAsia="宋体" w:hint="default"/>
                <w:sz w:val="21"/>
                <w:szCs w:val="21"/>
              </w:rPr>
              <w:t>、生产经营权</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30,667,694.35</w:t>
            </w:r>
          </w:p>
        </w:tc>
        <w:tc>
          <w:tcPr>
            <w:tcW w:w="1451"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26,533,661.16</w:t>
            </w:r>
          </w:p>
        </w:tc>
      </w:tr>
      <w:tr>
        <w:trPr>
          <w:trHeight w:val="308" w:hRule="exact"/>
        </w:trPr>
        <w:tc>
          <w:tcPr>
            <w:tcW w:w="2467" w:type="dxa"/>
            <w:tcBorders>
              <w:top w:val="single" w:sz="6" w:space="0" w:color="000000"/>
              <w:left w:val="nil" w:sz="6" w:space="0" w:color="auto"/>
              <w:bottom w:val="single" w:sz="12"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4</w:t>
            </w:r>
            <w:r>
              <w:rPr>
                <w:rFonts w:ascii="宋体" w:hAnsi="宋体" w:cs="宋体" w:eastAsia="宋体" w:hint="default"/>
                <w:sz w:val="21"/>
                <w:szCs w:val="21"/>
              </w:rPr>
              <w:t>、管理软件</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1,339,461.46</w:t>
            </w:r>
          </w:p>
        </w:tc>
        <w:tc>
          <w:tcPr>
            <w:tcW w:w="1451" w:type="dxa"/>
            <w:tcBorders>
              <w:top w:val="single" w:sz="6" w:space="0" w:color="000000"/>
              <w:left w:val="single" w:sz="6" w:space="0" w:color="000000"/>
              <w:bottom w:val="single" w:sz="12" w:space="0" w:color="000000"/>
              <w:right w:val="single" w:sz="6" w:space="0" w:color="000000"/>
            </w:tcBorders>
          </w:tcPr>
          <w:p>
            <w:pPr/>
          </w:p>
        </w:tc>
        <w:tc>
          <w:tcPr>
            <w:tcW w:w="1568"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750,103.88</w:t>
            </w:r>
          </w:p>
        </w:tc>
      </w:tr>
    </w:tbl>
    <w:p>
      <w:pPr>
        <w:pStyle w:val="BodyText"/>
        <w:spacing w:line="240" w:lineRule="auto" w:before="86"/>
        <w:ind w:left="558" w:right="0"/>
        <w:jc w:val="left"/>
      </w:pPr>
      <w:r>
        <w:rPr/>
        <w:t>本年摊销额为</w:t>
      </w:r>
      <w:r>
        <w:rPr>
          <w:spacing w:val="-60"/>
        </w:rPr>
        <w:t> </w:t>
      </w:r>
      <w:r>
        <w:rPr>
          <w:rFonts w:ascii="Century Gothic" w:hAnsi="Century Gothic" w:cs="Century Gothic" w:eastAsia="Century Gothic" w:hint="default"/>
        </w:rPr>
        <w:t>9,121,735.42</w:t>
      </w:r>
      <w:r>
        <w:rPr>
          <w:rFonts w:ascii="Century Gothic" w:hAnsi="Century Gothic" w:cs="Century Gothic" w:eastAsia="Century Gothic" w:hint="default"/>
          <w:spacing w:val="-13"/>
        </w:rPr>
        <w:t> </w:t>
      </w:r>
      <w:r>
        <w:rPr/>
        <w:t>元。</w:t>
      </w:r>
    </w:p>
    <w:p>
      <w:pPr>
        <w:pStyle w:val="Heading4"/>
        <w:spacing w:line="240" w:lineRule="auto" w:before="117"/>
        <w:ind w:right="0"/>
        <w:jc w:val="left"/>
        <w:rPr>
          <w:rFonts w:ascii="宋体" w:hAnsi="宋体" w:cs="宋体" w:eastAsia="宋体" w:hint="default"/>
          <w:b w:val="0"/>
          <w:bCs w:val="0"/>
        </w:rPr>
      </w:pPr>
      <w:r>
        <w:rPr>
          <w:rFonts w:ascii="宋体" w:hAnsi="宋体" w:cs="宋体" w:eastAsia="宋体" w:hint="default"/>
          <w:spacing w:val="2"/>
        </w:rPr>
        <w:t>（十三）商誉</w:t>
      </w:r>
      <w:r>
        <w:rPr>
          <w:rFonts w:ascii="宋体" w:hAnsi="宋体" w:cs="宋体" w:eastAsia="宋体" w:hint="default"/>
          <w:b w:val="0"/>
          <w:bCs w:val="0"/>
          <w:spacing w:val="2"/>
        </w:rPr>
      </w:r>
    </w:p>
    <w:p>
      <w:pPr>
        <w:spacing w:line="240" w:lineRule="auto" w:before="11"/>
        <w:rPr>
          <w:rFonts w:ascii="宋体" w:hAnsi="宋体" w:cs="宋体" w:eastAsia="宋体" w:hint="default"/>
          <w:b/>
          <w:bCs/>
          <w:sz w:val="12"/>
          <w:szCs w:val="12"/>
        </w:rPr>
      </w:pPr>
    </w:p>
    <w:tbl>
      <w:tblPr>
        <w:tblW w:w="0" w:type="auto"/>
        <w:jc w:val="left"/>
        <w:tblInd w:w="287" w:type="dxa"/>
        <w:tblLayout w:type="fixed"/>
        <w:tblCellMar>
          <w:top w:w="0" w:type="dxa"/>
          <w:left w:w="0" w:type="dxa"/>
          <w:bottom w:w="0" w:type="dxa"/>
          <w:right w:w="0" w:type="dxa"/>
        </w:tblCellMar>
        <w:tblLook w:val="01E0"/>
      </w:tblPr>
      <w:tblGrid>
        <w:gridCol w:w="2864"/>
        <w:gridCol w:w="1376"/>
        <w:gridCol w:w="476"/>
        <w:gridCol w:w="1376"/>
        <w:gridCol w:w="1376"/>
        <w:gridCol w:w="1375"/>
      </w:tblGrid>
      <w:tr>
        <w:trPr>
          <w:trHeight w:val="1388" w:hRule="exact"/>
        </w:trPr>
        <w:tc>
          <w:tcPr>
            <w:tcW w:w="286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left="914" w:right="366" w:hanging="526"/>
              <w:jc w:val="left"/>
              <w:rPr>
                <w:rFonts w:ascii="宋体" w:hAnsi="宋体" w:cs="宋体" w:eastAsia="宋体" w:hint="default"/>
                <w:sz w:val="21"/>
                <w:szCs w:val="21"/>
              </w:rPr>
            </w:pPr>
            <w:r>
              <w:rPr>
                <w:rFonts w:ascii="宋体" w:hAnsi="宋体" w:cs="宋体" w:eastAsia="宋体" w:hint="default"/>
                <w:sz w:val="21"/>
                <w:szCs w:val="21"/>
              </w:rPr>
              <w:t>被投资单位名称或形成 商誉的事项</w:t>
            </w:r>
          </w:p>
        </w:tc>
        <w:tc>
          <w:tcPr>
            <w:tcW w:w="13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left="576" w:right="155" w:hanging="420"/>
              <w:jc w:val="left"/>
              <w:rPr>
                <w:rFonts w:ascii="宋体" w:hAnsi="宋体" w:cs="宋体" w:eastAsia="宋体" w:hint="default"/>
                <w:sz w:val="21"/>
                <w:szCs w:val="21"/>
              </w:rPr>
            </w:pPr>
            <w:r>
              <w:rPr>
                <w:rFonts w:ascii="宋体" w:hAnsi="宋体" w:cs="宋体" w:eastAsia="宋体" w:hint="default"/>
                <w:sz w:val="21"/>
                <w:szCs w:val="21"/>
              </w:rPr>
              <w:t>年初账面余 额</w:t>
            </w:r>
          </w:p>
        </w:tc>
        <w:tc>
          <w:tcPr>
            <w:tcW w:w="47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25"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37" w:lineRule="auto" w:before="2"/>
              <w:ind w:left="125" w:right="124"/>
              <w:jc w:val="both"/>
              <w:rPr>
                <w:rFonts w:ascii="宋体" w:hAnsi="宋体" w:cs="宋体" w:eastAsia="宋体" w:hint="default"/>
                <w:sz w:val="21"/>
                <w:szCs w:val="21"/>
              </w:rPr>
            </w:pPr>
            <w:r>
              <w:rPr>
                <w:rFonts w:ascii="宋体" w:hAnsi="宋体" w:cs="宋体" w:eastAsia="宋体" w:hint="default"/>
                <w:sz w:val="21"/>
                <w:szCs w:val="21"/>
              </w:rPr>
              <w:t>年 增 加 额</w:t>
            </w:r>
          </w:p>
        </w:tc>
        <w:tc>
          <w:tcPr>
            <w:tcW w:w="13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3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left="576" w:right="155" w:hanging="420"/>
              <w:jc w:val="left"/>
              <w:rPr>
                <w:rFonts w:ascii="宋体" w:hAnsi="宋体" w:cs="宋体" w:eastAsia="宋体" w:hint="default"/>
                <w:sz w:val="21"/>
                <w:szCs w:val="21"/>
              </w:rPr>
            </w:pPr>
            <w:r>
              <w:rPr>
                <w:rFonts w:ascii="宋体" w:hAnsi="宋体" w:cs="宋体" w:eastAsia="宋体" w:hint="default"/>
                <w:sz w:val="21"/>
                <w:szCs w:val="21"/>
              </w:rPr>
              <w:t>年末账面余 额</w:t>
            </w:r>
          </w:p>
        </w:tc>
        <w:tc>
          <w:tcPr>
            <w:tcW w:w="137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b/>
                <w:bCs/>
                <w:sz w:val="28"/>
                <w:szCs w:val="28"/>
              </w:rPr>
            </w:pPr>
          </w:p>
          <w:p>
            <w:pPr>
              <w:pStyle w:val="TableParagraph"/>
              <w:spacing w:line="240" w:lineRule="auto"/>
              <w:ind w:left="576" w:right="161" w:hanging="420"/>
              <w:jc w:val="left"/>
              <w:rPr>
                <w:rFonts w:ascii="宋体" w:hAnsi="宋体" w:cs="宋体" w:eastAsia="宋体" w:hint="default"/>
                <w:sz w:val="21"/>
                <w:szCs w:val="21"/>
              </w:rPr>
            </w:pPr>
            <w:r>
              <w:rPr>
                <w:rFonts w:ascii="宋体" w:hAnsi="宋体" w:cs="宋体" w:eastAsia="宋体" w:hint="default"/>
                <w:sz w:val="21"/>
                <w:szCs w:val="21"/>
              </w:rPr>
              <w:t>年末减值准 备</w:t>
            </w:r>
          </w:p>
        </w:tc>
      </w:tr>
      <w:tr>
        <w:trPr>
          <w:trHeight w:val="299" w:hRule="exact"/>
        </w:trPr>
        <w:tc>
          <w:tcPr>
            <w:tcW w:w="286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重庆华立武陵山制药有限公司</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437,025.54</w:t>
            </w:r>
            <w:r>
              <w:rPr>
                <w:rFonts w:ascii="Century Gothic"/>
                <w:sz w:val="18"/>
              </w:rPr>
            </w:r>
          </w:p>
        </w:tc>
        <w:tc>
          <w:tcPr>
            <w:tcW w:w="47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437,025.54</w:t>
            </w:r>
            <w:r>
              <w:rPr>
                <w:rFonts w:ascii="Century Gothic"/>
                <w:sz w:val="18"/>
              </w:rPr>
            </w:r>
          </w:p>
        </w:tc>
        <w:tc>
          <w:tcPr>
            <w:tcW w:w="1375"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86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四川同人泰药业有限公司</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292,729.60</w:t>
            </w:r>
            <w:r>
              <w:rPr>
                <w:rFonts w:ascii="Century Gothic"/>
                <w:sz w:val="18"/>
              </w:rPr>
            </w:r>
          </w:p>
        </w:tc>
        <w:tc>
          <w:tcPr>
            <w:tcW w:w="47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64" w:right="0"/>
              <w:jc w:val="left"/>
              <w:rPr>
                <w:rFonts w:ascii="Century Gothic" w:hAnsi="Century Gothic" w:cs="Century Gothic" w:eastAsia="Century Gothic" w:hint="default"/>
                <w:sz w:val="18"/>
                <w:szCs w:val="18"/>
              </w:rPr>
            </w:pPr>
            <w:r>
              <w:rPr>
                <w:rFonts w:ascii="Century Gothic"/>
                <w:sz w:val="18"/>
              </w:rPr>
              <w:t>292,729.60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86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5,837,374.37</w:t>
            </w:r>
          </w:p>
        </w:tc>
        <w:tc>
          <w:tcPr>
            <w:tcW w:w="47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9"/>
              <w:jc w:val="right"/>
              <w:rPr>
                <w:rFonts w:ascii="Century Gothic" w:hAnsi="Century Gothic" w:cs="Century Gothic" w:eastAsia="Century Gothic" w:hint="default"/>
                <w:sz w:val="18"/>
                <w:szCs w:val="18"/>
              </w:rPr>
            </w:pPr>
            <w:r>
              <w:rPr>
                <w:rFonts w:ascii="Century Gothic"/>
                <w:spacing w:val="-1"/>
                <w:sz w:val="18"/>
              </w:rPr>
              <w:t>5,837,374.37</w:t>
            </w:r>
            <w:r>
              <w:rPr>
                <w:rFonts w:ascii="Century Gothic"/>
                <w:sz w:val="18"/>
              </w:rPr>
            </w:r>
          </w:p>
        </w:tc>
        <w:tc>
          <w:tcPr>
            <w:tcW w:w="13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left="215" w:right="0"/>
              <w:jc w:val="left"/>
              <w:rPr>
                <w:rFonts w:ascii="Century Gothic" w:hAnsi="Century Gothic" w:cs="Century Gothic" w:eastAsia="Century Gothic" w:hint="default"/>
                <w:sz w:val="18"/>
                <w:szCs w:val="18"/>
              </w:rPr>
            </w:pPr>
            <w:r>
              <w:rPr>
                <w:rFonts w:ascii="Century Gothic"/>
                <w:sz w:val="18"/>
              </w:rPr>
              <w:t>5,837,374.37</w:t>
            </w:r>
          </w:p>
        </w:tc>
      </w:tr>
      <w:tr>
        <w:trPr>
          <w:trHeight w:val="491" w:hRule="exact"/>
        </w:trPr>
        <w:tc>
          <w:tcPr>
            <w:tcW w:w="2864"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8"/>
                <w:sz w:val="18"/>
                <w:szCs w:val="18"/>
              </w:rPr>
              <w:t>洪雅美联曼地亚红豆杉种植有限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8,900,000.00</w:t>
            </w:r>
          </w:p>
        </w:tc>
        <w:tc>
          <w:tcPr>
            <w:tcW w:w="476" w:type="dxa"/>
            <w:tcBorders>
              <w:top w:val="single" w:sz="6" w:space="0" w:color="000000"/>
              <w:left w:val="single" w:sz="6" w:space="0" w:color="000000"/>
              <w:bottom w:val="single" w:sz="12" w:space="0" w:color="000000"/>
              <w:right w:val="single" w:sz="6" w:space="0" w:color="000000"/>
            </w:tcBorders>
          </w:tcPr>
          <w:p>
            <w:pPr/>
          </w:p>
        </w:tc>
        <w:tc>
          <w:tcPr>
            <w:tcW w:w="1376" w:type="dxa"/>
            <w:tcBorders>
              <w:top w:val="single" w:sz="6" w:space="0" w:color="000000"/>
              <w:left w:val="single" w:sz="6" w:space="0" w:color="000000"/>
              <w:bottom w:val="single" w:sz="12" w:space="0" w:color="000000"/>
              <w:right w:val="single" w:sz="6" w:space="0" w:color="000000"/>
            </w:tcBorders>
          </w:tcPr>
          <w:p>
            <w:pP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99"/>
              <w:jc w:val="right"/>
              <w:rPr>
                <w:rFonts w:ascii="Century Gothic" w:hAnsi="Century Gothic" w:cs="Century Gothic" w:eastAsia="Century Gothic" w:hint="default"/>
                <w:sz w:val="18"/>
                <w:szCs w:val="18"/>
              </w:rPr>
            </w:pPr>
            <w:r>
              <w:rPr>
                <w:rFonts w:ascii="Century Gothic"/>
                <w:spacing w:val="-1"/>
                <w:sz w:val="18"/>
              </w:rPr>
              <w:t>8,900,000.00</w:t>
            </w:r>
            <w:r>
              <w:rPr>
                <w:rFonts w:ascii="Century Gothic"/>
                <w:sz w:val="18"/>
              </w:rPr>
            </w:r>
          </w:p>
        </w:tc>
        <w:tc>
          <w:tcPr>
            <w:tcW w:w="1375" w:type="dxa"/>
            <w:tcBorders>
              <w:top w:val="single" w:sz="6" w:space="0" w:color="000000"/>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b/>
          <w:bCs/>
          <w:sz w:val="25"/>
          <w:szCs w:val="25"/>
        </w:rPr>
      </w:pPr>
    </w:p>
    <w:p>
      <w:pPr>
        <w:spacing w:before="76"/>
        <w:ind w:left="482" w:right="320" w:firstLine="0"/>
        <w:jc w:val="center"/>
        <w:rPr>
          <w:rFonts w:ascii="Times New Roman" w:hAnsi="Times New Roman" w:cs="Times New Roman" w:eastAsia="Times New Roman" w:hint="default"/>
          <w:sz w:val="18"/>
          <w:szCs w:val="18"/>
        </w:rPr>
      </w:pPr>
      <w:r>
        <w:rPr>
          <w:rFonts w:ascii="Times New Roman"/>
          <w:sz w:val="18"/>
        </w:rPr>
        <w:t>77</w:t>
      </w:r>
    </w:p>
    <w:p>
      <w:pPr>
        <w:spacing w:after="0"/>
        <w:jc w:val="center"/>
        <w:rPr>
          <w:rFonts w:ascii="Times New Roman" w:hAnsi="Times New Roman" w:cs="Times New Roman" w:eastAsia="Times New Roman" w:hint="default"/>
          <w:sz w:val="18"/>
          <w:szCs w:val="18"/>
        </w:rPr>
        <w:sectPr>
          <w:pgSz w:w="11910" w:h="16840"/>
          <w:pgMar w:top="780" w:bottom="280" w:left="1280" w:right="132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5392"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87" w:type="dxa"/>
        <w:tblLayout w:type="fixed"/>
        <w:tblCellMar>
          <w:top w:w="0" w:type="dxa"/>
          <w:left w:w="0" w:type="dxa"/>
          <w:bottom w:w="0" w:type="dxa"/>
          <w:right w:w="0" w:type="dxa"/>
        </w:tblCellMar>
        <w:tblLook w:val="01E0"/>
      </w:tblPr>
      <w:tblGrid>
        <w:gridCol w:w="2864"/>
        <w:gridCol w:w="1376"/>
        <w:gridCol w:w="476"/>
        <w:gridCol w:w="1376"/>
        <w:gridCol w:w="1376"/>
        <w:gridCol w:w="1375"/>
      </w:tblGrid>
      <w:tr>
        <w:trPr>
          <w:trHeight w:val="307" w:hRule="exact"/>
        </w:trPr>
        <w:tc>
          <w:tcPr>
            <w:tcW w:w="2864"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云南工业大麻股份有限公司</w:t>
            </w:r>
          </w:p>
        </w:tc>
        <w:tc>
          <w:tcPr>
            <w:tcW w:w="13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12" w:right="0"/>
              <w:jc w:val="center"/>
              <w:rPr>
                <w:rFonts w:ascii="Century Gothic" w:hAnsi="Century Gothic" w:cs="Century Gothic" w:eastAsia="Century Gothic" w:hint="default"/>
                <w:sz w:val="18"/>
                <w:szCs w:val="18"/>
              </w:rPr>
            </w:pPr>
            <w:r>
              <w:rPr>
                <w:rFonts w:ascii="Century Gothic"/>
                <w:sz w:val="18"/>
              </w:rPr>
              <w:t>16,860,873.95</w:t>
            </w:r>
          </w:p>
        </w:tc>
        <w:tc>
          <w:tcPr>
            <w:tcW w:w="476" w:type="dxa"/>
            <w:tcBorders>
              <w:top w:val="single" w:sz="12" w:space="0" w:color="000000"/>
              <w:left w:val="single" w:sz="6" w:space="0" w:color="000000"/>
              <w:bottom w:val="single" w:sz="6" w:space="0" w:color="000000"/>
              <w:right w:val="single" w:sz="6" w:space="0" w:color="000000"/>
            </w:tcBorders>
          </w:tcPr>
          <w:p>
            <w:pPr/>
          </w:p>
        </w:tc>
        <w:tc>
          <w:tcPr>
            <w:tcW w:w="1376" w:type="dxa"/>
            <w:tcBorders>
              <w:top w:val="single" w:sz="12" w:space="0" w:color="000000"/>
              <w:left w:val="single" w:sz="6" w:space="0" w:color="000000"/>
              <w:bottom w:val="single" w:sz="6" w:space="0" w:color="000000"/>
              <w:right w:val="single" w:sz="6" w:space="0" w:color="000000"/>
            </w:tcBorders>
          </w:tcPr>
          <w:p>
            <w:pPr/>
          </w:p>
        </w:tc>
        <w:tc>
          <w:tcPr>
            <w:tcW w:w="13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left="11" w:right="0"/>
              <w:jc w:val="center"/>
              <w:rPr>
                <w:rFonts w:ascii="Century Gothic" w:hAnsi="Century Gothic" w:cs="Century Gothic" w:eastAsia="Century Gothic" w:hint="default"/>
                <w:sz w:val="18"/>
                <w:szCs w:val="18"/>
              </w:rPr>
            </w:pPr>
            <w:r>
              <w:rPr>
                <w:rFonts w:ascii="Century Gothic"/>
                <w:sz w:val="18"/>
              </w:rPr>
              <w:t>16,860,873.95</w:t>
            </w:r>
          </w:p>
        </w:tc>
        <w:tc>
          <w:tcPr>
            <w:tcW w:w="1375"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32"/>
              <w:ind w:left="113" w:right="0"/>
              <w:jc w:val="left"/>
              <w:rPr>
                <w:rFonts w:ascii="Century Gothic" w:hAnsi="Century Gothic" w:cs="Century Gothic" w:eastAsia="Century Gothic" w:hint="default"/>
                <w:sz w:val="18"/>
                <w:szCs w:val="18"/>
              </w:rPr>
            </w:pPr>
            <w:r>
              <w:rPr>
                <w:rFonts w:ascii="Century Gothic"/>
                <w:sz w:val="18"/>
              </w:rPr>
              <w:t>10,513,430.45</w:t>
            </w:r>
          </w:p>
        </w:tc>
      </w:tr>
      <w:tr>
        <w:trPr>
          <w:trHeight w:val="299" w:hRule="exact"/>
        </w:trPr>
        <w:tc>
          <w:tcPr>
            <w:tcW w:w="286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浙江华立南湖制药有限公司</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2" w:right="0"/>
              <w:jc w:val="center"/>
              <w:rPr>
                <w:rFonts w:ascii="Century Gothic" w:hAnsi="Century Gothic" w:cs="Century Gothic" w:eastAsia="Century Gothic" w:hint="default"/>
                <w:sz w:val="18"/>
                <w:szCs w:val="18"/>
              </w:rPr>
            </w:pPr>
            <w:r>
              <w:rPr>
                <w:rFonts w:ascii="Century Gothic"/>
                <w:sz w:val="18"/>
              </w:rPr>
              <w:t>12,601,382.21</w:t>
            </w:r>
          </w:p>
        </w:tc>
        <w:tc>
          <w:tcPr>
            <w:tcW w:w="47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1" w:right="0"/>
              <w:jc w:val="center"/>
              <w:rPr>
                <w:rFonts w:ascii="Century Gothic" w:hAnsi="Century Gothic" w:cs="Century Gothic" w:eastAsia="Century Gothic" w:hint="default"/>
                <w:sz w:val="18"/>
                <w:szCs w:val="18"/>
              </w:rPr>
            </w:pPr>
            <w:r>
              <w:rPr>
                <w:rFonts w:ascii="Century Gothic"/>
                <w:sz w:val="18"/>
              </w:rPr>
              <w:t>12,601,382.21</w:t>
            </w:r>
          </w:p>
        </w:tc>
        <w:tc>
          <w:tcPr>
            <w:tcW w:w="1375"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86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北京华立九州医药有限公司</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15" w:right="0"/>
              <w:jc w:val="center"/>
              <w:rPr>
                <w:rFonts w:ascii="Century Gothic" w:hAnsi="Century Gothic" w:cs="Century Gothic" w:eastAsia="Century Gothic" w:hint="default"/>
                <w:sz w:val="18"/>
                <w:szCs w:val="18"/>
              </w:rPr>
            </w:pPr>
            <w:r>
              <w:rPr>
                <w:rFonts w:ascii="Century Gothic"/>
                <w:sz w:val="18"/>
              </w:rPr>
              <w:t>2,236,132.92</w:t>
            </w:r>
          </w:p>
        </w:tc>
        <w:tc>
          <w:tcPr>
            <w:tcW w:w="47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2,236,132.92</w:t>
            </w:r>
          </w:p>
        </w:tc>
        <w:tc>
          <w:tcPr>
            <w:tcW w:w="137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86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北京华立永正医药有限责任公司</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2" w:right="0"/>
              <w:jc w:val="center"/>
              <w:rPr>
                <w:rFonts w:ascii="Century Gothic" w:hAnsi="Century Gothic" w:cs="Century Gothic" w:eastAsia="Century Gothic" w:hint="default"/>
                <w:sz w:val="18"/>
                <w:szCs w:val="18"/>
              </w:rPr>
            </w:pPr>
            <w:r>
              <w:rPr>
                <w:rFonts w:ascii="Century Gothic"/>
                <w:sz w:val="18"/>
              </w:rPr>
              <w:t>33,741,732.70</w:t>
            </w:r>
          </w:p>
        </w:tc>
        <w:tc>
          <w:tcPr>
            <w:tcW w:w="47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Century Gothic" w:hAnsi="Century Gothic" w:cs="Century Gothic" w:eastAsia="Century Gothic" w:hint="default"/>
                <w:sz w:val="18"/>
                <w:szCs w:val="18"/>
              </w:rPr>
            </w:pPr>
            <w:r>
              <w:rPr>
                <w:rFonts w:ascii="Century Gothic"/>
                <w:spacing w:val="-1"/>
                <w:sz w:val="18"/>
              </w:rPr>
              <w:t>33,741,732.70</w:t>
            </w:r>
          </w:p>
        </w:tc>
        <w:tc>
          <w:tcPr>
            <w:tcW w:w="137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86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广州华立万特医药有限公司</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15" w:right="0"/>
              <w:jc w:val="center"/>
              <w:rPr>
                <w:rFonts w:ascii="Century Gothic" w:hAnsi="Century Gothic" w:cs="Century Gothic" w:eastAsia="Century Gothic" w:hint="default"/>
                <w:sz w:val="18"/>
                <w:szCs w:val="18"/>
              </w:rPr>
            </w:pPr>
            <w:r>
              <w:rPr>
                <w:rFonts w:ascii="Century Gothic"/>
                <w:sz w:val="18"/>
              </w:rPr>
              <w:t>5,413,521.88</w:t>
            </w:r>
          </w:p>
        </w:tc>
        <w:tc>
          <w:tcPr>
            <w:tcW w:w="476"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5,413,521.88</w:t>
            </w:r>
          </w:p>
        </w:tc>
        <w:tc>
          <w:tcPr>
            <w:tcW w:w="137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nil" w:sz="6" w:space="0" w:color="auto"/>
            </w:tcBorders>
          </w:tcPr>
          <w:p>
            <w:pPr/>
          </w:p>
        </w:tc>
      </w:tr>
      <w:tr>
        <w:trPr>
          <w:trHeight w:val="307" w:hRule="exact"/>
        </w:trPr>
        <w:tc>
          <w:tcPr>
            <w:tcW w:w="2864" w:type="dxa"/>
            <w:tcBorders>
              <w:top w:val="single" w:sz="6" w:space="0" w:color="000000"/>
              <w:left w:val="nil" w:sz="6" w:space="0" w:color="auto"/>
              <w:bottom w:val="single" w:sz="12" w:space="0" w:color="000000"/>
              <w:right w:val="single" w:sz="6" w:space="0" w:color="000000"/>
            </w:tcBorders>
          </w:tcPr>
          <w:p>
            <w:pPr>
              <w:pStyle w:val="TableParagraph"/>
              <w:spacing w:line="207" w:lineRule="exact"/>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left="1" w:right="0"/>
              <w:jc w:val="center"/>
              <w:rPr>
                <w:rFonts w:ascii="Century Gothic" w:hAnsi="Century Gothic" w:cs="Century Gothic" w:eastAsia="Century Gothic" w:hint="default"/>
                <w:sz w:val="18"/>
                <w:szCs w:val="18"/>
              </w:rPr>
            </w:pPr>
            <w:r>
              <w:rPr>
                <w:rFonts w:ascii="Century Gothic"/>
                <w:b/>
                <w:w w:val="99"/>
                <w:sz w:val="18"/>
              </w:rPr>
            </w:r>
            <w:r>
              <w:rPr>
                <w:rFonts w:ascii="Century Gothic"/>
                <w:b/>
                <w:sz w:val="18"/>
                <w:u w:val="single" w:color="000000"/>
              </w:rPr>
              <w:t>86,320,773.17</w:t>
            </w:r>
            <w:r>
              <w:rPr>
                <w:rFonts w:ascii="Century Gothic"/>
                <w:b/>
                <w:sz w:val="18"/>
              </w:rPr>
            </w:r>
            <w:r>
              <w:rPr>
                <w:rFonts w:ascii="Century Gothic"/>
                <w:sz w:val="18"/>
              </w:rPr>
            </w:r>
          </w:p>
        </w:tc>
        <w:tc>
          <w:tcPr>
            <w:tcW w:w="476" w:type="dxa"/>
            <w:tcBorders>
              <w:top w:val="single" w:sz="6" w:space="0" w:color="000000"/>
              <w:left w:val="single" w:sz="6" w:space="0" w:color="000000"/>
              <w:bottom w:val="single" w:sz="12" w:space="0" w:color="000000"/>
              <w:right w:val="single" w:sz="6" w:space="0" w:color="000000"/>
            </w:tcBorders>
          </w:tcPr>
          <w:p>
            <w:pP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41,684,117.10</w:t>
            </w:r>
            <w:r>
              <w:rPr>
                <w:rFonts w:ascii="Century Gothic"/>
                <w:b/>
                <w:w w:val="95"/>
                <w:sz w:val="18"/>
              </w:rPr>
            </w:r>
            <w:r>
              <w:rPr>
                <w:rFonts w:ascii="Century Gothic"/>
                <w:sz w:val="18"/>
              </w:rPr>
            </w:r>
          </w:p>
        </w:tc>
        <w:tc>
          <w:tcPr>
            <w:tcW w:w="13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left="1" w:right="0"/>
              <w:jc w:val="center"/>
              <w:rPr>
                <w:rFonts w:ascii="Century Gothic" w:hAnsi="Century Gothic" w:cs="Century Gothic" w:eastAsia="Century Gothic" w:hint="default"/>
                <w:sz w:val="18"/>
                <w:szCs w:val="18"/>
              </w:rPr>
            </w:pPr>
            <w:r>
              <w:rPr>
                <w:rFonts w:ascii="Century Gothic"/>
                <w:b/>
                <w:w w:val="99"/>
                <w:sz w:val="18"/>
              </w:rPr>
            </w:r>
            <w:r>
              <w:rPr>
                <w:rFonts w:ascii="Century Gothic"/>
                <w:b/>
                <w:sz w:val="18"/>
                <w:u w:val="single" w:color="000000"/>
              </w:rPr>
              <w:t>44,636,656.07</w:t>
            </w:r>
            <w:r>
              <w:rPr>
                <w:rFonts w:ascii="Century Gothic"/>
                <w:b/>
                <w:sz w:val="18"/>
              </w:rPr>
            </w:r>
            <w:r>
              <w:rPr>
                <w:rFonts w:ascii="Century Gothic"/>
                <w:sz w:val="18"/>
              </w:rPr>
            </w:r>
          </w:p>
        </w:tc>
        <w:tc>
          <w:tcPr>
            <w:tcW w:w="137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left="102" w:right="0"/>
              <w:jc w:val="left"/>
              <w:rPr>
                <w:rFonts w:ascii="Century Gothic" w:hAnsi="Century Gothic" w:cs="Century Gothic" w:eastAsia="Century Gothic" w:hint="default"/>
                <w:sz w:val="18"/>
                <w:szCs w:val="18"/>
              </w:rPr>
            </w:pPr>
            <w:r>
              <w:rPr>
                <w:rFonts w:ascii="Century Gothic"/>
                <w:b/>
                <w:w w:val="99"/>
                <w:sz w:val="18"/>
              </w:rPr>
            </w:r>
            <w:r>
              <w:rPr>
                <w:rFonts w:ascii="Century Gothic"/>
                <w:b/>
                <w:sz w:val="18"/>
                <w:u w:val="single" w:color="000000"/>
              </w:rPr>
              <w:t>16,350,804.82</w:t>
            </w:r>
            <w:r>
              <w:rPr>
                <w:rFonts w:ascii="Century Gothic"/>
                <w:b/>
                <w:sz w:val="18"/>
              </w:rPr>
            </w:r>
            <w:r>
              <w:rPr>
                <w:rFonts w:ascii="Century Gothic"/>
                <w:sz w:val="18"/>
              </w:rPr>
            </w:r>
          </w:p>
        </w:tc>
      </w:tr>
    </w:tbl>
    <w:p>
      <w:pPr>
        <w:pStyle w:val="BodyText"/>
        <w:spacing w:line="357" w:lineRule="auto" w:before="94"/>
        <w:ind w:right="0" w:firstLine="420"/>
        <w:jc w:val="left"/>
      </w:pPr>
      <w:r>
        <w:rPr>
          <w:spacing w:val="-2"/>
        </w:rPr>
        <w:t>注：本年商誉的减少系处置子公司所致。公司于本年年末根据商誉减值测试结果，对云南工业大</w:t>
      </w:r>
      <w:r>
        <w:rPr/>
        <w:t> 麻股份有限公司商誉计提减值准备</w:t>
      </w:r>
      <w:r>
        <w:rPr>
          <w:spacing w:val="-58"/>
        </w:rPr>
        <w:t> </w:t>
      </w:r>
      <w:r>
        <w:rPr>
          <w:rFonts w:ascii="Century Gothic" w:hAnsi="Century Gothic" w:cs="Century Gothic" w:eastAsia="Century Gothic" w:hint="default"/>
        </w:rPr>
        <w:t>10,513,430.45</w:t>
      </w:r>
      <w:r>
        <w:rPr>
          <w:rFonts w:ascii="Century Gothic" w:hAnsi="Century Gothic" w:cs="Century Gothic" w:eastAsia="Century Gothic" w:hint="default"/>
          <w:spacing w:val="-11"/>
        </w:rPr>
        <w:t> </w:t>
      </w:r>
      <w:r>
        <w:rPr/>
        <w:t>元。</w:t>
      </w:r>
    </w:p>
    <w:p>
      <w:pPr>
        <w:pStyle w:val="Heading4"/>
        <w:spacing w:line="270" w:lineRule="exact" w:before="0"/>
        <w:ind w:right="0"/>
        <w:jc w:val="left"/>
        <w:rPr>
          <w:rFonts w:ascii="宋体" w:hAnsi="宋体" w:cs="宋体" w:eastAsia="宋体" w:hint="default"/>
          <w:b w:val="0"/>
          <w:bCs w:val="0"/>
        </w:rPr>
      </w:pPr>
      <w:r>
        <w:rPr>
          <w:rFonts w:ascii="宋体" w:hAnsi="宋体" w:cs="宋体" w:eastAsia="宋体" w:hint="default"/>
        </w:rPr>
        <w:t>（十四）长期待摊费用</w:t>
      </w:r>
      <w:r>
        <w:rPr>
          <w:rFonts w:ascii="宋体" w:hAnsi="宋体" w:cs="宋体" w:eastAsia="宋体" w:hint="default"/>
          <w:b w:val="0"/>
          <w:bCs w:val="0"/>
        </w:rPr>
      </w:r>
    </w:p>
    <w:p>
      <w:pPr>
        <w:spacing w:line="240" w:lineRule="auto" w:before="11"/>
        <w:rPr>
          <w:rFonts w:ascii="宋体" w:hAnsi="宋体" w:cs="宋体" w:eastAsia="宋体" w:hint="default"/>
          <w:b/>
          <w:bCs/>
          <w:sz w:val="12"/>
          <w:szCs w:val="12"/>
        </w:rPr>
      </w:pPr>
    </w:p>
    <w:tbl>
      <w:tblPr>
        <w:tblW w:w="0" w:type="auto"/>
        <w:jc w:val="left"/>
        <w:tblInd w:w="288" w:type="dxa"/>
        <w:tblLayout w:type="fixed"/>
        <w:tblCellMar>
          <w:top w:w="0" w:type="dxa"/>
          <w:left w:w="0" w:type="dxa"/>
          <w:bottom w:w="0" w:type="dxa"/>
          <w:right w:w="0" w:type="dxa"/>
        </w:tblCellMar>
        <w:tblLook w:val="01E0"/>
      </w:tblPr>
      <w:tblGrid>
        <w:gridCol w:w="2288"/>
        <w:gridCol w:w="1451"/>
        <w:gridCol w:w="1181"/>
        <w:gridCol w:w="1276"/>
        <w:gridCol w:w="1196"/>
        <w:gridCol w:w="1452"/>
      </w:tblGrid>
      <w:tr>
        <w:trPr>
          <w:trHeight w:val="568" w:hRule="exact"/>
        </w:trPr>
        <w:tc>
          <w:tcPr>
            <w:tcW w:w="228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1"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年初账面余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181"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额</w:t>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104" w:right="0"/>
              <w:jc w:val="left"/>
              <w:rPr>
                <w:rFonts w:ascii="宋体" w:hAnsi="宋体" w:cs="宋体" w:eastAsia="宋体" w:hint="default"/>
                <w:sz w:val="21"/>
                <w:szCs w:val="21"/>
              </w:rPr>
            </w:pPr>
            <w:r>
              <w:rPr>
                <w:rFonts w:ascii="宋体" w:hAnsi="宋体" w:cs="宋体" w:eastAsia="宋体" w:hint="default"/>
                <w:sz w:val="21"/>
                <w:szCs w:val="21"/>
              </w:rPr>
              <w:t>本年摊销额</w:t>
            </w:r>
          </w:p>
        </w:tc>
        <w:tc>
          <w:tcPr>
            <w:tcW w:w="1196"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本年其他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减少额</w:t>
            </w:r>
          </w:p>
        </w:tc>
        <w:tc>
          <w:tcPr>
            <w:tcW w:w="1452"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额</w:t>
            </w:r>
          </w:p>
        </w:tc>
      </w:tr>
      <w:tr>
        <w:trPr>
          <w:trHeight w:val="299" w:hRule="exact"/>
        </w:trPr>
        <w:tc>
          <w:tcPr>
            <w:tcW w:w="2288"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土地租赁费</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1" w:right="0"/>
              <w:jc w:val="center"/>
              <w:rPr>
                <w:rFonts w:ascii="Century Gothic" w:hAnsi="Century Gothic" w:cs="Century Gothic" w:eastAsia="Century Gothic" w:hint="default"/>
                <w:sz w:val="21"/>
                <w:szCs w:val="21"/>
              </w:rPr>
            </w:pPr>
            <w:r>
              <w:rPr>
                <w:rFonts w:ascii="Century Gothic"/>
                <w:sz w:val="21"/>
              </w:rPr>
              <w:t>7,239,058.08</w:t>
            </w:r>
          </w:p>
        </w:tc>
        <w:tc>
          <w:tcPr>
            <w:tcW w:w="1181"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12" w:right="0"/>
              <w:jc w:val="left"/>
              <w:rPr>
                <w:rFonts w:ascii="Century Gothic" w:hAnsi="Century Gothic" w:cs="Century Gothic" w:eastAsia="Century Gothic" w:hint="default"/>
                <w:sz w:val="21"/>
                <w:szCs w:val="21"/>
              </w:rPr>
            </w:pPr>
            <w:r>
              <w:rPr>
                <w:rFonts w:ascii="Century Gothic"/>
                <w:sz w:val="21"/>
              </w:rPr>
              <w:t>727,034.96</w:t>
            </w:r>
          </w:p>
        </w:tc>
        <w:tc>
          <w:tcPr>
            <w:tcW w:w="1196"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left="114" w:right="0"/>
              <w:jc w:val="left"/>
              <w:rPr>
                <w:rFonts w:ascii="Century Gothic" w:hAnsi="Century Gothic" w:cs="Century Gothic" w:eastAsia="Century Gothic" w:hint="default"/>
                <w:sz w:val="21"/>
                <w:szCs w:val="21"/>
              </w:rPr>
            </w:pPr>
            <w:r>
              <w:rPr>
                <w:rFonts w:ascii="Century Gothic"/>
                <w:sz w:val="21"/>
              </w:rPr>
              <w:t>6,512,023.12</w:t>
            </w:r>
          </w:p>
        </w:tc>
      </w:tr>
      <w:tr>
        <w:trPr>
          <w:trHeight w:val="308" w:hRule="exact"/>
        </w:trPr>
        <w:tc>
          <w:tcPr>
            <w:tcW w:w="2288" w:type="dxa"/>
            <w:tcBorders>
              <w:top w:val="single" w:sz="6" w:space="0" w:color="000000"/>
              <w:left w:val="nil" w:sz="6" w:space="0" w:color="auto"/>
              <w:bottom w:val="single" w:sz="12" w:space="0" w:color="000000"/>
              <w:right w:val="single" w:sz="6" w:space="0" w:color="000000"/>
            </w:tcBorders>
          </w:tcPr>
          <w:p>
            <w:pPr>
              <w:pStyle w:val="TableParagraph"/>
              <w:tabs>
                <w:tab w:pos="439" w:val="left" w:leader="none"/>
              </w:tabs>
              <w:spacing w:line="24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7,239,058.08</w:t>
            </w:r>
            <w:r>
              <w:rPr>
                <w:rFonts w:ascii="Century Gothic"/>
                <w:b/>
                <w:sz w:val="21"/>
              </w:rPr>
            </w:r>
            <w:r>
              <w:rPr>
                <w:rFonts w:ascii="Century Gothic"/>
                <w:sz w:val="21"/>
              </w:rPr>
            </w:r>
          </w:p>
        </w:tc>
        <w:tc>
          <w:tcPr>
            <w:tcW w:w="1181"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left="100" w:right="0"/>
              <w:jc w:val="left"/>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727,034.96</w:t>
            </w:r>
            <w:r>
              <w:rPr>
                <w:rFonts w:ascii="Century Gothic"/>
                <w:b/>
                <w:sz w:val="21"/>
              </w:rPr>
            </w:r>
            <w:r>
              <w:rPr>
                <w:rFonts w:ascii="Century Gothic"/>
                <w:sz w:val="21"/>
              </w:rPr>
            </w:r>
          </w:p>
        </w:tc>
        <w:tc>
          <w:tcPr>
            <w:tcW w:w="1196" w:type="dxa"/>
            <w:tcBorders>
              <w:top w:val="single" w:sz="6" w:space="0" w:color="000000"/>
              <w:left w:val="single" w:sz="6" w:space="0" w:color="000000"/>
              <w:bottom w:val="single" w:sz="12" w:space="0" w:color="000000"/>
              <w:right w:val="single" w:sz="6" w:space="0" w:color="000000"/>
            </w:tcBorders>
          </w:tcPr>
          <w:p>
            <w:pPr/>
          </w:p>
        </w:tc>
        <w:tc>
          <w:tcPr>
            <w:tcW w:w="14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left="100" w:right="0"/>
              <w:jc w:val="left"/>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6,512,023.12</w:t>
            </w:r>
            <w:r>
              <w:rPr>
                <w:rFonts w:ascii="Century Gothic"/>
                <w:b/>
                <w:sz w:val="21"/>
              </w:rPr>
            </w:r>
            <w:r>
              <w:rPr>
                <w:rFonts w:ascii="Century Gothic"/>
                <w:sz w:val="21"/>
              </w:rPr>
            </w:r>
          </w:p>
        </w:tc>
      </w:tr>
    </w:tbl>
    <w:p>
      <w:pPr>
        <w:pStyle w:val="Heading4"/>
        <w:spacing w:line="240" w:lineRule="auto" w:before="86"/>
        <w:ind w:right="0"/>
        <w:jc w:val="left"/>
        <w:rPr>
          <w:rFonts w:ascii="宋体" w:hAnsi="宋体" w:cs="宋体" w:eastAsia="宋体" w:hint="default"/>
          <w:b w:val="0"/>
          <w:bCs w:val="0"/>
        </w:rPr>
      </w:pPr>
      <w:r>
        <w:rPr>
          <w:rFonts w:ascii="宋体" w:hAnsi="宋体" w:cs="宋体" w:eastAsia="宋体" w:hint="default"/>
        </w:rPr>
        <w:t>（十五）递延所得税资产</w:t>
      </w:r>
      <w:r>
        <w:rPr>
          <w:rFonts w:ascii="宋体" w:hAnsi="宋体" w:cs="宋体" w:eastAsia="宋体" w:hint="default"/>
          <w:b w:val="0"/>
          <w:bCs w:val="0"/>
        </w:rPr>
      </w:r>
    </w:p>
    <w:p>
      <w:pPr>
        <w:pStyle w:val="BodyText"/>
        <w:spacing w:line="240" w:lineRule="auto" w:before="134"/>
        <w:ind w:left="558" w:right="0"/>
        <w:jc w:val="left"/>
      </w:pPr>
      <w:r>
        <w:rPr/>
        <w:t>（</w:t>
      </w:r>
      <w:r>
        <w:rPr>
          <w:rFonts w:ascii="Century Gothic" w:hAnsi="Century Gothic" w:cs="Century Gothic" w:eastAsia="Century Gothic" w:hint="default"/>
        </w:rPr>
        <w:t>1</w:t>
      </w:r>
      <w:r>
        <w:rPr/>
        <w:t>）</w:t>
      </w:r>
      <w:r>
        <w:rPr>
          <w:spacing w:val="77"/>
        </w:rPr>
        <w:t> </w:t>
      </w:r>
      <w:r>
        <w:rPr/>
        <w:t>已确认的递延所得税资产明细列示如下：</w:t>
      </w:r>
    </w:p>
    <w:p>
      <w:pPr>
        <w:spacing w:line="240" w:lineRule="auto" w:before="8"/>
        <w:rPr>
          <w:rFonts w:ascii="宋体" w:hAnsi="宋体" w:cs="宋体" w:eastAsia="宋体" w:hint="default"/>
          <w:sz w:val="11"/>
          <w:szCs w:val="11"/>
        </w:rPr>
      </w:pPr>
    </w:p>
    <w:tbl>
      <w:tblPr>
        <w:tblW w:w="0" w:type="auto"/>
        <w:jc w:val="left"/>
        <w:tblInd w:w="281" w:type="dxa"/>
        <w:tblLayout w:type="fixed"/>
        <w:tblCellMar>
          <w:top w:w="0" w:type="dxa"/>
          <w:left w:w="0" w:type="dxa"/>
          <w:bottom w:w="0" w:type="dxa"/>
          <w:right w:w="0" w:type="dxa"/>
        </w:tblCellMar>
        <w:tblLook w:val="01E0"/>
      </w:tblPr>
      <w:tblGrid>
        <w:gridCol w:w="1994"/>
        <w:gridCol w:w="1619"/>
        <w:gridCol w:w="1801"/>
        <w:gridCol w:w="1620"/>
        <w:gridCol w:w="1824"/>
      </w:tblGrid>
      <w:tr>
        <w:trPr>
          <w:trHeight w:val="307" w:hRule="exact"/>
        </w:trPr>
        <w:tc>
          <w:tcPr>
            <w:tcW w:w="1994"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2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107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444" w:type="dxa"/>
            <w:gridSpan w:val="2"/>
            <w:tcBorders>
              <w:top w:val="single" w:sz="12" w:space="0" w:color="000000"/>
              <w:left w:val="single" w:sz="6" w:space="0" w:color="000000"/>
              <w:bottom w:val="single" w:sz="6" w:space="0" w:color="000000"/>
              <w:right w:val="nil" w:sz="6" w:space="0" w:color="auto"/>
            </w:tcBorders>
          </w:tcPr>
          <w:p>
            <w:pPr>
              <w:pStyle w:val="TableParagraph"/>
              <w:spacing w:line="247" w:lineRule="exact"/>
              <w:ind w:left="108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60" w:hRule="exact"/>
        </w:trPr>
        <w:tc>
          <w:tcPr>
            <w:tcW w:w="1994" w:type="dxa"/>
            <w:vMerge/>
            <w:tcBorders>
              <w:left w:val="nil" w:sz="6" w:space="0" w:color="auto"/>
              <w:bottom w:val="single" w:sz="6" w:space="0" w:color="000000"/>
              <w:right w:val="single" w:sz="6" w:space="0" w:color="000000"/>
            </w:tcBorders>
          </w:tcPr>
          <w:p>
            <w:pP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left="16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299" w:hRule="exact"/>
        </w:trPr>
        <w:tc>
          <w:tcPr>
            <w:tcW w:w="199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57,308,747.52</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9,917,400.88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46,177,281.31</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8,186,158.46</w:t>
            </w:r>
          </w:p>
        </w:tc>
      </w:tr>
      <w:tr>
        <w:trPr>
          <w:trHeight w:val="300" w:hRule="exact"/>
        </w:trPr>
        <w:tc>
          <w:tcPr>
            <w:tcW w:w="199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辞退福利</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11,380,392.00</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1,707,058.80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12,057,936.91</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1,808,690.54</w:t>
            </w:r>
          </w:p>
        </w:tc>
      </w:tr>
      <w:tr>
        <w:trPr>
          <w:trHeight w:val="307" w:hRule="exact"/>
        </w:trPr>
        <w:tc>
          <w:tcPr>
            <w:tcW w:w="1994"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68,689,139.52</w:t>
            </w:r>
            <w:r>
              <w:rPr>
                <w:rFonts w:ascii="Century Gothic"/>
                <w:b/>
                <w:w w:val="95"/>
                <w:sz w:val="21"/>
              </w:rPr>
            </w:r>
            <w:r>
              <w:rPr>
                <w:rFonts w:ascii="Century Gothic"/>
                <w:sz w:val="21"/>
              </w:rPr>
            </w:r>
          </w:p>
        </w:tc>
        <w:tc>
          <w:tcPr>
            <w:tcW w:w="1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7"/>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11,624,459.68</w:t>
            </w:r>
            <w:r>
              <w:rPr>
                <w:rFonts w:ascii="Century Gothic"/>
                <w:b/>
                <w:w w:val="95"/>
                <w:sz w:val="21"/>
              </w:rPr>
            </w:r>
            <w:r>
              <w:rPr>
                <w:rFonts w:ascii="Century Gothic"/>
                <w:sz w:val="21"/>
              </w:rPr>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58,235,218.22</w:t>
            </w:r>
            <w:r>
              <w:rPr>
                <w:rFonts w:ascii="Century Gothic"/>
                <w:b/>
                <w:w w:val="95"/>
                <w:sz w:val="21"/>
              </w:rPr>
            </w:r>
            <w:r>
              <w:rPr>
                <w:rFonts w:ascii="Century Gothic"/>
                <w:sz w:val="21"/>
              </w:rPr>
            </w:r>
          </w:p>
        </w:tc>
        <w:tc>
          <w:tcPr>
            <w:tcW w:w="182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9,994,849.00</w:t>
            </w:r>
            <w:r>
              <w:rPr>
                <w:rFonts w:ascii="Century Gothic"/>
                <w:b/>
                <w:w w:val="95"/>
                <w:sz w:val="21"/>
              </w:rPr>
            </w:r>
            <w:r>
              <w:rPr>
                <w:rFonts w:ascii="Century Gothic"/>
                <w:sz w:val="21"/>
              </w:rPr>
            </w:r>
          </w:p>
        </w:tc>
      </w:tr>
    </w:tbl>
    <w:p>
      <w:pPr>
        <w:pStyle w:val="BodyText"/>
        <w:spacing w:line="240" w:lineRule="auto" w:before="86"/>
        <w:ind w:left="558" w:right="0"/>
        <w:jc w:val="left"/>
      </w:pPr>
      <w:r>
        <w:rPr/>
        <w:t>（</w:t>
      </w:r>
      <w:r>
        <w:rPr>
          <w:rFonts w:ascii="Century Gothic" w:hAnsi="Century Gothic" w:cs="Century Gothic" w:eastAsia="Century Gothic" w:hint="default"/>
        </w:rPr>
        <w:t>2</w:t>
      </w:r>
      <w:r>
        <w:rPr/>
        <w:t>）未确认递延所得税资产的可抵扣暂时性差异或可抵扣亏损的情况</w:t>
      </w:r>
    </w:p>
    <w:p>
      <w:pPr>
        <w:spacing w:line="240" w:lineRule="auto" w:before="10"/>
        <w:rPr>
          <w:rFonts w:ascii="宋体" w:hAnsi="宋体" w:cs="宋体" w:eastAsia="宋体" w:hint="default"/>
          <w:sz w:val="20"/>
          <w:szCs w:val="20"/>
        </w:rPr>
      </w:pPr>
    </w:p>
    <w:tbl>
      <w:tblPr>
        <w:tblW w:w="0" w:type="auto"/>
        <w:jc w:val="left"/>
        <w:tblInd w:w="268" w:type="dxa"/>
        <w:tblLayout w:type="fixed"/>
        <w:tblCellMar>
          <w:top w:w="0" w:type="dxa"/>
          <w:left w:w="0" w:type="dxa"/>
          <w:bottom w:w="0" w:type="dxa"/>
          <w:right w:w="0" w:type="dxa"/>
        </w:tblCellMar>
        <w:tblLook w:val="01E0"/>
      </w:tblPr>
      <w:tblGrid>
        <w:gridCol w:w="3224"/>
        <w:gridCol w:w="2940"/>
        <w:gridCol w:w="2720"/>
      </w:tblGrid>
      <w:tr>
        <w:trPr>
          <w:trHeight w:val="307" w:hRule="exact"/>
        </w:trPr>
        <w:tc>
          <w:tcPr>
            <w:tcW w:w="3224" w:type="dxa"/>
            <w:tcBorders>
              <w:top w:val="single" w:sz="12" w:space="0" w:color="000000"/>
              <w:left w:val="nil" w:sz="6" w:space="0" w:color="auto"/>
              <w:bottom w:val="single" w:sz="6" w:space="0" w:color="000000"/>
              <w:right w:val="single" w:sz="6" w:space="0" w:color="000000"/>
            </w:tcBorders>
          </w:tcPr>
          <w:p>
            <w:pPr>
              <w:pStyle w:val="TableParagraph"/>
              <w:tabs>
                <w:tab w:pos="441" w:val="left" w:leader="none"/>
              </w:tabs>
              <w:spacing w:line="247" w:lineRule="exact"/>
              <w:ind w:left="2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40"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720"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299"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39,399,045.81</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38,534,614.79</w:t>
            </w:r>
          </w:p>
        </w:tc>
      </w:tr>
      <w:tr>
        <w:trPr>
          <w:trHeight w:val="299"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4,113,761.44</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2,190,031.38</w:t>
            </w:r>
          </w:p>
        </w:tc>
      </w:tr>
      <w:tr>
        <w:trPr>
          <w:trHeight w:val="299"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2,393,836.41</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2,393,836.41</w:t>
            </w:r>
          </w:p>
        </w:tc>
      </w:tr>
      <w:tr>
        <w:trPr>
          <w:trHeight w:val="299"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16,350,804.82</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5,837,374.37</w:t>
            </w:r>
          </w:p>
        </w:tc>
      </w:tr>
      <w:tr>
        <w:trPr>
          <w:trHeight w:val="299"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309,266,199.54</w:t>
            </w:r>
            <w:r>
              <w:rPr>
                <w:rFonts w:ascii="Century Gothic"/>
                <w:sz w:val="21"/>
              </w:rPr>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294,083,107.62</w:t>
            </w:r>
            <w:r>
              <w:rPr>
                <w:rFonts w:ascii="Century Gothic"/>
                <w:sz w:val="21"/>
              </w:rPr>
            </w:r>
          </w:p>
        </w:tc>
      </w:tr>
      <w:tr>
        <w:trPr>
          <w:trHeight w:val="308" w:hRule="exact"/>
        </w:trPr>
        <w:tc>
          <w:tcPr>
            <w:tcW w:w="3224"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7" w:lineRule="exact"/>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371,523,648.02</w:t>
            </w:r>
            <w:r>
              <w:rPr>
                <w:rFonts w:ascii="Century Gothic"/>
                <w:b/>
                <w:w w:val="95"/>
                <w:sz w:val="21"/>
              </w:rPr>
            </w:r>
            <w:r>
              <w:rPr>
                <w:rFonts w:ascii="Century Gothic"/>
                <w:sz w:val="21"/>
              </w:rPr>
            </w:r>
          </w:p>
        </w:tc>
        <w:tc>
          <w:tcPr>
            <w:tcW w:w="27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343,038,964.57</w:t>
            </w:r>
            <w:r>
              <w:rPr>
                <w:rFonts w:ascii="Century Gothic"/>
                <w:b/>
                <w:w w:val="95"/>
                <w:sz w:val="21"/>
              </w:rPr>
            </w:r>
            <w:r>
              <w:rPr>
                <w:rFonts w:ascii="Century Gothic"/>
                <w:sz w:val="21"/>
              </w:rPr>
            </w:r>
          </w:p>
        </w:tc>
      </w:tr>
    </w:tbl>
    <w:p>
      <w:pPr>
        <w:spacing w:line="240" w:lineRule="auto" w:before="6"/>
        <w:rPr>
          <w:rFonts w:ascii="宋体" w:hAnsi="宋体" w:cs="宋体" w:eastAsia="宋体" w:hint="default"/>
          <w:sz w:val="8"/>
          <w:szCs w:val="8"/>
        </w:rPr>
      </w:pP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（十六）资产减值准备</w:t>
      </w:r>
      <w:r>
        <w:rPr>
          <w:rFonts w:ascii="宋体" w:hAnsi="宋体" w:cs="宋体" w:eastAsia="宋体" w:hint="default"/>
          <w:b w:val="0"/>
          <w:bCs w:val="0"/>
        </w:rPr>
      </w:r>
    </w:p>
    <w:p>
      <w:pPr>
        <w:spacing w:line="240" w:lineRule="auto" w:before="6"/>
        <w:rPr>
          <w:rFonts w:ascii="宋体" w:hAnsi="宋体" w:cs="宋体" w:eastAsia="宋体" w:hint="default"/>
          <w:b/>
          <w:bCs/>
          <w:sz w:val="17"/>
          <w:szCs w:val="17"/>
        </w:rPr>
      </w:pPr>
    </w:p>
    <w:tbl>
      <w:tblPr>
        <w:tblW w:w="0" w:type="auto"/>
        <w:jc w:val="left"/>
        <w:tblInd w:w="281" w:type="dxa"/>
        <w:tblLayout w:type="fixed"/>
        <w:tblCellMar>
          <w:top w:w="0" w:type="dxa"/>
          <w:left w:w="0" w:type="dxa"/>
          <w:bottom w:w="0" w:type="dxa"/>
          <w:right w:w="0" w:type="dxa"/>
        </w:tblCellMar>
        <w:tblLook w:val="01E0"/>
      </w:tblPr>
      <w:tblGrid>
        <w:gridCol w:w="2040"/>
        <w:gridCol w:w="1568"/>
        <w:gridCol w:w="1570"/>
        <w:gridCol w:w="426"/>
        <w:gridCol w:w="1568"/>
        <w:gridCol w:w="1686"/>
      </w:tblGrid>
      <w:tr>
        <w:trPr>
          <w:trHeight w:val="334" w:hRule="exact"/>
        </w:trPr>
        <w:tc>
          <w:tcPr>
            <w:tcW w:w="2040"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tabs>
                <w:tab w:pos="1183" w:val="left" w:leader="none"/>
              </w:tabs>
              <w:spacing w:line="240" w:lineRule="auto"/>
              <w:ind w:left="66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68" w:type="dxa"/>
            <w:vMerge w:val="restart"/>
            <w:tcBorders>
              <w:top w:val="single" w:sz="12"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70" w:type="dxa"/>
            <w:vMerge w:val="restart"/>
            <w:tcBorders>
              <w:top w:val="single" w:sz="12"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99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464"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686" w:type="dxa"/>
            <w:vMerge w:val="restart"/>
            <w:tcBorders>
              <w:top w:val="single" w:sz="12" w:space="0" w:color="000000"/>
              <w:left w:val="single" w:sz="6" w:space="0" w:color="000000"/>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560" w:hRule="exact"/>
        </w:trPr>
        <w:tc>
          <w:tcPr>
            <w:tcW w:w="2040" w:type="dxa"/>
            <w:vMerge/>
            <w:tcBorders>
              <w:left w:val="nil" w:sz="6" w:space="0" w:color="auto"/>
              <w:bottom w:val="single" w:sz="6" w:space="0" w:color="000000"/>
              <w:right w:val="single" w:sz="6" w:space="0" w:color="000000"/>
            </w:tcBorders>
          </w:tcPr>
          <w:p>
            <w:pPr/>
          </w:p>
        </w:tc>
        <w:tc>
          <w:tcPr>
            <w:tcW w:w="1568" w:type="dxa"/>
            <w:vMerge/>
            <w:tcBorders>
              <w:left w:val="single" w:sz="6" w:space="0" w:color="000000"/>
              <w:bottom w:val="single" w:sz="6" w:space="0" w:color="000000"/>
              <w:right w:val="single" w:sz="6" w:space="0" w:color="000000"/>
            </w:tcBorders>
          </w:tcPr>
          <w:p>
            <w:pPr/>
          </w:p>
        </w:tc>
        <w:tc>
          <w:tcPr>
            <w:tcW w:w="1570" w:type="dxa"/>
            <w:vMerge/>
            <w:tcBorders>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686" w:type="dxa"/>
            <w:vMerge/>
            <w:tcBorders>
              <w:left w:val="single" w:sz="6" w:space="0" w:color="000000"/>
              <w:bottom w:val="single" w:sz="6" w:space="0" w:color="000000"/>
              <w:right w:val="nil" w:sz="6" w:space="0" w:color="auto"/>
            </w:tcBorders>
          </w:tcPr>
          <w:p>
            <w:pPr/>
          </w:p>
        </w:tc>
      </w:tr>
      <w:tr>
        <w:trPr>
          <w:trHeight w:val="379" w:hRule="exact"/>
        </w:trPr>
        <w:tc>
          <w:tcPr>
            <w:tcW w:w="2040" w:type="dxa"/>
            <w:tcBorders>
              <w:top w:val="single" w:sz="6" w:space="0" w:color="000000"/>
              <w:left w:val="nil" w:sz="6" w:space="0" w:color="auto"/>
              <w:bottom w:val="single" w:sz="6" w:space="0" w:color="000000"/>
              <w:right w:val="single" w:sz="6" w:space="0" w:color="000000"/>
            </w:tcBorders>
          </w:tcPr>
          <w:p>
            <w:pPr>
              <w:pStyle w:val="TableParagraph"/>
              <w:spacing w:line="323" w:lineRule="exact"/>
              <w:ind w:left="122" w:right="0"/>
              <w:jc w:val="left"/>
              <w:rPr>
                <w:rFonts w:ascii="宋体" w:hAnsi="宋体" w:cs="宋体" w:eastAsia="宋体" w:hint="default"/>
                <w:sz w:val="28"/>
                <w:szCs w:val="28"/>
              </w:rPr>
            </w:pPr>
            <w:r>
              <w:rPr>
                <w:rFonts w:ascii="宋体" w:hAnsi="宋体" w:cs="宋体" w:eastAsia="宋体" w:hint="default"/>
                <w:sz w:val="28"/>
                <w:szCs w:val="28"/>
              </w:rPr>
              <w:t>坏账准备</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4" w:right="0"/>
              <w:jc w:val="center"/>
              <w:rPr>
                <w:rFonts w:ascii="Century Gothic" w:hAnsi="Century Gothic" w:cs="Century Gothic" w:eastAsia="Century Gothic" w:hint="default"/>
                <w:sz w:val="21"/>
                <w:szCs w:val="21"/>
              </w:rPr>
            </w:pPr>
            <w:r>
              <w:rPr>
                <w:rFonts w:ascii="Century Gothic"/>
                <w:sz w:val="21"/>
              </w:rPr>
              <w:t>84,711,896.10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Century Gothic" w:hAnsi="Century Gothic" w:cs="Century Gothic" w:eastAsia="Century Gothic" w:hint="default"/>
                <w:sz w:val="21"/>
                <w:szCs w:val="21"/>
              </w:rPr>
            </w:pPr>
            <w:r>
              <w:rPr>
                <w:rFonts w:ascii="Century Gothic"/>
                <w:spacing w:val="-1"/>
                <w:sz w:val="21"/>
              </w:rPr>
              <w:t>47,305,449.81</w:t>
            </w:r>
          </w:p>
        </w:tc>
        <w:tc>
          <w:tcPr>
            <w:tcW w:w="42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98"/>
              <w:jc w:val="right"/>
              <w:rPr>
                <w:rFonts w:ascii="Century Gothic" w:hAnsi="Century Gothic" w:cs="Century Gothic" w:eastAsia="Century Gothic" w:hint="default"/>
                <w:sz w:val="21"/>
                <w:szCs w:val="21"/>
              </w:rPr>
            </w:pPr>
            <w:r>
              <w:rPr>
                <w:rFonts w:ascii="Century Gothic"/>
                <w:spacing w:val="-1"/>
                <w:sz w:val="21"/>
              </w:rPr>
              <w:t>35,309,552.58</w:t>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6"/>
              <w:jc w:val="right"/>
              <w:rPr>
                <w:rFonts w:ascii="Century Gothic" w:hAnsi="Century Gothic" w:cs="Century Gothic" w:eastAsia="Century Gothic" w:hint="default"/>
                <w:sz w:val="21"/>
                <w:szCs w:val="21"/>
              </w:rPr>
            </w:pPr>
            <w:r>
              <w:rPr>
                <w:rFonts w:ascii="Century Gothic"/>
                <w:spacing w:val="-1"/>
                <w:sz w:val="21"/>
              </w:rPr>
              <w:t>96,707,793.33</w:t>
            </w:r>
          </w:p>
        </w:tc>
      </w:tr>
      <w:tr>
        <w:trPr>
          <w:trHeight w:val="328" w:hRule="exact"/>
        </w:trPr>
        <w:tc>
          <w:tcPr>
            <w:tcW w:w="2040"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9" w:right="0"/>
              <w:jc w:val="center"/>
              <w:rPr>
                <w:rFonts w:ascii="Century Gothic" w:hAnsi="Century Gothic" w:cs="Century Gothic" w:eastAsia="Century Gothic" w:hint="default"/>
                <w:sz w:val="21"/>
                <w:szCs w:val="21"/>
              </w:rPr>
            </w:pPr>
            <w:r>
              <w:rPr>
                <w:rFonts w:ascii="Century Gothic"/>
                <w:sz w:val="21"/>
              </w:rPr>
              <w:t>2,190,031.38</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1"/>
              <w:jc w:val="right"/>
              <w:rPr>
                <w:rFonts w:ascii="Century Gothic" w:hAnsi="Century Gothic" w:cs="Century Gothic" w:eastAsia="Century Gothic" w:hint="default"/>
                <w:sz w:val="21"/>
                <w:szCs w:val="21"/>
              </w:rPr>
            </w:pPr>
            <w:r>
              <w:rPr>
                <w:rFonts w:ascii="Century Gothic"/>
                <w:spacing w:val="-1"/>
                <w:sz w:val="21"/>
              </w:rPr>
              <w:t>1,993,582.88</w:t>
            </w:r>
          </w:p>
        </w:tc>
        <w:tc>
          <w:tcPr>
            <w:tcW w:w="42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9"/>
              <w:jc w:val="right"/>
              <w:rPr>
                <w:rFonts w:ascii="Century Gothic" w:hAnsi="Century Gothic" w:cs="Century Gothic" w:eastAsia="Century Gothic" w:hint="default"/>
                <w:sz w:val="21"/>
                <w:szCs w:val="21"/>
              </w:rPr>
            </w:pPr>
            <w:r>
              <w:rPr>
                <w:rFonts w:ascii="Century Gothic"/>
                <w:spacing w:val="-1"/>
                <w:sz w:val="21"/>
              </w:rPr>
              <w:t>69,852.82</w:t>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7"/>
              <w:jc w:val="right"/>
              <w:rPr>
                <w:rFonts w:ascii="Century Gothic" w:hAnsi="Century Gothic" w:cs="Century Gothic" w:eastAsia="Century Gothic" w:hint="default"/>
                <w:sz w:val="21"/>
                <w:szCs w:val="21"/>
              </w:rPr>
            </w:pPr>
            <w:r>
              <w:rPr>
                <w:rFonts w:ascii="Century Gothic"/>
                <w:spacing w:val="-1"/>
                <w:sz w:val="21"/>
              </w:rPr>
              <w:t>4,113,761.44</w:t>
            </w:r>
          </w:p>
        </w:tc>
      </w:tr>
      <w:tr>
        <w:trPr>
          <w:trHeight w:val="560" w:hRule="exact"/>
        </w:trPr>
        <w:tc>
          <w:tcPr>
            <w:tcW w:w="204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长期股权投资减值</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29" w:right="0"/>
              <w:jc w:val="center"/>
              <w:rPr>
                <w:rFonts w:ascii="Century Gothic" w:hAnsi="Century Gothic" w:cs="Century Gothic" w:eastAsia="Century Gothic" w:hint="default"/>
                <w:sz w:val="21"/>
                <w:szCs w:val="21"/>
              </w:rPr>
            </w:pPr>
            <w:r>
              <w:rPr>
                <w:rFonts w:ascii="Century Gothic"/>
                <w:sz w:val="21"/>
              </w:rPr>
              <w:t>2,393,836.41</w:t>
            </w:r>
          </w:p>
        </w:tc>
        <w:tc>
          <w:tcPr>
            <w:tcW w:w="1570"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7"/>
              <w:jc w:val="right"/>
              <w:rPr>
                <w:rFonts w:ascii="Century Gothic" w:hAnsi="Century Gothic" w:cs="Century Gothic" w:eastAsia="Century Gothic" w:hint="default"/>
                <w:sz w:val="21"/>
                <w:szCs w:val="21"/>
              </w:rPr>
            </w:pPr>
            <w:r>
              <w:rPr>
                <w:rFonts w:ascii="Century Gothic"/>
                <w:spacing w:val="-1"/>
                <w:sz w:val="21"/>
              </w:rPr>
              <w:t>2,393,836.41</w:t>
            </w:r>
          </w:p>
        </w:tc>
      </w:tr>
      <w:tr>
        <w:trPr>
          <w:trHeight w:val="328" w:hRule="exact"/>
        </w:trPr>
        <w:tc>
          <w:tcPr>
            <w:tcW w:w="2040"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9" w:right="0"/>
              <w:jc w:val="center"/>
              <w:rPr>
                <w:rFonts w:ascii="Century Gothic" w:hAnsi="Century Gothic" w:cs="Century Gothic" w:eastAsia="Century Gothic" w:hint="default"/>
                <w:sz w:val="21"/>
                <w:szCs w:val="21"/>
              </w:rPr>
            </w:pPr>
            <w:r>
              <w:rPr>
                <w:rFonts w:ascii="Century Gothic"/>
                <w:sz w:val="21"/>
              </w:rPr>
              <w:t>5,837,374.37</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10,513,430.45</w:t>
            </w:r>
          </w:p>
        </w:tc>
        <w:tc>
          <w:tcPr>
            <w:tcW w:w="42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16,350,804.82</w:t>
            </w:r>
          </w:p>
        </w:tc>
      </w:tr>
      <w:tr>
        <w:trPr>
          <w:trHeight w:val="334" w:hRule="exact"/>
        </w:trPr>
        <w:tc>
          <w:tcPr>
            <w:tcW w:w="2040" w:type="dxa"/>
            <w:tcBorders>
              <w:top w:val="single" w:sz="6" w:space="0" w:color="000000"/>
              <w:left w:val="nil" w:sz="6" w:space="0" w:color="auto"/>
              <w:bottom w:val="single" w:sz="12" w:space="0" w:color="000000"/>
              <w:right w:val="single" w:sz="6" w:space="0" w:color="000000"/>
            </w:tcBorders>
          </w:tcPr>
          <w:p>
            <w:pPr>
              <w:pStyle w:val="TableParagraph"/>
              <w:tabs>
                <w:tab w:pos="445" w:val="left" w:leader="none"/>
              </w:tabs>
              <w:spacing w:line="261"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95,133,138.26</w:t>
            </w:r>
            <w:r>
              <w:rPr>
                <w:rFonts w:ascii="Century Gothic"/>
                <w:b/>
                <w:sz w:val="21"/>
              </w:rPr>
            </w:r>
            <w:r>
              <w:rPr>
                <w:rFonts w:ascii="Century Gothic"/>
                <w:sz w:val="21"/>
              </w:rPr>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59,812,463.14</w:t>
            </w:r>
            <w:r>
              <w:rPr>
                <w:rFonts w:ascii="Century Gothic"/>
                <w:b/>
                <w:w w:val="95"/>
                <w:sz w:val="21"/>
              </w:rPr>
            </w:r>
            <w:r>
              <w:rPr>
                <w:rFonts w:ascii="Century Gothic"/>
                <w:sz w:val="21"/>
              </w:rPr>
            </w:r>
          </w:p>
        </w:tc>
        <w:tc>
          <w:tcPr>
            <w:tcW w:w="426" w:type="dxa"/>
            <w:tcBorders>
              <w:top w:val="single" w:sz="6" w:space="0" w:color="000000"/>
              <w:left w:val="single" w:sz="6" w:space="0" w:color="000000"/>
              <w:bottom w:val="single" w:sz="12" w:space="0" w:color="000000"/>
              <w:right w:val="single" w:sz="6" w:space="0" w:color="000000"/>
            </w:tcBorders>
          </w:tcPr>
          <w:p>
            <w:pPr/>
          </w:p>
        </w:tc>
        <w:tc>
          <w:tcPr>
            <w:tcW w:w="1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35,379,405.40</w:t>
            </w:r>
            <w:r>
              <w:rPr>
                <w:rFonts w:ascii="Century Gothic"/>
                <w:b/>
                <w:w w:val="95"/>
                <w:sz w:val="21"/>
              </w:rPr>
            </w:r>
            <w:r>
              <w:rPr>
                <w:rFonts w:ascii="Century Gothic"/>
                <w:sz w:val="21"/>
              </w:rPr>
            </w:r>
          </w:p>
        </w:tc>
        <w:tc>
          <w:tcPr>
            <w:tcW w:w="16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119,566,196.00</w:t>
            </w:r>
            <w:r>
              <w:rPr>
                <w:rFonts w:ascii="Century Gothic"/>
                <w:b/>
                <w:w w:val="95"/>
                <w:sz w:val="21"/>
              </w:rPr>
            </w:r>
            <w:r>
              <w:rPr>
                <w:rFonts w:ascii="Century Gothic"/>
                <w:sz w:val="21"/>
              </w:rPr>
            </w:r>
          </w:p>
        </w:tc>
      </w:tr>
    </w:tbl>
    <w:p>
      <w:pPr>
        <w:pStyle w:val="BodyText"/>
        <w:spacing w:line="240" w:lineRule="auto" w:before="86"/>
        <w:ind w:left="558" w:right="0"/>
        <w:jc w:val="left"/>
      </w:pPr>
      <w:r>
        <w:rPr>
          <w:spacing w:val="20"/>
        </w:rPr>
        <w:t>注：本年坏账准备转销 </w:t>
      </w:r>
      <w:r>
        <w:rPr>
          <w:rFonts w:ascii="Century Gothic" w:hAnsi="Century Gothic" w:cs="Century Gothic" w:eastAsia="Century Gothic" w:hint="default"/>
        </w:rPr>
        <w:t>35,309,552.58  </w:t>
      </w:r>
      <w:r>
        <w:rPr>
          <w:spacing w:val="11"/>
        </w:rPr>
        <w:t>元，</w:t>
      </w:r>
      <w:r>
        <w:rPr>
          <w:spacing w:val="-75"/>
        </w:rPr>
        <w:t> </w:t>
      </w:r>
      <w:r>
        <w:rPr>
          <w:spacing w:val="21"/>
        </w:rPr>
        <w:t>其中：子公司本年核销无法收回的应收账款</w:t>
      </w:r>
      <w:r>
        <w:rPr>
          <w:spacing w:val="-83"/>
        </w:rPr>
        <w:t> </w:t>
      </w:r>
      <w:r>
        <w:rPr/>
      </w:r>
    </w:p>
    <w:p>
      <w:pPr>
        <w:spacing w:line="240" w:lineRule="auto" w:before="9"/>
        <w:rPr>
          <w:rFonts w:ascii="宋体" w:hAnsi="宋体" w:cs="宋体" w:eastAsia="宋体" w:hint="default"/>
          <w:sz w:val="21"/>
          <w:szCs w:val="21"/>
        </w:rPr>
      </w:pPr>
    </w:p>
    <w:p>
      <w:pPr>
        <w:spacing w:before="76"/>
        <w:ind w:left="4577" w:right="4575" w:firstLine="0"/>
        <w:jc w:val="center"/>
        <w:rPr>
          <w:rFonts w:ascii="Times New Roman" w:hAnsi="Times New Roman" w:cs="Times New Roman" w:eastAsia="Times New Roman" w:hint="default"/>
          <w:sz w:val="18"/>
          <w:szCs w:val="18"/>
        </w:rPr>
      </w:pPr>
      <w:r>
        <w:rPr>
          <w:rFonts w:ascii="Times New Roman"/>
          <w:sz w:val="18"/>
        </w:rPr>
        <w:t>78</w:t>
      </w:r>
    </w:p>
    <w:p>
      <w:pPr>
        <w:spacing w:after="0"/>
        <w:jc w:val="center"/>
        <w:rPr>
          <w:rFonts w:ascii="Times New Roman" w:hAnsi="Times New Roman" w:cs="Times New Roman" w:eastAsia="Times New Roman" w:hint="default"/>
          <w:sz w:val="18"/>
          <w:szCs w:val="18"/>
        </w:rPr>
        <w:sectPr>
          <w:pgSz w:w="11910" w:h="16840"/>
          <w:pgMar w:top="780" w:bottom="280" w:left="1160" w:right="12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70.860001pt;margin-top:-9.926001pt;width:84.0pt;height:23.94pt;mso-position-horizontal-relative:page;mso-position-vertical-relative:paragraph;z-index:5440"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0"/>
        <w:ind w:right="0"/>
        <w:jc w:val="left"/>
      </w:pPr>
      <w:r>
        <w:rPr>
          <w:rFonts w:ascii="Century Gothic" w:hAnsi="Century Gothic" w:cs="Century Gothic" w:eastAsia="Century Gothic" w:hint="default"/>
        </w:rPr>
        <w:t>12,106,637.02</w:t>
      </w:r>
      <w:r>
        <w:rPr>
          <w:rFonts w:ascii="Century Gothic" w:hAnsi="Century Gothic" w:cs="Century Gothic" w:eastAsia="Century Gothic" w:hint="default"/>
          <w:spacing w:val="-13"/>
        </w:rPr>
        <w:t> </w:t>
      </w:r>
      <w:r>
        <w:rPr/>
        <w:t>元，处置子公司转出</w:t>
      </w:r>
      <w:r>
        <w:rPr>
          <w:spacing w:val="-60"/>
        </w:rPr>
        <w:t> </w:t>
      </w:r>
      <w:r>
        <w:rPr>
          <w:rFonts w:ascii="Century Gothic" w:hAnsi="Century Gothic" w:cs="Century Gothic" w:eastAsia="Century Gothic" w:hint="default"/>
        </w:rPr>
        <w:t>23,202,915.56</w:t>
      </w:r>
      <w:r>
        <w:rPr>
          <w:rFonts w:ascii="Century Gothic" w:hAnsi="Century Gothic" w:cs="Century Gothic" w:eastAsia="Century Gothic" w:hint="default"/>
          <w:spacing w:val="-13"/>
        </w:rPr>
        <w:t> </w:t>
      </w:r>
      <w:r>
        <w:rPr/>
        <w:t>元。</w:t>
      </w:r>
    </w:p>
    <w:p>
      <w:pPr>
        <w:spacing w:line="357" w:lineRule="auto" w:before="117"/>
        <w:ind w:left="558" w:right="5716" w:firstLine="0"/>
        <w:jc w:val="left"/>
        <w:rPr>
          <w:rFonts w:ascii="宋体" w:hAnsi="宋体" w:cs="宋体" w:eastAsia="宋体" w:hint="default"/>
          <w:sz w:val="21"/>
          <w:szCs w:val="21"/>
        </w:rPr>
      </w:pPr>
      <w:r>
        <w:rPr>
          <w:rFonts w:ascii="宋体" w:hAnsi="宋体" w:cs="宋体" w:eastAsia="宋体" w:hint="default"/>
          <w:b/>
          <w:bCs/>
          <w:sz w:val="21"/>
          <w:szCs w:val="21"/>
        </w:rPr>
        <w:t>（十七）所有权受到限制的资产</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所有权受到限制的资产明细如下：</w:t>
      </w:r>
    </w:p>
    <w:p>
      <w:pPr>
        <w:spacing w:line="240" w:lineRule="auto" w:before="1"/>
        <w:rPr>
          <w:rFonts w:ascii="宋体" w:hAnsi="宋体" w:cs="宋体" w:eastAsia="宋体" w:hint="default"/>
          <w:sz w:val="5"/>
          <w:szCs w:val="5"/>
        </w:rPr>
      </w:pPr>
    </w:p>
    <w:tbl>
      <w:tblPr>
        <w:tblW w:w="0" w:type="auto"/>
        <w:jc w:val="left"/>
        <w:tblInd w:w="296" w:type="dxa"/>
        <w:tblLayout w:type="fixed"/>
        <w:tblCellMar>
          <w:top w:w="0" w:type="dxa"/>
          <w:left w:w="0" w:type="dxa"/>
          <w:bottom w:w="0" w:type="dxa"/>
          <w:right w:w="0" w:type="dxa"/>
        </w:tblCellMar>
        <w:tblLook w:val="01E0"/>
      </w:tblPr>
      <w:tblGrid>
        <w:gridCol w:w="1290"/>
        <w:gridCol w:w="1686"/>
        <w:gridCol w:w="1570"/>
        <w:gridCol w:w="1686"/>
        <w:gridCol w:w="1686"/>
        <w:gridCol w:w="919"/>
      </w:tblGrid>
      <w:tr>
        <w:trPr>
          <w:trHeight w:val="347" w:hRule="exact"/>
        </w:trPr>
        <w:tc>
          <w:tcPr>
            <w:tcW w:w="1290" w:type="dxa"/>
            <w:tcBorders>
              <w:top w:val="single" w:sz="12" w:space="0" w:color="000000"/>
              <w:left w:val="nil" w:sz="6" w:space="0" w:color="auto"/>
              <w:bottom w:val="nil" w:sz="6" w:space="0" w:color="auto"/>
              <w:right w:val="single" w:sz="6"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所有权受到</w:t>
            </w:r>
          </w:p>
        </w:tc>
        <w:tc>
          <w:tcPr>
            <w:tcW w:w="1686" w:type="dxa"/>
            <w:tcBorders>
              <w:top w:val="single" w:sz="12" w:space="0" w:color="000000"/>
              <w:left w:val="single" w:sz="6" w:space="0" w:color="000000"/>
              <w:bottom w:val="nil" w:sz="6" w:space="0" w:color="auto"/>
              <w:right w:val="single" w:sz="6" w:space="0" w:color="000000"/>
            </w:tcBorders>
          </w:tcPr>
          <w:p>
            <w:pPr/>
          </w:p>
        </w:tc>
        <w:tc>
          <w:tcPr>
            <w:tcW w:w="1570" w:type="dxa"/>
            <w:tcBorders>
              <w:top w:val="single" w:sz="12" w:space="0" w:color="000000"/>
              <w:left w:val="single" w:sz="6" w:space="0" w:color="000000"/>
              <w:bottom w:val="nil" w:sz="6" w:space="0" w:color="auto"/>
              <w:right w:val="single" w:sz="6" w:space="0" w:color="000000"/>
            </w:tcBorders>
          </w:tcPr>
          <w:p>
            <w:pPr/>
          </w:p>
        </w:tc>
        <w:tc>
          <w:tcPr>
            <w:tcW w:w="1686" w:type="dxa"/>
            <w:tcBorders>
              <w:top w:val="single" w:sz="12" w:space="0" w:color="000000"/>
              <w:left w:val="single" w:sz="6" w:space="0" w:color="000000"/>
              <w:bottom w:val="nil" w:sz="6" w:space="0" w:color="auto"/>
              <w:right w:val="single" w:sz="6" w:space="0" w:color="000000"/>
            </w:tcBorders>
          </w:tcPr>
          <w:p>
            <w:pPr/>
          </w:p>
        </w:tc>
        <w:tc>
          <w:tcPr>
            <w:tcW w:w="1686" w:type="dxa"/>
            <w:tcBorders>
              <w:top w:val="single" w:sz="12" w:space="0" w:color="000000"/>
              <w:left w:val="single" w:sz="6" w:space="0" w:color="000000"/>
              <w:bottom w:val="nil" w:sz="6" w:space="0" w:color="auto"/>
              <w:right w:val="single" w:sz="6" w:space="0" w:color="000000"/>
            </w:tcBorders>
          </w:tcPr>
          <w:p>
            <w:pPr/>
          </w:p>
        </w:tc>
        <w:tc>
          <w:tcPr>
            <w:tcW w:w="919" w:type="dxa"/>
            <w:tcBorders>
              <w:top w:val="single" w:sz="12" w:space="0" w:color="000000"/>
              <w:left w:val="single" w:sz="6" w:space="0" w:color="000000"/>
              <w:bottom w:val="nil" w:sz="6" w:space="0" w:color="auto"/>
              <w:right w:val="nil" w:sz="6" w:space="0" w:color="auto"/>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资产受</w:t>
            </w:r>
          </w:p>
        </w:tc>
      </w:tr>
      <w:tr>
        <w:trPr>
          <w:trHeight w:val="273" w:hRule="exact"/>
        </w:trPr>
        <w:tc>
          <w:tcPr>
            <w:tcW w:w="1290" w:type="dxa"/>
            <w:tcBorders>
              <w:top w:val="nil" w:sz="6" w:space="0" w:color="auto"/>
              <w:left w:val="nil" w:sz="6" w:space="0" w:color="auto"/>
              <w:bottom w:val="nil" w:sz="6" w:space="0" w:color="auto"/>
              <w:right w:val="single" w:sz="6"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限制的资产</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57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0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919" w:type="dxa"/>
            <w:tcBorders>
              <w:top w:val="nil" w:sz="6" w:space="0" w:color="auto"/>
              <w:left w:val="single" w:sz="6" w:space="0" w:color="000000"/>
              <w:bottom w:val="nil" w:sz="6" w:space="0" w:color="auto"/>
              <w:right w:val="nil" w:sz="6" w:space="0" w:color="auto"/>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限制的</w:t>
            </w:r>
          </w:p>
        </w:tc>
      </w:tr>
      <w:tr>
        <w:trPr>
          <w:trHeight w:val="341" w:hRule="exact"/>
        </w:trPr>
        <w:tc>
          <w:tcPr>
            <w:tcW w:w="1290" w:type="dxa"/>
            <w:tcBorders>
              <w:top w:val="nil" w:sz="6" w:space="0" w:color="auto"/>
              <w:left w:val="nil" w:sz="6" w:space="0" w:color="auto"/>
              <w:bottom w:val="single" w:sz="6" w:space="0" w:color="000000"/>
              <w:right w:val="single" w:sz="6" w:space="0" w:color="000000"/>
            </w:tcBorders>
          </w:tcPr>
          <w:p>
            <w:pPr>
              <w:pStyle w:val="TableParagraph"/>
              <w:spacing w:line="242" w:lineRule="exact"/>
              <w:ind w:left="5"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686" w:type="dxa"/>
            <w:tcBorders>
              <w:top w:val="nil" w:sz="6" w:space="0" w:color="auto"/>
              <w:left w:val="single" w:sz="6" w:space="0" w:color="000000"/>
              <w:bottom w:val="single" w:sz="6" w:space="0" w:color="000000"/>
              <w:right w:val="single" w:sz="6" w:space="0" w:color="000000"/>
            </w:tcBorders>
          </w:tcPr>
          <w:p>
            <w:pPr/>
          </w:p>
        </w:tc>
        <w:tc>
          <w:tcPr>
            <w:tcW w:w="1570"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919" w:type="dxa"/>
            <w:tcBorders>
              <w:top w:val="nil" w:sz="6" w:space="0" w:color="auto"/>
              <w:left w:val="single" w:sz="6" w:space="0" w:color="000000"/>
              <w:bottom w:val="single" w:sz="6" w:space="0" w:color="000000"/>
              <w:right w:val="nil" w:sz="6" w:space="0" w:color="auto"/>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bl>
    <w:p>
      <w:pPr>
        <w:pStyle w:val="BodyText"/>
        <w:spacing w:line="240" w:lineRule="auto" w:before="27"/>
        <w:ind w:left="419" w:right="0"/>
        <w:jc w:val="left"/>
      </w:pPr>
      <w:r>
        <w:rPr>
          <w:color w:val="212121"/>
        </w:rPr>
        <w:t>用于担保的资产</w:t>
      </w:r>
      <w:r>
        <w:rPr/>
      </w:r>
    </w:p>
    <w:p>
      <w:pPr>
        <w:spacing w:line="240" w:lineRule="auto" w:before="0"/>
        <w:rPr>
          <w:rFonts w:ascii="宋体" w:hAnsi="宋体" w:cs="宋体" w:eastAsia="宋体" w:hint="default"/>
          <w:sz w:val="7"/>
          <w:szCs w:val="7"/>
        </w:rPr>
      </w:pPr>
    </w:p>
    <w:tbl>
      <w:tblPr>
        <w:tblW w:w="0" w:type="auto"/>
        <w:jc w:val="left"/>
        <w:tblInd w:w="281" w:type="dxa"/>
        <w:tblLayout w:type="fixed"/>
        <w:tblCellMar>
          <w:top w:w="0" w:type="dxa"/>
          <w:left w:w="0" w:type="dxa"/>
          <w:bottom w:w="0" w:type="dxa"/>
          <w:right w:w="0" w:type="dxa"/>
        </w:tblCellMar>
        <w:tblLook w:val="01E0"/>
      </w:tblPr>
      <w:tblGrid>
        <w:gridCol w:w="1304"/>
        <w:gridCol w:w="1686"/>
        <w:gridCol w:w="1570"/>
        <w:gridCol w:w="1686"/>
        <w:gridCol w:w="1686"/>
        <w:gridCol w:w="926"/>
      </w:tblGrid>
      <w:tr>
        <w:trPr>
          <w:trHeight w:val="484" w:hRule="exact"/>
        </w:trPr>
        <w:tc>
          <w:tcPr>
            <w:tcW w:w="1304" w:type="dxa"/>
            <w:tcBorders>
              <w:top w:val="single" w:sz="6" w:space="0" w:color="000000"/>
              <w:left w:val="nil" w:sz="6" w:space="0" w:color="auto"/>
              <w:bottom w:val="single" w:sz="6" w:space="0" w:color="000000"/>
              <w:right w:val="single" w:sz="6" w:space="0" w:color="000000"/>
            </w:tcBorders>
          </w:tcPr>
          <w:p>
            <w:pPr>
              <w:pStyle w:val="TableParagraph"/>
              <w:spacing w:line="259" w:lineRule="exact"/>
              <w:ind w:left="21" w:right="0"/>
              <w:jc w:val="center"/>
              <w:rPr>
                <w:rFonts w:ascii="宋体" w:hAnsi="宋体" w:cs="宋体" w:eastAsia="宋体" w:hint="default"/>
                <w:sz w:val="21"/>
                <w:szCs w:val="21"/>
              </w:rPr>
            </w:pPr>
            <w:r>
              <w:rPr>
                <w:rFonts w:ascii="Century Gothic" w:hAnsi="Century Gothic" w:cs="Century Gothic" w:eastAsia="Century Gothic" w:hint="default"/>
                <w:w w:val="99"/>
                <w:sz w:val="21"/>
                <w:szCs w:val="21"/>
              </w:rPr>
              <w:t>1</w:t>
            </w:r>
            <w:r>
              <w:rPr>
                <w:rFonts w:ascii="宋体" w:hAnsi="宋体" w:cs="宋体" w:eastAsia="宋体" w:hint="default"/>
                <w:spacing w:val="-93"/>
                <w:sz w:val="21"/>
                <w:szCs w:val="21"/>
              </w:rPr>
              <w:t>、</w:t>
            </w:r>
            <w:r>
              <w:rPr>
                <w:rFonts w:ascii="宋体" w:hAnsi="宋体" w:cs="宋体" w:eastAsia="宋体" w:hint="default"/>
                <w:sz w:val="21"/>
                <w:szCs w:val="21"/>
              </w:rPr>
              <w:t>货币资金</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31" w:right="0"/>
              <w:jc w:val="center"/>
              <w:rPr>
                <w:rFonts w:ascii="Century Gothic" w:hAnsi="Century Gothic" w:cs="Century Gothic" w:eastAsia="Century Gothic" w:hint="default"/>
                <w:sz w:val="21"/>
                <w:szCs w:val="21"/>
              </w:rPr>
            </w:pPr>
            <w:r>
              <w:rPr>
                <w:rFonts w:ascii="Century Gothic"/>
                <w:sz w:val="21"/>
              </w:rPr>
              <w:t>21,350,000.00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14" w:right="0"/>
              <w:jc w:val="left"/>
              <w:rPr>
                <w:rFonts w:ascii="Century Gothic" w:hAnsi="Century Gothic" w:cs="Century Gothic" w:eastAsia="Century Gothic" w:hint="default"/>
                <w:sz w:val="21"/>
                <w:szCs w:val="21"/>
              </w:rPr>
            </w:pPr>
            <w:r>
              <w:rPr>
                <w:rFonts w:ascii="Century Gothic"/>
                <w:sz w:val="21"/>
              </w:rPr>
              <w:t>79,147,500.00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Century Gothic" w:hAnsi="Century Gothic" w:cs="Century Gothic" w:eastAsia="Century Gothic" w:hint="default"/>
                <w:sz w:val="21"/>
                <w:szCs w:val="21"/>
              </w:rPr>
            </w:pPr>
            <w:r>
              <w:rPr>
                <w:rFonts w:ascii="Century Gothic"/>
                <w:spacing w:val="-1"/>
                <w:sz w:val="21"/>
              </w:rPr>
              <w:t>100,497,500.00</w:t>
            </w:r>
            <w:r>
              <w:rPr>
                <w:rFonts w:ascii="Century Gothic"/>
                <w:sz w:val="21"/>
              </w:rPr>
            </w:r>
          </w:p>
        </w:tc>
        <w:tc>
          <w:tcPr>
            <w:tcW w:w="926"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86" w:right="0"/>
              <w:jc w:val="left"/>
              <w:rPr>
                <w:rFonts w:ascii="宋体" w:hAnsi="宋体" w:cs="宋体" w:eastAsia="宋体" w:hint="default"/>
                <w:sz w:val="18"/>
                <w:szCs w:val="18"/>
              </w:rPr>
            </w:pPr>
            <w:r>
              <w:rPr>
                <w:rFonts w:ascii="宋体" w:hAnsi="宋体" w:cs="宋体" w:eastAsia="宋体" w:hint="default"/>
                <w:sz w:val="18"/>
                <w:szCs w:val="18"/>
              </w:rPr>
              <w:t>定期存</w:t>
            </w:r>
          </w:p>
          <w:p>
            <w:pPr>
              <w:pStyle w:val="TableParagraph"/>
              <w:spacing w:line="235" w:lineRule="exact"/>
              <w:ind w:left="186" w:right="0"/>
              <w:jc w:val="left"/>
              <w:rPr>
                <w:rFonts w:ascii="宋体" w:hAnsi="宋体" w:cs="宋体" w:eastAsia="宋体" w:hint="default"/>
                <w:sz w:val="18"/>
                <w:szCs w:val="18"/>
              </w:rPr>
            </w:pPr>
            <w:r>
              <w:rPr>
                <w:rFonts w:ascii="宋体" w:hAnsi="宋体" w:cs="宋体" w:eastAsia="宋体" w:hint="default"/>
                <w:sz w:val="18"/>
                <w:szCs w:val="18"/>
              </w:rPr>
              <w:t>单质押</w:t>
            </w:r>
          </w:p>
        </w:tc>
      </w:tr>
      <w:tr>
        <w:trPr>
          <w:trHeight w:val="482" w:hRule="exact"/>
        </w:trPr>
        <w:tc>
          <w:tcPr>
            <w:tcW w:w="1304" w:type="dxa"/>
            <w:tcBorders>
              <w:top w:val="single" w:sz="6" w:space="0" w:color="000000"/>
              <w:left w:val="nil" w:sz="6" w:space="0" w:color="auto"/>
              <w:bottom w:val="single" w:sz="6" w:space="0" w:color="000000"/>
              <w:right w:val="single" w:sz="6" w:space="0" w:color="000000"/>
            </w:tcBorders>
          </w:tcPr>
          <w:p>
            <w:pPr>
              <w:pStyle w:val="TableParagraph"/>
              <w:spacing w:line="259" w:lineRule="exact"/>
              <w:ind w:left="21" w:right="0"/>
              <w:jc w:val="center"/>
              <w:rPr>
                <w:rFonts w:ascii="宋体" w:hAnsi="宋体" w:cs="宋体" w:eastAsia="宋体" w:hint="default"/>
                <w:sz w:val="21"/>
                <w:szCs w:val="21"/>
              </w:rPr>
            </w:pPr>
            <w:r>
              <w:rPr>
                <w:rFonts w:ascii="Century Gothic" w:hAnsi="Century Gothic" w:cs="Century Gothic" w:eastAsia="Century Gothic" w:hint="default"/>
                <w:w w:val="99"/>
                <w:sz w:val="21"/>
                <w:szCs w:val="21"/>
              </w:rPr>
              <w:t>2</w:t>
            </w:r>
            <w:r>
              <w:rPr>
                <w:rFonts w:ascii="宋体" w:hAnsi="宋体" w:cs="宋体" w:eastAsia="宋体" w:hint="default"/>
                <w:spacing w:val="-93"/>
                <w:sz w:val="21"/>
                <w:szCs w:val="21"/>
              </w:rPr>
              <w:t>、</w:t>
            </w:r>
            <w:r>
              <w:rPr>
                <w:rFonts w:ascii="宋体" w:hAnsi="宋体" w:cs="宋体" w:eastAsia="宋体" w:hint="default"/>
                <w:sz w:val="21"/>
                <w:szCs w:val="21"/>
              </w:rPr>
              <w:t>应收账款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31" w:right="0"/>
              <w:jc w:val="center"/>
              <w:rPr>
                <w:rFonts w:ascii="Century Gothic" w:hAnsi="Century Gothic" w:cs="Century Gothic" w:eastAsia="Century Gothic" w:hint="default"/>
                <w:sz w:val="21"/>
                <w:szCs w:val="21"/>
              </w:rPr>
            </w:pPr>
            <w:r>
              <w:rPr>
                <w:rFonts w:ascii="Century Gothic"/>
                <w:sz w:val="21"/>
              </w:rPr>
              <w:t>79,750,000.00</w:t>
            </w:r>
          </w:p>
        </w:tc>
        <w:tc>
          <w:tcPr>
            <w:tcW w:w="157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Century Gothic" w:hAnsi="Century Gothic" w:cs="Century Gothic" w:eastAsia="Century Gothic" w:hint="default"/>
                <w:sz w:val="21"/>
                <w:szCs w:val="21"/>
              </w:rPr>
            </w:pPr>
            <w:r>
              <w:rPr>
                <w:rFonts w:ascii="Century Gothic"/>
                <w:spacing w:val="-1"/>
                <w:sz w:val="21"/>
              </w:rPr>
              <w:t>79,750,000.00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186" w:right="0"/>
              <w:jc w:val="left"/>
              <w:rPr>
                <w:rFonts w:ascii="宋体" w:hAnsi="宋体" w:cs="宋体" w:eastAsia="宋体" w:hint="default"/>
                <w:sz w:val="18"/>
                <w:szCs w:val="18"/>
              </w:rPr>
            </w:pPr>
            <w:r>
              <w:rPr>
                <w:rFonts w:ascii="宋体" w:hAnsi="宋体" w:cs="宋体" w:eastAsia="宋体" w:hint="default"/>
                <w:sz w:val="18"/>
                <w:szCs w:val="18"/>
              </w:rPr>
              <w:t>应收账</w:t>
            </w:r>
          </w:p>
          <w:p>
            <w:pPr>
              <w:pStyle w:val="TableParagraph"/>
              <w:spacing w:line="235" w:lineRule="exact"/>
              <w:ind w:left="186" w:right="0"/>
              <w:jc w:val="left"/>
              <w:rPr>
                <w:rFonts w:ascii="宋体" w:hAnsi="宋体" w:cs="宋体" w:eastAsia="宋体" w:hint="default"/>
                <w:sz w:val="18"/>
                <w:szCs w:val="18"/>
              </w:rPr>
            </w:pPr>
            <w:r>
              <w:rPr>
                <w:rFonts w:ascii="宋体" w:hAnsi="宋体" w:cs="宋体" w:eastAsia="宋体" w:hint="default"/>
                <w:sz w:val="18"/>
                <w:szCs w:val="18"/>
              </w:rPr>
              <w:t>款质押</w:t>
            </w:r>
          </w:p>
        </w:tc>
      </w:tr>
      <w:tr>
        <w:trPr>
          <w:trHeight w:val="299" w:hRule="exact"/>
        </w:trPr>
        <w:tc>
          <w:tcPr>
            <w:tcW w:w="1304" w:type="dxa"/>
            <w:tcBorders>
              <w:top w:val="single" w:sz="6" w:space="0" w:color="000000"/>
              <w:left w:val="nil" w:sz="6" w:space="0" w:color="auto"/>
              <w:bottom w:val="single" w:sz="6" w:space="0" w:color="000000"/>
              <w:right w:val="single" w:sz="6" w:space="0" w:color="000000"/>
            </w:tcBorders>
          </w:tcPr>
          <w:p>
            <w:pPr>
              <w:pStyle w:val="TableParagraph"/>
              <w:spacing w:line="259" w:lineRule="exact"/>
              <w:ind w:left="21" w:right="0"/>
              <w:jc w:val="center"/>
              <w:rPr>
                <w:rFonts w:ascii="宋体" w:hAnsi="宋体" w:cs="宋体" w:eastAsia="宋体" w:hint="default"/>
                <w:sz w:val="21"/>
                <w:szCs w:val="21"/>
              </w:rPr>
            </w:pPr>
            <w:r>
              <w:rPr>
                <w:rFonts w:ascii="Century Gothic" w:hAnsi="Century Gothic" w:cs="Century Gothic" w:eastAsia="Century Gothic" w:hint="default"/>
                <w:w w:val="99"/>
                <w:sz w:val="21"/>
                <w:szCs w:val="21"/>
              </w:rPr>
              <w:t>3</w:t>
            </w:r>
            <w:r>
              <w:rPr>
                <w:rFonts w:ascii="宋体" w:hAnsi="宋体" w:cs="宋体" w:eastAsia="宋体" w:hint="default"/>
                <w:spacing w:val="-93"/>
                <w:sz w:val="21"/>
                <w:szCs w:val="21"/>
              </w:rPr>
              <w:t>、</w:t>
            </w:r>
            <w:r>
              <w:rPr>
                <w:rFonts w:ascii="宋体" w:hAnsi="宋体" w:cs="宋体" w:eastAsia="宋体" w:hint="default"/>
                <w:sz w:val="21"/>
                <w:szCs w:val="21"/>
              </w:rPr>
              <w:t>固定资产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5" w:right="0"/>
              <w:jc w:val="center"/>
              <w:rPr>
                <w:rFonts w:ascii="Century Gothic" w:hAnsi="Century Gothic" w:cs="Century Gothic" w:eastAsia="Century Gothic" w:hint="default"/>
                <w:sz w:val="21"/>
                <w:szCs w:val="21"/>
              </w:rPr>
            </w:pPr>
            <w:r>
              <w:rPr>
                <w:rFonts w:ascii="Century Gothic"/>
                <w:sz w:val="21"/>
              </w:rPr>
              <w:t>385,324,248.65</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15" w:right="0"/>
              <w:jc w:val="left"/>
              <w:rPr>
                <w:rFonts w:ascii="Century Gothic" w:hAnsi="Century Gothic" w:cs="Century Gothic" w:eastAsia="Century Gothic" w:hint="default"/>
                <w:sz w:val="21"/>
                <w:szCs w:val="21"/>
              </w:rPr>
            </w:pPr>
            <w:r>
              <w:rPr>
                <w:rFonts w:ascii="Century Gothic"/>
                <w:sz w:val="21"/>
              </w:rPr>
              <w:t>18,366,748.07</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403,690,996.72</w:t>
            </w:r>
            <w:r>
              <w:rPr>
                <w:rFonts w:ascii="Century Gothic"/>
                <w:sz w:val="21"/>
              </w:rPr>
            </w:r>
          </w:p>
        </w:tc>
        <w:tc>
          <w:tcPr>
            <w:tcW w:w="926" w:type="dxa"/>
            <w:tcBorders>
              <w:top w:val="single" w:sz="6" w:space="0" w:color="000000"/>
              <w:left w:val="single" w:sz="6" w:space="0" w:color="000000"/>
              <w:bottom w:val="single" w:sz="6"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00" w:hRule="exact"/>
        </w:trPr>
        <w:tc>
          <w:tcPr>
            <w:tcW w:w="1304" w:type="dxa"/>
            <w:tcBorders>
              <w:top w:val="single" w:sz="6" w:space="0" w:color="000000"/>
              <w:left w:val="nil" w:sz="6" w:space="0" w:color="auto"/>
              <w:bottom w:val="single" w:sz="6" w:space="0" w:color="000000"/>
              <w:right w:val="single" w:sz="6" w:space="0" w:color="000000"/>
            </w:tcBorders>
          </w:tcPr>
          <w:p>
            <w:pPr>
              <w:pStyle w:val="TableParagraph"/>
              <w:spacing w:line="259" w:lineRule="exact"/>
              <w:ind w:left="21" w:right="0"/>
              <w:jc w:val="center"/>
              <w:rPr>
                <w:rFonts w:ascii="宋体" w:hAnsi="宋体" w:cs="宋体" w:eastAsia="宋体" w:hint="default"/>
                <w:sz w:val="21"/>
                <w:szCs w:val="21"/>
              </w:rPr>
            </w:pPr>
            <w:r>
              <w:rPr>
                <w:rFonts w:ascii="Century Gothic" w:hAnsi="Century Gothic" w:cs="Century Gothic" w:eastAsia="Century Gothic" w:hint="default"/>
                <w:w w:val="99"/>
                <w:sz w:val="21"/>
                <w:szCs w:val="21"/>
              </w:rPr>
              <w:t>4</w:t>
            </w:r>
            <w:r>
              <w:rPr>
                <w:rFonts w:ascii="宋体" w:hAnsi="宋体" w:cs="宋体" w:eastAsia="宋体" w:hint="default"/>
                <w:spacing w:val="-93"/>
                <w:sz w:val="21"/>
                <w:szCs w:val="21"/>
              </w:rPr>
              <w:t>、</w:t>
            </w:r>
            <w:r>
              <w:rPr>
                <w:rFonts w:ascii="宋体" w:hAnsi="宋体" w:cs="宋体" w:eastAsia="宋体" w:hint="default"/>
                <w:sz w:val="21"/>
                <w:szCs w:val="21"/>
              </w:rPr>
              <w:t>无形资产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5" w:right="0"/>
              <w:jc w:val="center"/>
              <w:rPr>
                <w:rFonts w:ascii="Century Gothic" w:hAnsi="Century Gothic" w:cs="Century Gothic" w:eastAsia="Century Gothic" w:hint="default"/>
                <w:sz w:val="21"/>
                <w:szCs w:val="21"/>
              </w:rPr>
            </w:pPr>
            <w:r>
              <w:rPr>
                <w:rFonts w:ascii="Century Gothic"/>
                <w:sz w:val="21"/>
              </w:rPr>
              <w:t>171,529,286.92</w:t>
            </w:r>
          </w:p>
        </w:tc>
        <w:tc>
          <w:tcPr>
            <w:tcW w:w="157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10,459,966.29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161,069,320.63</w:t>
            </w:r>
            <w:r>
              <w:rPr>
                <w:rFonts w:ascii="Century Gothic"/>
                <w:sz w:val="21"/>
              </w:rPr>
            </w:r>
          </w:p>
        </w:tc>
        <w:tc>
          <w:tcPr>
            <w:tcW w:w="926" w:type="dxa"/>
            <w:tcBorders>
              <w:top w:val="single" w:sz="6" w:space="0" w:color="000000"/>
              <w:left w:val="single" w:sz="6" w:space="0" w:color="000000"/>
              <w:bottom w:val="single" w:sz="6"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299" w:hRule="exact"/>
        </w:trPr>
        <w:tc>
          <w:tcPr>
            <w:tcW w:w="1304" w:type="dxa"/>
            <w:tcBorders>
              <w:top w:val="single" w:sz="6" w:space="0" w:color="000000"/>
              <w:left w:val="nil" w:sz="6" w:space="0" w:color="auto"/>
              <w:bottom w:val="single" w:sz="6" w:space="0" w:color="000000"/>
              <w:right w:val="single" w:sz="6" w:space="0" w:color="000000"/>
            </w:tcBorders>
          </w:tcPr>
          <w:p>
            <w:pPr>
              <w:pStyle w:val="TableParagraph"/>
              <w:spacing w:line="259" w:lineRule="exact"/>
              <w:ind w:left="21" w:right="0"/>
              <w:jc w:val="center"/>
              <w:rPr>
                <w:rFonts w:ascii="宋体" w:hAnsi="宋体" w:cs="宋体" w:eastAsia="宋体" w:hint="default"/>
                <w:sz w:val="21"/>
                <w:szCs w:val="21"/>
              </w:rPr>
            </w:pPr>
            <w:r>
              <w:rPr>
                <w:rFonts w:ascii="Century Gothic" w:hAnsi="Century Gothic" w:cs="Century Gothic" w:eastAsia="Century Gothic" w:hint="default"/>
                <w:w w:val="99"/>
                <w:sz w:val="21"/>
                <w:szCs w:val="21"/>
              </w:rPr>
              <w:t>5</w:t>
            </w:r>
            <w:r>
              <w:rPr>
                <w:rFonts w:ascii="宋体" w:hAnsi="宋体" w:cs="宋体" w:eastAsia="宋体" w:hint="default"/>
                <w:spacing w:val="-93"/>
                <w:sz w:val="21"/>
                <w:szCs w:val="21"/>
              </w:rPr>
              <w:t>、</w:t>
            </w:r>
            <w:r>
              <w:rPr>
                <w:rFonts w:ascii="宋体" w:hAnsi="宋体" w:cs="宋体" w:eastAsia="宋体" w:hint="default"/>
                <w:sz w:val="21"/>
                <w:szCs w:val="21"/>
              </w:rPr>
              <w:t>在建工程</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31" w:right="0"/>
              <w:jc w:val="center"/>
              <w:rPr>
                <w:rFonts w:ascii="Century Gothic" w:hAnsi="Century Gothic" w:cs="Century Gothic" w:eastAsia="Century Gothic" w:hint="default"/>
                <w:sz w:val="21"/>
                <w:szCs w:val="21"/>
              </w:rPr>
            </w:pPr>
            <w:r>
              <w:rPr>
                <w:rFonts w:ascii="Century Gothic"/>
                <w:sz w:val="21"/>
              </w:rPr>
              <w:t>17,376,850.72</w:t>
            </w:r>
          </w:p>
        </w:tc>
        <w:tc>
          <w:tcPr>
            <w:tcW w:w="157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11,434,107.64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5,942,743.08</w:t>
            </w:r>
          </w:p>
        </w:tc>
        <w:tc>
          <w:tcPr>
            <w:tcW w:w="926" w:type="dxa"/>
            <w:tcBorders>
              <w:top w:val="single" w:sz="6" w:space="0" w:color="000000"/>
              <w:left w:val="single" w:sz="6" w:space="0" w:color="000000"/>
              <w:bottom w:val="single" w:sz="6" w:space="0" w:color="000000"/>
              <w:right w:val="nil" w:sz="6" w:space="0" w:color="auto"/>
            </w:tcBorders>
          </w:tcPr>
          <w:p>
            <w:pPr>
              <w:pStyle w:val="TableParagraph"/>
              <w:spacing w:line="207" w:lineRule="exact"/>
              <w:ind w:right="5"/>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07" w:hRule="exact"/>
        </w:trPr>
        <w:tc>
          <w:tcPr>
            <w:tcW w:w="1304"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675,330,386.29</w:t>
            </w:r>
            <w:r>
              <w:rPr>
                <w:rFonts w:ascii="Century Gothic"/>
                <w:b/>
                <w:sz w:val="21"/>
              </w:rPr>
            </w:r>
            <w:r>
              <w:rPr>
                <w:rFonts w:ascii="Century Gothic"/>
                <w:sz w:val="21"/>
              </w:rPr>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left="100" w:right="0"/>
              <w:jc w:val="left"/>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97,514,248.07</w:t>
            </w:r>
            <w:r>
              <w:rPr>
                <w:rFonts w:ascii="Century Gothic"/>
                <w:b/>
                <w:sz w:val="21"/>
              </w:rPr>
            </w:r>
            <w:r>
              <w:rPr>
                <w:rFonts w:ascii="Century Gothic"/>
                <w:sz w:val="21"/>
              </w:rPr>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101,644,073.93</w:t>
            </w:r>
            <w:r>
              <w:rPr>
                <w:rFonts w:ascii="Century Gothic"/>
                <w:b/>
                <w:w w:val="95"/>
                <w:sz w:val="21"/>
              </w:rPr>
            </w:r>
            <w:r>
              <w:rPr>
                <w:rFonts w:ascii="Century Gothic"/>
                <w:sz w:val="21"/>
              </w:rPr>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671,200,560.43</w:t>
            </w:r>
            <w:r>
              <w:rPr>
                <w:rFonts w:ascii="Century Gothic"/>
                <w:b/>
                <w:w w:val="95"/>
                <w:sz w:val="21"/>
              </w:rPr>
            </w:r>
            <w:r>
              <w:rPr>
                <w:rFonts w:ascii="Century Gothic"/>
                <w:sz w:val="21"/>
              </w:rPr>
            </w:r>
          </w:p>
        </w:tc>
        <w:tc>
          <w:tcPr>
            <w:tcW w:w="926" w:type="dxa"/>
            <w:tcBorders>
              <w:top w:val="single" w:sz="6" w:space="0" w:color="000000"/>
              <w:left w:val="single" w:sz="6" w:space="0" w:color="000000"/>
              <w:bottom w:val="single" w:sz="12" w:space="0" w:color="000000"/>
              <w:right w:val="nil" w:sz="6" w:space="0" w:color="auto"/>
            </w:tcBorders>
          </w:tcPr>
          <w:p>
            <w:pPr/>
          </w:p>
        </w:tc>
      </w:tr>
    </w:tbl>
    <w:p>
      <w:pPr>
        <w:spacing w:line="357" w:lineRule="auto" w:before="86"/>
        <w:ind w:left="558" w:right="6136" w:firstLine="0"/>
        <w:jc w:val="left"/>
        <w:rPr>
          <w:rFonts w:ascii="宋体" w:hAnsi="宋体" w:cs="宋体" w:eastAsia="宋体" w:hint="default"/>
          <w:sz w:val="21"/>
          <w:szCs w:val="21"/>
        </w:rPr>
      </w:pPr>
      <w:r>
        <w:rPr>
          <w:rFonts w:ascii="宋体" w:hAnsi="宋体" w:cs="宋体" w:eastAsia="宋体" w:hint="default"/>
          <w:b/>
          <w:bCs/>
          <w:sz w:val="21"/>
          <w:szCs w:val="21"/>
        </w:rPr>
        <w:t>（十八）短期借款</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sz w:val="21"/>
          <w:szCs w:val="21"/>
        </w:rPr>
        <w:t>短期借款明细项目列示如下：</w:t>
      </w:r>
    </w:p>
    <w:p>
      <w:pPr>
        <w:spacing w:line="240" w:lineRule="auto" w:before="0"/>
        <w:rPr>
          <w:rFonts w:ascii="宋体" w:hAnsi="宋体" w:cs="宋体" w:eastAsia="宋体" w:hint="default"/>
          <w:sz w:val="5"/>
          <w:szCs w:val="5"/>
        </w:rPr>
      </w:pPr>
    </w:p>
    <w:tbl>
      <w:tblPr>
        <w:tblW w:w="0" w:type="auto"/>
        <w:jc w:val="left"/>
        <w:tblInd w:w="281" w:type="dxa"/>
        <w:tblLayout w:type="fixed"/>
        <w:tblCellMar>
          <w:top w:w="0" w:type="dxa"/>
          <w:left w:w="0" w:type="dxa"/>
          <w:bottom w:w="0" w:type="dxa"/>
          <w:right w:w="0" w:type="dxa"/>
        </w:tblCellMar>
        <w:tblLook w:val="01E0"/>
      </w:tblPr>
      <w:tblGrid>
        <w:gridCol w:w="2304"/>
        <w:gridCol w:w="2285"/>
        <w:gridCol w:w="2348"/>
        <w:gridCol w:w="1921"/>
      </w:tblGrid>
      <w:tr>
        <w:trPr>
          <w:trHeight w:val="307" w:hRule="exact"/>
        </w:trPr>
        <w:tc>
          <w:tcPr>
            <w:tcW w:w="2304"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left="738"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2285"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50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348"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53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921"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right="749"/>
              <w:jc w:val="right"/>
              <w:rPr>
                <w:rFonts w:ascii="宋体" w:hAnsi="宋体" w:cs="宋体" w:eastAsia="宋体" w:hint="default"/>
                <w:sz w:val="21"/>
                <w:szCs w:val="21"/>
              </w:rPr>
            </w:pPr>
            <w:r>
              <w:rPr>
                <w:rFonts w:ascii="宋体" w:hAnsi="宋体" w:cs="宋体" w:eastAsia="宋体" w:hint="default"/>
                <w:sz w:val="21"/>
                <w:szCs w:val="21"/>
              </w:rPr>
              <w:t>备注</w:t>
            </w:r>
          </w:p>
        </w:tc>
      </w:tr>
      <w:tr>
        <w:trPr>
          <w:trHeight w:val="299"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226"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50,000,000.00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103,750,000.00</w:t>
            </w:r>
            <w:r>
              <w:rPr>
                <w:rFonts w:ascii="Century Gothic"/>
                <w:sz w:val="21"/>
              </w:rPr>
            </w:r>
          </w:p>
        </w:tc>
        <w:tc>
          <w:tcPr>
            <w:tcW w:w="1921" w:type="dxa"/>
            <w:tcBorders>
              <w:top w:val="single" w:sz="6" w:space="0" w:color="000000"/>
              <w:left w:val="single" w:sz="6" w:space="0" w:color="000000"/>
              <w:bottom w:val="single" w:sz="6" w:space="0" w:color="000000"/>
              <w:right w:val="nil" w:sz="6" w:space="0" w:color="auto"/>
            </w:tcBorders>
          </w:tcPr>
          <w:p>
            <w:pPr>
              <w:pStyle w:val="TableParagraph"/>
              <w:spacing w:line="263" w:lineRule="exact"/>
              <w:ind w:right="769"/>
              <w:jc w:val="right"/>
              <w:rPr>
                <w:rFonts w:ascii="Century Gothic" w:hAnsi="Century Gothic" w:cs="Century Gothic" w:eastAsia="Century Gothic"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Century Gothic" w:hAnsi="Century Gothic" w:cs="Century Gothic" w:eastAsia="Century Gothic" w:hint="default"/>
                <w:sz w:val="21"/>
                <w:szCs w:val="21"/>
              </w:rPr>
              <w:t>1</w:t>
            </w:r>
          </w:p>
        </w:tc>
      </w:tr>
      <w:tr>
        <w:trPr>
          <w:trHeight w:val="299"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2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65,600,000.00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58,640,000.00</w:t>
            </w:r>
          </w:p>
        </w:tc>
        <w:tc>
          <w:tcPr>
            <w:tcW w:w="1921" w:type="dxa"/>
            <w:tcBorders>
              <w:top w:val="single" w:sz="6" w:space="0" w:color="000000"/>
              <w:left w:val="single" w:sz="6" w:space="0" w:color="000000"/>
              <w:bottom w:val="single" w:sz="6" w:space="0" w:color="000000"/>
              <w:right w:val="nil" w:sz="6" w:space="0" w:color="auto"/>
            </w:tcBorders>
          </w:tcPr>
          <w:p>
            <w:pPr>
              <w:pStyle w:val="TableParagraph"/>
              <w:spacing w:line="263" w:lineRule="exact"/>
              <w:ind w:right="769"/>
              <w:jc w:val="right"/>
              <w:rPr>
                <w:rFonts w:ascii="Century Gothic" w:hAnsi="Century Gothic" w:cs="Century Gothic" w:eastAsia="Century Gothic"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Century Gothic" w:hAnsi="Century Gothic" w:cs="Century Gothic" w:eastAsia="Century Gothic" w:hint="default"/>
                <w:sz w:val="21"/>
                <w:szCs w:val="21"/>
              </w:rPr>
              <w:t>2</w:t>
            </w:r>
          </w:p>
        </w:tc>
      </w:tr>
      <w:tr>
        <w:trPr>
          <w:trHeight w:val="300" w:hRule="exact"/>
        </w:trPr>
        <w:tc>
          <w:tcPr>
            <w:tcW w:w="2304"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2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337,500,000.00</w:t>
            </w:r>
            <w:r>
              <w:rPr>
                <w:rFonts w:ascii="Century Gothic"/>
                <w:sz w:val="21"/>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526,000,000.00</w:t>
            </w:r>
            <w:r>
              <w:rPr>
                <w:rFonts w:ascii="Century Gothic"/>
                <w:sz w:val="21"/>
              </w:rPr>
            </w:r>
          </w:p>
        </w:tc>
        <w:tc>
          <w:tcPr>
            <w:tcW w:w="1921" w:type="dxa"/>
            <w:tcBorders>
              <w:top w:val="single" w:sz="6" w:space="0" w:color="000000"/>
              <w:left w:val="single" w:sz="6" w:space="0" w:color="000000"/>
              <w:bottom w:val="single" w:sz="6" w:space="0" w:color="000000"/>
              <w:right w:val="nil" w:sz="6" w:space="0" w:color="auto"/>
            </w:tcBorders>
          </w:tcPr>
          <w:p>
            <w:pPr>
              <w:pStyle w:val="TableParagraph"/>
              <w:spacing w:line="263" w:lineRule="exact"/>
              <w:ind w:right="769"/>
              <w:jc w:val="right"/>
              <w:rPr>
                <w:rFonts w:ascii="Century Gothic" w:hAnsi="Century Gothic" w:cs="Century Gothic" w:eastAsia="Century Gothic"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Century Gothic" w:hAnsi="Century Gothic" w:cs="Century Gothic" w:eastAsia="Century Gothic" w:hint="default"/>
                <w:sz w:val="21"/>
                <w:szCs w:val="21"/>
              </w:rPr>
              <w:t>3</w:t>
            </w:r>
          </w:p>
        </w:tc>
      </w:tr>
      <w:tr>
        <w:trPr>
          <w:trHeight w:val="307" w:hRule="exact"/>
        </w:trPr>
        <w:tc>
          <w:tcPr>
            <w:tcW w:w="2304" w:type="dxa"/>
            <w:tcBorders>
              <w:top w:val="single" w:sz="6" w:space="0" w:color="000000"/>
              <w:left w:val="nil" w:sz="6" w:space="0" w:color="auto"/>
              <w:bottom w:val="single" w:sz="12" w:space="0" w:color="000000"/>
              <w:right w:val="single" w:sz="6" w:space="0" w:color="000000"/>
            </w:tcBorders>
          </w:tcPr>
          <w:p>
            <w:pPr>
              <w:pStyle w:val="TableParagraph"/>
              <w:spacing w:line="247" w:lineRule="exact"/>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453,100,000.00</w:t>
            </w:r>
            <w:r>
              <w:rPr>
                <w:rFonts w:ascii="Century Gothic"/>
                <w:b/>
                <w:w w:val="95"/>
                <w:sz w:val="21"/>
              </w:rPr>
            </w:r>
            <w:r>
              <w:rPr>
                <w:rFonts w:ascii="Century Gothic"/>
                <w:sz w:val="21"/>
              </w:rPr>
            </w:r>
          </w:p>
        </w:tc>
        <w:tc>
          <w:tcPr>
            <w:tcW w:w="23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688,390,000.00</w:t>
            </w:r>
            <w:r>
              <w:rPr>
                <w:rFonts w:ascii="Century Gothic"/>
                <w:b/>
                <w:w w:val="95"/>
                <w:sz w:val="21"/>
              </w:rPr>
            </w:r>
            <w:r>
              <w:rPr>
                <w:rFonts w:ascii="Century Gothic"/>
                <w:sz w:val="21"/>
              </w:rPr>
            </w:r>
          </w:p>
        </w:tc>
        <w:tc>
          <w:tcPr>
            <w:tcW w:w="1921"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558" w:right="0"/>
        <w:jc w:val="left"/>
      </w:pPr>
      <w:r>
        <w:rPr/>
        <w:t>注</w:t>
      </w:r>
      <w:r>
        <w:rPr>
          <w:spacing w:val="-57"/>
        </w:rPr>
        <w:t> </w:t>
      </w:r>
      <w:r>
        <w:rPr>
          <w:rFonts w:ascii="Century Gothic" w:hAnsi="Century Gothic" w:cs="Century Gothic" w:eastAsia="Century Gothic" w:hint="default"/>
        </w:rPr>
        <w:t>1</w:t>
      </w:r>
      <w:r>
        <w:rPr/>
        <w:t>：公司以定期银行存单</w:t>
      </w:r>
      <w:r>
        <w:rPr>
          <w:spacing w:val="-57"/>
        </w:rPr>
        <w:t> </w:t>
      </w:r>
      <w:r>
        <w:rPr>
          <w:rFonts w:ascii="Century Gothic" w:hAnsi="Century Gothic" w:cs="Century Gothic" w:eastAsia="Century Gothic" w:hint="default"/>
        </w:rPr>
        <w:t>5,265.50</w:t>
      </w:r>
      <w:r>
        <w:rPr>
          <w:rFonts w:ascii="Century Gothic" w:hAnsi="Century Gothic" w:cs="Century Gothic" w:eastAsia="Century Gothic" w:hint="default"/>
          <w:spacing w:val="-9"/>
        </w:rPr>
        <w:t> </w:t>
      </w:r>
      <w:r>
        <w:rPr/>
        <w:t>万元为其在银行借款</w:t>
      </w:r>
      <w:r>
        <w:rPr>
          <w:spacing w:val="-57"/>
        </w:rPr>
        <w:t> </w:t>
      </w:r>
      <w:r>
        <w:rPr>
          <w:rFonts w:ascii="Century Gothic" w:hAnsi="Century Gothic" w:cs="Century Gothic" w:eastAsia="Century Gothic" w:hint="default"/>
        </w:rPr>
        <w:t>5,000.00</w:t>
      </w:r>
      <w:r>
        <w:rPr>
          <w:rFonts w:ascii="Century Gothic" w:hAnsi="Century Gothic" w:cs="Century Gothic" w:eastAsia="Century Gothic" w:hint="default"/>
          <w:spacing w:val="-10"/>
        </w:rPr>
        <w:t> </w:t>
      </w:r>
      <w:r>
        <w:rPr/>
        <w:t>万元提供了质押。</w:t>
      </w:r>
    </w:p>
    <w:p>
      <w:pPr>
        <w:pStyle w:val="BodyText"/>
        <w:spacing w:line="240" w:lineRule="auto"/>
        <w:ind w:left="558" w:right="0"/>
        <w:jc w:val="left"/>
      </w:pPr>
      <w:r>
        <w:rPr/>
        <w:t>注</w:t>
      </w:r>
      <w:r>
        <w:rPr>
          <w:spacing w:val="-47"/>
        </w:rPr>
        <w:t> </w:t>
      </w:r>
      <w:r>
        <w:rPr>
          <w:rFonts w:ascii="Century Gothic" w:hAnsi="Century Gothic" w:cs="Century Gothic" w:eastAsia="Century Gothic" w:hint="default"/>
        </w:rPr>
        <w:t>2</w:t>
      </w:r>
      <w:r>
        <w:rPr/>
        <w:t>：公司及子公司以账面价值为</w:t>
      </w:r>
      <w:r>
        <w:rPr>
          <w:spacing w:val="-47"/>
        </w:rPr>
        <w:t> </w:t>
      </w:r>
      <w:r>
        <w:rPr>
          <w:rFonts w:ascii="Century Gothic" w:hAnsi="Century Gothic" w:cs="Century Gothic" w:eastAsia="Century Gothic" w:hint="default"/>
        </w:rPr>
        <w:t>8,393.26 </w:t>
      </w:r>
      <w:r>
        <w:rPr/>
        <w:t>万元的房屋及建筑物、账面价值为</w:t>
      </w:r>
      <w:r>
        <w:rPr>
          <w:spacing w:val="-47"/>
        </w:rPr>
        <w:t> </w:t>
      </w:r>
      <w:r>
        <w:rPr>
          <w:rFonts w:ascii="Century Gothic" w:hAnsi="Century Gothic" w:cs="Century Gothic" w:eastAsia="Century Gothic" w:hint="default"/>
        </w:rPr>
        <w:t>2,170.10 </w:t>
      </w:r>
      <w:r>
        <w:rPr/>
        <w:t>万元的</w:t>
      </w:r>
    </w:p>
    <w:p>
      <w:pPr>
        <w:pStyle w:val="BodyText"/>
        <w:spacing w:line="336" w:lineRule="auto"/>
        <w:ind w:left="558" w:right="3545" w:hanging="420"/>
        <w:jc w:val="left"/>
      </w:pPr>
      <w:r>
        <w:rPr/>
        <w:t>土地使用权为公司的短期借款</w:t>
      </w:r>
      <w:r>
        <w:rPr>
          <w:spacing w:val="-57"/>
        </w:rPr>
        <w:t> </w:t>
      </w:r>
      <w:r>
        <w:rPr>
          <w:rFonts w:ascii="Century Gothic" w:hAnsi="Century Gothic" w:cs="Century Gothic" w:eastAsia="Century Gothic" w:hint="default"/>
        </w:rPr>
        <w:t>6,560.00</w:t>
      </w:r>
      <w:r>
        <w:rPr>
          <w:rFonts w:ascii="Century Gothic" w:hAnsi="Century Gothic" w:cs="Century Gothic" w:eastAsia="Century Gothic" w:hint="default"/>
          <w:spacing w:val="-10"/>
        </w:rPr>
        <w:t> </w:t>
      </w:r>
      <w:r>
        <w:rPr/>
        <w:t>万元提供了抵押担保。 注</w:t>
      </w:r>
      <w:r>
        <w:rPr>
          <w:spacing w:val="-56"/>
        </w:rPr>
        <w:t> </w:t>
      </w:r>
      <w:r>
        <w:rPr>
          <w:rFonts w:ascii="Century Gothic" w:hAnsi="Century Gothic" w:cs="Century Gothic" w:eastAsia="Century Gothic" w:hint="default"/>
        </w:rPr>
        <w:t>3</w:t>
      </w:r>
      <w:r>
        <w:rPr/>
        <w:t>：保证借款</w:t>
      </w:r>
      <w:r>
        <w:rPr>
          <w:spacing w:val="-56"/>
        </w:rPr>
        <w:t> </w:t>
      </w:r>
      <w:r>
        <w:rPr>
          <w:rFonts w:ascii="Century Gothic" w:hAnsi="Century Gothic" w:cs="Century Gothic" w:eastAsia="Century Gothic" w:hint="default"/>
        </w:rPr>
        <w:t>33,750.00</w:t>
      </w:r>
      <w:r>
        <w:rPr>
          <w:rFonts w:ascii="Century Gothic" w:hAnsi="Century Gothic" w:cs="Century Gothic" w:eastAsia="Century Gothic" w:hint="default"/>
          <w:spacing w:val="-9"/>
        </w:rPr>
        <w:t> </w:t>
      </w:r>
      <w:r>
        <w:rPr/>
        <w:t>万元，其中：</w:t>
      </w:r>
    </w:p>
    <w:p>
      <w:pPr>
        <w:pStyle w:val="BodyText"/>
        <w:spacing w:line="336" w:lineRule="auto" w:before="19"/>
        <w:ind w:right="102" w:firstLine="420"/>
        <w:jc w:val="left"/>
      </w:pPr>
      <w:r>
        <w:rPr/>
        <w:t>（</w:t>
      </w:r>
      <w:r>
        <w:rPr>
          <w:rFonts w:ascii="Century Gothic" w:hAnsi="Century Gothic" w:cs="Century Gothic" w:eastAsia="Century Gothic" w:hint="default"/>
        </w:rPr>
        <w:t>1</w:t>
      </w:r>
      <w:r>
        <w:rPr/>
        <w:t>）华方医药科技有限公司为公司及子公司的 </w:t>
      </w:r>
      <w:r>
        <w:rPr>
          <w:rFonts w:ascii="Century Gothic" w:hAnsi="Century Gothic" w:cs="Century Gothic" w:eastAsia="Century Gothic" w:hint="default"/>
        </w:rPr>
        <w:t>30,900.00</w:t>
      </w:r>
      <w:r>
        <w:rPr>
          <w:rFonts w:ascii="Century Gothic" w:hAnsi="Century Gothic" w:cs="Century Gothic" w:eastAsia="Century Gothic" w:hint="default"/>
          <w:spacing w:val="-7"/>
        </w:rPr>
        <w:t> </w:t>
      </w:r>
      <w:r>
        <w:rPr/>
        <w:t>万元银行借款提供连带保证责任，详 </w:t>
      </w:r>
      <w:r>
        <w:rPr>
          <w:spacing w:val="-18"/>
          <w:w w:val="99"/>
        </w:rPr>
        <w:t>见附注六、（二）、</w:t>
      </w:r>
      <w:r>
        <w:rPr>
          <w:rFonts w:ascii="Century Gothic" w:hAnsi="Century Gothic" w:cs="Century Gothic" w:eastAsia="Century Gothic" w:hint="default"/>
          <w:spacing w:val="-18"/>
          <w:w w:val="99"/>
        </w:rPr>
        <w:t>5</w:t>
      </w:r>
      <w:r>
        <w:rPr>
          <w:spacing w:val="-18"/>
          <w:w w:val="99"/>
        </w:rPr>
        <w:t>、</w:t>
      </w:r>
      <w:r>
        <w:rPr>
          <w:rFonts w:ascii="Century Gothic" w:hAnsi="Century Gothic" w:cs="Century Gothic" w:eastAsia="Century Gothic" w:hint="default"/>
          <w:spacing w:val="-18"/>
          <w:w w:val="99"/>
        </w:rPr>
        <w:t>A</w:t>
      </w:r>
      <w:r>
        <w:rPr>
          <w:rFonts w:ascii="Century Gothic" w:hAnsi="Century Gothic" w:cs="Century Gothic" w:eastAsia="Century Gothic" w:hint="default"/>
          <w:spacing w:val="-2"/>
          <w:w w:val="99"/>
        </w:rPr>
        <w:t> </w:t>
      </w:r>
      <w:r>
        <w:rPr/>
        <w:t>所述；</w:t>
      </w:r>
    </w:p>
    <w:p>
      <w:pPr>
        <w:pStyle w:val="BodyText"/>
        <w:spacing w:line="336" w:lineRule="auto" w:before="17"/>
        <w:ind w:right="0" w:firstLine="420"/>
        <w:jc w:val="left"/>
      </w:pPr>
      <w:r>
        <w:rPr>
          <w:w w:val="99"/>
        </w:rPr>
        <w:t>（</w:t>
      </w:r>
      <w:r>
        <w:rPr>
          <w:rFonts w:ascii="Century Gothic" w:hAnsi="Century Gothic" w:cs="Century Gothic" w:eastAsia="Century Gothic" w:hint="default"/>
          <w:w w:val="99"/>
        </w:rPr>
        <w:t>2</w:t>
      </w:r>
      <w:r>
        <w:rPr>
          <w:w w:val="99"/>
        </w:rPr>
        <w:t>）本公司为子公司 </w:t>
      </w:r>
      <w:r>
        <w:rPr>
          <w:rFonts w:ascii="Century Gothic" w:hAnsi="Century Gothic" w:cs="Century Gothic" w:eastAsia="Century Gothic" w:hint="default"/>
          <w:spacing w:val="-1"/>
          <w:w w:val="99"/>
        </w:rPr>
        <w:t>2,850.00</w:t>
      </w:r>
      <w:r>
        <w:rPr>
          <w:rFonts w:ascii="Century Gothic" w:hAnsi="Century Gothic" w:cs="Century Gothic" w:eastAsia="Century Gothic" w:hint="default"/>
          <w:spacing w:val="20"/>
          <w:w w:val="99"/>
        </w:rPr>
        <w:t> </w:t>
      </w:r>
      <w:r>
        <w:rPr>
          <w:spacing w:val="-7"/>
          <w:w w:val="99"/>
        </w:rPr>
        <w:t>万元的银行借款提供连带保证责任，详见附注六、（二）、</w:t>
      </w:r>
      <w:r>
        <w:rPr>
          <w:rFonts w:ascii="Century Gothic" w:hAnsi="Century Gothic" w:cs="Century Gothic" w:eastAsia="Century Gothic" w:hint="default"/>
          <w:spacing w:val="-7"/>
          <w:w w:val="99"/>
        </w:rPr>
        <w:t>5</w:t>
      </w:r>
      <w:r>
        <w:rPr>
          <w:spacing w:val="-7"/>
          <w:w w:val="99"/>
        </w:rPr>
        <w:t>、</w:t>
      </w:r>
      <w:r>
        <w:rPr>
          <w:rFonts w:ascii="Century Gothic" w:hAnsi="Century Gothic" w:cs="Century Gothic" w:eastAsia="Century Gothic" w:hint="default"/>
          <w:spacing w:val="-7"/>
          <w:w w:val="99"/>
        </w:rPr>
        <w:t>B</w:t>
      </w:r>
      <w:r>
        <w:rPr>
          <w:rFonts w:ascii="Century Gothic" w:hAnsi="Century Gothic" w:cs="Century Gothic" w:eastAsia="Century Gothic" w:hint="default"/>
          <w:w w:val="99"/>
        </w:rPr>
        <w:t> </w:t>
      </w:r>
      <w:r>
        <w:rPr/>
        <w:t>所述。</w:t>
      </w:r>
    </w:p>
    <w:p>
      <w:pPr>
        <w:pStyle w:val="Heading4"/>
        <w:spacing w:line="240" w:lineRule="auto" w:before="51"/>
        <w:ind w:right="0"/>
        <w:jc w:val="left"/>
        <w:rPr>
          <w:rFonts w:ascii="宋体" w:hAnsi="宋体" w:cs="宋体" w:eastAsia="宋体" w:hint="default"/>
          <w:b w:val="0"/>
          <w:bCs w:val="0"/>
        </w:rPr>
      </w:pPr>
      <w:r>
        <w:rPr>
          <w:rFonts w:ascii="宋体" w:hAnsi="宋体" w:cs="宋体" w:eastAsia="宋体" w:hint="default"/>
        </w:rPr>
        <w:t>（十九）应付票据</w:t>
      </w:r>
      <w:r>
        <w:rPr>
          <w:rFonts w:ascii="宋体" w:hAnsi="宋体" w:cs="宋体" w:eastAsia="宋体" w:hint="default"/>
          <w:b w:val="0"/>
          <w:bCs w:val="0"/>
        </w:rPr>
      </w:r>
    </w:p>
    <w:p>
      <w:pPr>
        <w:spacing w:line="240" w:lineRule="auto" w:before="11"/>
        <w:rPr>
          <w:rFonts w:ascii="宋体" w:hAnsi="宋体" w:cs="宋体" w:eastAsia="宋体" w:hint="default"/>
          <w:b/>
          <w:bCs/>
          <w:sz w:val="12"/>
          <w:szCs w:val="12"/>
        </w:rPr>
      </w:pPr>
    </w:p>
    <w:tbl>
      <w:tblPr>
        <w:tblW w:w="0" w:type="auto"/>
        <w:jc w:val="left"/>
        <w:tblInd w:w="281" w:type="dxa"/>
        <w:tblLayout w:type="fixed"/>
        <w:tblCellMar>
          <w:top w:w="0" w:type="dxa"/>
          <w:left w:w="0" w:type="dxa"/>
          <w:bottom w:w="0" w:type="dxa"/>
          <w:right w:w="0" w:type="dxa"/>
        </w:tblCellMar>
        <w:tblLook w:val="01E0"/>
      </w:tblPr>
      <w:tblGrid>
        <w:gridCol w:w="2226"/>
        <w:gridCol w:w="2213"/>
        <w:gridCol w:w="2210"/>
        <w:gridCol w:w="2209"/>
      </w:tblGrid>
      <w:tr>
        <w:trPr>
          <w:trHeight w:val="307" w:hRule="exact"/>
        </w:trPr>
        <w:tc>
          <w:tcPr>
            <w:tcW w:w="2226"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right="887"/>
              <w:jc w:val="right"/>
              <w:rPr>
                <w:rFonts w:ascii="宋体" w:hAnsi="宋体" w:cs="宋体" w:eastAsia="宋体" w:hint="default"/>
                <w:sz w:val="21"/>
                <w:szCs w:val="21"/>
              </w:rPr>
            </w:pPr>
            <w:r>
              <w:rPr>
                <w:rFonts w:ascii="宋体" w:hAnsi="宋体" w:cs="宋体" w:eastAsia="宋体" w:hint="default"/>
                <w:sz w:val="21"/>
                <w:szCs w:val="21"/>
              </w:rPr>
              <w:t>种类</w:t>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46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210"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46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2209"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right="6"/>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9" w:hRule="exact"/>
        </w:trPr>
        <w:tc>
          <w:tcPr>
            <w:tcW w:w="2226"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right="834"/>
              <w:jc w:val="right"/>
              <w:rPr>
                <w:rFonts w:ascii="宋体" w:hAnsi="宋体" w:cs="宋体" w:eastAsia="宋体" w:hint="default"/>
                <w:sz w:val="21"/>
                <w:szCs w:val="21"/>
              </w:rPr>
            </w:pPr>
            <w:r>
              <w:rPr>
                <w:rFonts w:ascii="宋体" w:hAnsi="宋体" w:cs="宋体" w:eastAsia="宋体" w:hint="default"/>
                <w:sz w:val="21"/>
                <w:szCs w:val="21"/>
              </w:rPr>
              <w:t>银行承兑汇票</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172,156,723.85</w:t>
            </w:r>
            <w:r>
              <w:rPr>
                <w:rFonts w:ascii="Century Gothic"/>
                <w:sz w:val="21"/>
              </w:rPr>
            </w:r>
          </w:p>
        </w:tc>
        <w:tc>
          <w:tcPr>
            <w:tcW w:w="2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Century Gothic" w:hAnsi="Century Gothic" w:cs="Century Gothic" w:eastAsia="Century Gothic" w:hint="default"/>
                <w:sz w:val="21"/>
                <w:szCs w:val="21"/>
              </w:rPr>
            </w:pPr>
            <w:r>
              <w:rPr>
                <w:rFonts w:ascii="Century Gothic"/>
                <w:spacing w:val="-1"/>
                <w:sz w:val="21"/>
              </w:rPr>
              <w:t>143,029,017.65</w:t>
            </w:r>
            <w:r>
              <w:rPr>
                <w:rFonts w:ascii="Century Gothic"/>
                <w:sz w:val="21"/>
              </w:rPr>
            </w:r>
          </w:p>
        </w:tc>
        <w:tc>
          <w:tcPr>
            <w:tcW w:w="2209"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307" w:hRule="exact"/>
        </w:trPr>
        <w:tc>
          <w:tcPr>
            <w:tcW w:w="2226" w:type="dxa"/>
            <w:tcBorders>
              <w:top w:val="single" w:sz="6" w:space="0" w:color="000000"/>
              <w:left w:val="nil" w:sz="6" w:space="0" w:color="auto"/>
              <w:bottom w:val="single" w:sz="12" w:space="0" w:color="000000"/>
              <w:right w:val="single" w:sz="6" w:space="0" w:color="000000"/>
            </w:tcBorders>
          </w:tcPr>
          <w:p>
            <w:pPr>
              <w:pStyle w:val="TableParagraph"/>
              <w:spacing w:line="247" w:lineRule="exact"/>
              <w:ind w:right="887"/>
              <w:jc w:val="right"/>
              <w:rPr>
                <w:rFonts w:ascii="宋体" w:hAnsi="宋体" w:cs="宋体" w:eastAsia="宋体" w:hint="default"/>
                <w:sz w:val="21"/>
                <w:szCs w:val="21"/>
              </w:rPr>
            </w:pPr>
            <w:r>
              <w:rPr>
                <w:rFonts w:ascii="宋体" w:hAnsi="宋体" w:cs="宋体" w:eastAsia="宋体" w:hint="default"/>
                <w:sz w:val="21"/>
                <w:szCs w:val="21"/>
              </w:rPr>
              <w:t>合计</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172,156,723.85</w:t>
            </w:r>
            <w:r>
              <w:rPr>
                <w:rFonts w:ascii="Century Gothic"/>
                <w:b/>
                <w:w w:val="95"/>
                <w:sz w:val="21"/>
              </w:rPr>
            </w:r>
            <w:r>
              <w:rPr>
                <w:rFonts w:ascii="Century Gothic"/>
                <w:sz w:val="21"/>
              </w:rPr>
            </w:r>
          </w:p>
        </w:tc>
        <w:tc>
          <w:tcPr>
            <w:tcW w:w="22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7"/>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143,029,017.65</w:t>
            </w:r>
            <w:r>
              <w:rPr>
                <w:rFonts w:ascii="Century Gothic"/>
                <w:b/>
                <w:w w:val="95"/>
                <w:sz w:val="21"/>
              </w:rPr>
            </w:r>
            <w:r>
              <w:rPr>
                <w:rFonts w:ascii="Century Gothic"/>
                <w:sz w:val="21"/>
              </w:rPr>
            </w:r>
          </w:p>
        </w:tc>
        <w:tc>
          <w:tcPr>
            <w:tcW w:w="2209"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558" w:right="0"/>
        <w:jc w:val="left"/>
      </w:pPr>
      <w:r>
        <w:rPr/>
        <w:t>下一会计期间将到期的金额</w:t>
      </w:r>
      <w:r>
        <w:rPr>
          <w:spacing w:val="-59"/>
        </w:rPr>
        <w:t> </w:t>
      </w:r>
      <w:r>
        <w:rPr>
          <w:rFonts w:ascii="Century Gothic" w:hAnsi="Century Gothic" w:cs="Century Gothic" w:eastAsia="Century Gothic" w:hint="default"/>
        </w:rPr>
        <w:t>172,156,723.85</w:t>
      </w:r>
      <w:r>
        <w:rPr>
          <w:rFonts w:ascii="Century Gothic" w:hAnsi="Century Gothic" w:cs="Century Gothic" w:eastAsia="Century Gothic" w:hint="default"/>
          <w:spacing w:val="-12"/>
        </w:rPr>
        <w:t> </w:t>
      </w:r>
      <w:r>
        <w:rPr/>
        <w:t>元。</w:t>
      </w:r>
    </w:p>
    <w:p>
      <w:pPr>
        <w:pStyle w:val="BodyText"/>
        <w:spacing w:line="240" w:lineRule="auto"/>
        <w:ind w:left="558" w:right="0"/>
        <w:jc w:val="left"/>
      </w:pPr>
      <w:r>
        <w:rPr/>
        <w:t>注：华立仪表集团以定期存单 </w:t>
      </w:r>
      <w:r>
        <w:rPr>
          <w:rFonts w:ascii="Century Gothic" w:hAnsi="Century Gothic" w:cs="Century Gothic" w:eastAsia="Century Gothic" w:hint="default"/>
        </w:rPr>
        <w:t>4,784.25</w:t>
      </w:r>
      <w:r>
        <w:rPr>
          <w:rFonts w:ascii="Century Gothic" w:hAnsi="Century Gothic" w:cs="Century Gothic" w:eastAsia="Century Gothic" w:hint="default"/>
          <w:spacing w:val="17"/>
        </w:rPr>
        <w:t> </w:t>
      </w:r>
      <w:r>
        <w:rPr/>
        <w:t>万元为其办理银行承兑汇票提供了质押担保；华方医药</w:t>
      </w:r>
    </w:p>
    <w:p>
      <w:pPr>
        <w:pStyle w:val="BodyText"/>
        <w:spacing w:line="338" w:lineRule="auto"/>
        <w:ind w:right="101"/>
        <w:jc w:val="left"/>
      </w:pPr>
      <w:r>
        <w:rPr/>
        <w:t>科技有限公司为华立仪表集团开具 </w:t>
      </w:r>
      <w:r>
        <w:rPr>
          <w:rFonts w:ascii="Century Gothic" w:hAnsi="Century Gothic" w:cs="Century Gothic" w:eastAsia="Century Gothic" w:hint="default"/>
        </w:rPr>
        <w:t>9,252.40</w:t>
      </w:r>
      <w:r>
        <w:rPr>
          <w:rFonts w:ascii="Century Gothic" w:hAnsi="Century Gothic" w:cs="Century Gothic" w:eastAsia="Century Gothic" w:hint="default"/>
          <w:spacing w:val="17"/>
        </w:rPr>
        <w:t> </w:t>
      </w:r>
      <w:r>
        <w:rPr/>
        <w:t>万元银行承兑汇票提供了连带责任担保；本公司为子公 司开具</w:t>
      </w:r>
      <w:r>
        <w:rPr>
          <w:spacing w:val="-48"/>
        </w:rPr>
        <w:t> </w:t>
      </w:r>
      <w:r>
        <w:rPr>
          <w:rFonts w:ascii="Century Gothic" w:hAnsi="Century Gothic" w:cs="Century Gothic" w:eastAsia="Century Gothic" w:hint="default"/>
          <w:spacing w:val="-1"/>
          <w:w w:val="99"/>
        </w:rPr>
        <w:t>1,692.27 </w:t>
      </w:r>
      <w:r>
        <w:rPr>
          <w:spacing w:val="-9"/>
          <w:w w:val="99"/>
        </w:rPr>
        <w:t>万元银行承兑汇票提供了担保，详见附注六、（二）、</w:t>
      </w:r>
      <w:r>
        <w:rPr>
          <w:rFonts w:ascii="Century Gothic" w:hAnsi="Century Gothic" w:cs="Century Gothic" w:eastAsia="Century Gothic" w:hint="default"/>
          <w:spacing w:val="-9"/>
          <w:w w:val="99"/>
        </w:rPr>
        <w:t>5</w:t>
      </w:r>
      <w:r>
        <w:rPr>
          <w:rFonts w:ascii="Century Gothic" w:hAnsi="Century Gothic" w:cs="Century Gothic" w:eastAsia="Century Gothic" w:hint="default"/>
          <w:spacing w:val="-1"/>
          <w:w w:val="99"/>
        </w:rPr>
        <w:t> </w:t>
      </w:r>
      <w:r>
        <w:rPr>
          <w:spacing w:val="-1"/>
        </w:rPr>
        <w:t>所述。</w:t>
      </w:r>
    </w:p>
    <w:p>
      <w:pPr>
        <w:spacing w:line="240" w:lineRule="auto" w:before="11"/>
        <w:rPr>
          <w:rFonts w:ascii="宋体" w:hAnsi="宋体" w:cs="宋体" w:eastAsia="宋体" w:hint="default"/>
          <w:sz w:val="26"/>
          <w:szCs w:val="26"/>
        </w:rPr>
      </w:pPr>
    </w:p>
    <w:p>
      <w:pPr>
        <w:spacing w:before="76"/>
        <w:ind w:left="4577" w:right="4555" w:firstLine="0"/>
        <w:jc w:val="center"/>
        <w:rPr>
          <w:rFonts w:ascii="Times New Roman" w:hAnsi="Times New Roman" w:cs="Times New Roman" w:eastAsia="Times New Roman" w:hint="default"/>
          <w:sz w:val="18"/>
          <w:szCs w:val="18"/>
        </w:rPr>
      </w:pPr>
      <w:r>
        <w:rPr>
          <w:rFonts w:ascii="Times New Roman"/>
          <w:sz w:val="18"/>
        </w:rPr>
        <w:t>79</w:t>
      </w:r>
    </w:p>
    <w:p>
      <w:pPr>
        <w:spacing w:after="0"/>
        <w:jc w:val="center"/>
        <w:rPr>
          <w:rFonts w:ascii="Times New Roman" w:hAnsi="Times New Roman" w:cs="Times New Roman" w:eastAsia="Times New Roman" w:hint="default"/>
          <w:sz w:val="18"/>
          <w:szCs w:val="18"/>
        </w:rPr>
        <w:sectPr>
          <w:pgSz w:w="11910" w:h="16840"/>
          <w:pgMar w:top="780" w:bottom="280" w:left="1280" w:right="11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5488"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（二十）应付账款</w:t>
      </w:r>
      <w:r>
        <w:rPr>
          <w:rFonts w:ascii="宋体" w:hAnsi="宋体" w:cs="宋体" w:eastAsia="宋体" w:hint="default"/>
          <w:b w:val="0"/>
          <w:bCs w:val="0"/>
        </w:rPr>
      </w:r>
    </w:p>
    <w:p>
      <w:pPr>
        <w:pStyle w:val="BodyText"/>
        <w:spacing w:line="240" w:lineRule="auto" w:before="134"/>
        <w:ind w:left="558" w:right="0"/>
        <w:jc w:val="left"/>
      </w:pPr>
      <w:r>
        <w:rPr/>
        <w:t>（</w:t>
      </w:r>
      <w:r>
        <w:rPr>
          <w:rFonts w:ascii="Century Gothic" w:hAnsi="Century Gothic" w:cs="Century Gothic" w:eastAsia="Century Gothic" w:hint="default"/>
        </w:rPr>
        <w:t>1</w:t>
      </w:r>
      <w:r>
        <w:rPr/>
        <w:t>）截至</w:t>
      </w:r>
      <w:r>
        <w:rPr>
          <w:spacing w:val="-54"/>
        </w:rPr>
        <w:t> </w:t>
      </w:r>
      <w:r>
        <w:rPr>
          <w:rFonts w:ascii="Century Gothic" w:hAnsi="Century Gothic" w:cs="Century Gothic" w:eastAsia="Century Gothic" w:hint="default"/>
        </w:rPr>
        <w:t>2009</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月</w:t>
      </w:r>
      <w:r>
        <w:rPr>
          <w:spacing w:val="-55"/>
        </w:rPr>
        <w:t> </w:t>
      </w: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t>日止，无账龄超过一年的大额应付账款。</w:t>
      </w:r>
    </w:p>
    <w:p>
      <w:pPr>
        <w:pStyle w:val="BodyText"/>
        <w:spacing w:line="240" w:lineRule="auto"/>
        <w:ind w:left="558" w:right="0"/>
        <w:jc w:val="left"/>
      </w:pPr>
      <w:r>
        <w:rPr/>
        <w:t>（</w:t>
      </w:r>
      <w:r>
        <w:rPr>
          <w:rFonts w:ascii="Century Gothic" w:hAnsi="Century Gothic" w:cs="Century Gothic" w:eastAsia="Century Gothic" w:hint="default"/>
        </w:rPr>
        <w:t>2</w:t>
      </w:r>
      <w:r>
        <w:rPr/>
        <w:t>）本报告期应付账款无应付持有本公司</w:t>
      </w:r>
      <w:r>
        <w:rPr>
          <w:spacing w:val="-56"/>
        </w:rPr>
        <w:t> </w:t>
      </w:r>
      <w:r>
        <w:rPr>
          <w:rFonts w:ascii="Century Gothic" w:hAnsi="Century Gothic" w:cs="Century Gothic" w:eastAsia="Century Gothic" w:hint="default"/>
        </w:rPr>
        <w:t>5%</w:t>
      </w:r>
      <w:r>
        <w:rPr/>
        <w:t>（含</w:t>
      </w:r>
      <w:r>
        <w:rPr>
          <w:spacing w:val="-56"/>
        </w:rPr>
        <w:t> </w:t>
      </w:r>
      <w:r>
        <w:rPr>
          <w:rFonts w:ascii="Century Gothic" w:hAnsi="Century Gothic" w:cs="Century Gothic" w:eastAsia="Century Gothic" w:hint="default"/>
        </w:rPr>
        <w:t>5%</w:t>
      </w:r>
      <w:r>
        <w:rPr/>
        <w:t>）以上表决权股份的股东单位款项。</w:t>
      </w:r>
    </w:p>
    <w:p>
      <w:pPr>
        <w:pStyle w:val="Heading4"/>
        <w:tabs>
          <w:tab w:pos="1838" w:val="left" w:leader="none"/>
        </w:tabs>
        <w:spacing w:line="240" w:lineRule="auto" w:before="119"/>
        <w:ind w:right="0"/>
        <w:jc w:val="left"/>
        <w:rPr>
          <w:rFonts w:ascii="宋体" w:hAnsi="宋体" w:cs="宋体" w:eastAsia="宋体" w:hint="default"/>
          <w:b w:val="0"/>
          <w:bCs w:val="0"/>
        </w:rPr>
      </w:pPr>
      <w:r>
        <w:rPr>
          <w:rFonts w:ascii="宋体" w:hAnsi="宋体" w:cs="宋体" w:eastAsia="宋体" w:hint="default"/>
          <w:w w:val="95"/>
        </w:rPr>
        <w:t>（二十一）</w:t>
        <w:tab/>
      </w:r>
      <w:r>
        <w:rPr>
          <w:rFonts w:ascii="宋体" w:hAnsi="宋体" w:cs="宋体" w:eastAsia="宋体" w:hint="default"/>
        </w:rPr>
        <w:t>预收款项</w:t>
      </w:r>
      <w:r>
        <w:rPr>
          <w:rFonts w:ascii="宋体" w:hAnsi="宋体" w:cs="宋体" w:eastAsia="宋体" w:hint="default"/>
          <w:b w:val="0"/>
          <w:bCs w:val="0"/>
        </w:rPr>
      </w:r>
    </w:p>
    <w:p>
      <w:pPr>
        <w:pStyle w:val="BodyText"/>
        <w:spacing w:line="240" w:lineRule="auto" w:before="134"/>
        <w:ind w:left="558" w:right="0"/>
        <w:jc w:val="left"/>
      </w:pPr>
      <w:r>
        <w:rPr/>
        <w:t>（</w:t>
      </w:r>
      <w:r>
        <w:rPr>
          <w:rFonts w:ascii="Century Gothic" w:hAnsi="Century Gothic" w:cs="Century Gothic" w:eastAsia="Century Gothic" w:hint="default"/>
        </w:rPr>
        <w:t>1</w:t>
      </w:r>
      <w:r>
        <w:rPr/>
        <w:t>）截至</w:t>
      </w:r>
      <w:r>
        <w:rPr>
          <w:spacing w:val="-54"/>
        </w:rPr>
        <w:t> </w:t>
      </w:r>
      <w:r>
        <w:rPr>
          <w:rFonts w:ascii="Century Gothic" w:hAnsi="Century Gothic" w:cs="Century Gothic" w:eastAsia="Century Gothic" w:hint="default"/>
        </w:rPr>
        <w:t>2009</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月</w:t>
      </w:r>
      <w:r>
        <w:rPr>
          <w:spacing w:val="-55"/>
        </w:rPr>
        <w:t> </w:t>
      </w: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t>日止，无账龄超过一年的大额预收款项。</w:t>
      </w:r>
    </w:p>
    <w:p>
      <w:pPr>
        <w:pStyle w:val="BodyText"/>
        <w:spacing w:line="240" w:lineRule="auto"/>
        <w:ind w:left="558" w:right="0"/>
        <w:jc w:val="left"/>
      </w:pPr>
      <w:r>
        <w:rPr/>
        <w:t>（</w:t>
      </w:r>
      <w:r>
        <w:rPr>
          <w:rFonts w:ascii="Century Gothic" w:hAnsi="Century Gothic" w:cs="Century Gothic" w:eastAsia="Century Gothic" w:hint="default"/>
        </w:rPr>
        <w:t>2</w:t>
      </w:r>
      <w:r>
        <w:rPr/>
        <w:t>）本报告期预收款项中无预收持有本公司</w:t>
      </w:r>
      <w:r>
        <w:rPr>
          <w:spacing w:val="-55"/>
        </w:rPr>
        <w:t> </w:t>
      </w:r>
      <w:r>
        <w:rPr>
          <w:rFonts w:ascii="Century Gothic" w:hAnsi="Century Gothic" w:cs="Century Gothic" w:eastAsia="Century Gothic" w:hint="default"/>
        </w:rPr>
        <w:t>5%</w:t>
      </w:r>
      <w:r>
        <w:rPr/>
        <w:t>（含</w:t>
      </w:r>
      <w:r>
        <w:rPr>
          <w:spacing w:val="-55"/>
        </w:rPr>
        <w:t> </w:t>
      </w:r>
      <w:r>
        <w:rPr>
          <w:rFonts w:ascii="Century Gothic" w:hAnsi="Century Gothic" w:cs="Century Gothic" w:eastAsia="Century Gothic" w:hint="default"/>
        </w:rPr>
        <w:t>5%</w:t>
      </w:r>
      <w:r>
        <w:rPr/>
        <w:t>）以上表决权股份的股东单位款项。</w:t>
      </w:r>
    </w:p>
    <w:p>
      <w:pPr>
        <w:tabs>
          <w:tab w:pos="1838" w:val="left" w:leader="none"/>
        </w:tabs>
        <w:spacing w:line="357" w:lineRule="auto" w:before="117"/>
        <w:ind w:left="663" w:right="6342" w:hanging="106"/>
        <w:jc w:val="left"/>
        <w:rPr>
          <w:rFonts w:ascii="宋体" w:hAnsi="宋体" w:cs="宋体" w:eastAsia="宋体" w:hint="default"/>
          <w:sz w:val="21"/>
          <w:szCs w:val="21"/>
        </w:rPr>
      </w:pPr>
      <w:r>
        <w:rPr>
          <w:rFonts w:ascii="宋体" w:hAnsi="宋体" w:cs="宋体" w:eastAsia="宋体" w:hint="default"/>
          <w:b/>
          <w:bCs/>
          <w:w w:val="95"/>
          <w:sz w:val="21"/>
          <w:szCs w:val="21"/>
        </w:rPr>
        <w:t>（二十二）</w:t>
        <w:tab/>
      </w:r>
      <w:r>
        <w:rPr>
          <w:rFonts w:ascii="宋体" w:hAnsi="宋体" w:cs="宋体" w:eastAsia="宋体" w:hint="default"/>
          <w:b/>
          <w:bCs/>
          <w:sz w:val="21"/>
          <w:szCs w:val="21"/>
        </w:rPr>
        <w:t>应付职工薪酬</w:t>
      </w:r>
      <w:r>
        <w:rPr>
          <w:rFonts w:ascii="宋体" w:hAnsi="宋体" w:cs="宋体" w:eastAsia="宋体" w:hint="default"/>
          <w:b/>
          <w:bCs/>
          <w:w w:val="99"/>
          <w:sz w:val="21"/>
          <w:szCs w:val="21"/>
        </w:rPr>
        <w:t> </w:t>
      </w:r>
      <w:r>
        <w:rPr>
          <w:rFonts w:ascii="宋体" w:hAnsi="宋体" w:cs="宋体" w:eastAsia="宋体" w:hint="default"/>
          <w:sz w:val="21"/>
          <w:szCs w:val="21"/>
        </w:rPr>
        <w:t>应付职工薪酬明细如下：</w:t>
      </w:r>
    </w:p>
    <w:p>
      <w:pPr>
        <w:spacing w:line="240" w:lineRule="auto" w:before="0"/>
        <w:rPr>
          <w:rFonts w:ascii="宋体" w:hAnsi="宋体" w:cs="宋体" w:eastAsia="宋体" w:hint="default"/>
          <w:sz w:val="5"/>
          <w:szCs w:val="5"/>
        </w:rPr>
      </w:pPr>
    </w:p>
    <w:tbl>
      <w:tblPr>
        <w:tblW w:w="0" w:type="auto"/>
        <w:jc w:val="left"/>
        <w:tblInd w:w="281" w:type="dxa"/>
        <w:tblLayout w:type="fixed"/>
        <w:tblCellMar>
          <w:top w:w="0" w:type="dxa"/>
          <w:left w:w="0" w:type="dxa"/>
          <w:bottom w:w="0" w:type="dxa"/>
          <w:right w:w="0" w:type="dxa"/>
        </w:tblCellMar>
        <w:tblLook w:val="01E0"/>
      </w:tblPr>
      <w:tblGrid>
        <w:gridCol w:w="2348"/>
        <w:gridCol w:w="1570"/>
        <w:gridCol w:w="1686"/>
        <w:gridCol w:w="1686"/>
        <w:gridCol w:w="1568"/>
      </w:tblGrid>
      <w:tr>
        <w:trPr>
          <w:trHeight w:val="362" w:hRule="exact"/>
        </w:trPr>
        <w:tc>
          <w:tcPr>
            <w:tcW w:w="2348"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146"/>
              <w:jc w:val="right"/>
              <w:rPr>
                <w:rFonts w:ascii="宋体" w:hAnsi="宋体" w:cs="宋体" w:eastAsia="宋体" w:hint="default"/>
                <w:sz w:val="21"/>
                <w:szCs w:val="21"/>
              </w:rPr>
            </w:pPr>
            <w:r>
              <w:rPr>
                <w:rFonts w:ascii="宋体" w:hAnsi="宋体" w:cs="宋体" w:eastAsia="宋体" w:hint="default"/>
                <w:sz w:val="21"/>
                <w:szCs w:val="21"/>
              </w:rPr>
              <w:t>年初账面余额</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310"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68"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152"/>
              <w:jc w:val="righ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743"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322" w:lineRule="exact"/>
              <w:ind w:left="122" w:right="0"/>
              <w:jc w:val="left"/>
              <w:rPr>
                <w:rFonts w:ascii="宋体" w:hAnsi="宋体" w:cs="宋体" w:eastAsia="宋体" w:hint="default"/>
                <w:sz w:val="28"/>
                <w:szCs w:val="28"/>
              </w:rPr>
            </w:pPr>
            <w:r>
              <w:rPr>
                <w:rFonts w:ascii="宋体" w:hAnsi="宋体" w:cs="宋体" w:eastAsia="宋体" w:hint="default"/>
                <w:spacing w:val="-16"/>
                <w:sz w:val="28"/>
                <w:szCs w:val="28"/>
              </w:rPr>
              <w:t>工资、奖金、津贴</w:t>
            </w:r>
          </w:p>
          <w:p>
            <w:pPr>
              <w:pStyle w:val="TableParagraph"/>
              <w:spacing w:line="366" w:lineRule="exact"/>
              <w:ind w:left="122" w:right="0"/>
              <w:jc w:val="left"/>
              <w:rPr>
                <w:rFonts w:ascii="宋体" w:hAnsi="宋体" w:cs="宋体" w:eastAsia="宋体" w:hint="default"/>
                <w:sz w:val="28"/>
                <w:szCs w:val="28"/>
              </w:rPr>
            </w:pPr>
            <w:r>
              <w:rPr>
                <w:rFonts w:ascii="宋体" w:hAnsi="宋体" w:cs="宋体" w:eastAsia="宋体" w:hint="default"/>
                <w:sz w:val="28"/>
                <w:szCs w:val="28"/>
              </w:rPr>
              <w:t>和补贴</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1"/>
                <w:sz w:val="21"/>
              </w:rPr>
              <w:t>4,088,258.82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98,690,904.46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99,434,260.87</w:t>
            </w:r>
          </w:p>
        </w:tc>
        <w:tc>
          <w:tcPr>
            <w:tcW w:w="15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7"/>
              <w:jc w:val="right"/>
              <w:rPr>
                <w:rFonts w:ascii="Century Gothic" w:hAnsi="Century Gothic" w:cs="Century Gothic" w:eastAsia="Century Gothic" w:hint="default"/>
                <w:sz w:val="21"/>
                <w:szCs w:val="21"/>
              </w:rPr>
            </w:pPr>
            <w:r>
              <w:rPr>
                <w:rFonts w:ascii="Century Gothic"/>
                <w:spacing w:val="-1"/>
                <w:sz w:val="21"/>
              </w:rPr>
              <w:t>3,344,902.41</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职工福利费</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585,384.33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7,159,235.87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7,140,001.78</w:t>
            </w:r>
          </w:p>
        </w:tc>
        <w:tc>
          <w:tcPr>
            <w:tcW w:w="15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604,618.42</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Century Gothic" w:hAnsi="Century Gothic" w:cs="Century Gothic" w:eastAsia="Century Gothic" w:hint="default"/>
                <w:sz w:val="21"/>
                <w:szCs w:val="21"/>
              </w:rPr>
            </w:pPr>
            <w:r>
              <w:rPr>
                <w:rFonts w:ascii="Century Gothic"/>
                <w:spacing w:val="-1"/>
                <w:sz w:val="21"/>
              </w:rPr>
              <w:t>1,106,026.57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15,418,369.27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15,844,586.10</w:t>
            </w:r>
          </w:p>
        </w:tc>
        <w:tc>
          <w:tcPr>
            <w:tcW w:w="15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679,809.74</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51,852.22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4,089,291.33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4,135,804.68</w:t>
            </w:r>
          </w:p>
        </w:tc>
        <w:tc>
          <w:tcPr>
            <w:tcW w:w="15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5,338.87</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751"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810,808.10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9,657,912.08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9,986,777.81</w:t>
            </w:r>
          </w:p>
        </w:tc>
        <w:tc>
          <w:tcPr>
            <w:tcW w:w="15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481,942.37</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751"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226,812.46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1,172,360.95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1,213,089.59</w:t>
            </w:r>
          </w:p>
        </w:tc>
        <w:tc>
          <w:tcPr>
            <w:tcW w:w="15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186,083.82</w:t>
            </w:r>
          </w:p>
        </w:tc>
      </w:tr>
      <w:tr>
        <w:trPr>
          <w:trHeight w:val="354"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751"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9,126.26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394,059.62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401,136.30</w:t>
            </w:r>
            <w:r>
              <w:rPr>
                <w:rFonts w:ascii="Century Gothic"/>
                <w:sz w:val="21"/>
              </w:rPr>
            </w:r>
          </w:p>
        </w:tc>
        <w:tc>
          <w:tcPr>
            <w:tcW w:w="15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2,049.58</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751" w:right="0"/>
              <w:jc w:val="left"/>
              <w:rPr>
                <w:rFonts w:ascii="宋体" w:hAnsi="宋体" w:cs="宋体" w:eastAsia="宋体" w:hint="default"/>
                <w:sz w:val="21"/>
                <w:szCs w:val="21"/>
              </w:rPr>
            </w:pPr>
            <w:r>
              <w:rPr>
                <w:rFonts w:ascii="宋体" w:hAnsi="宋体" w:cs="宋体" w:eastAsia="宋体" w:hint="default"/>
                <w:sz w:val="21"/>
                <w:szCs w:val="21"/>
              </w:rPr>
              <w:t>生育保险</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7,427.53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104,745.29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107,777.72</w:t>
            </w:r>
            <w:r>
              <w:rPr>
                <w:rFonts w:ascii="Century Gothic"/>
                <w:sz w:val="21"/>
              </w:rPr>
            </w:r>
          </w:p>
        </w:tc>
        <w:tc>
          <w:tcPr>
            <w:tcW w:w="15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4,395.10</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13,277.26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7,320,369.83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7,222,708.22</w:t>
            </w:r>
          </w:p>
        </w:tc>
        <w:tc>
          <w:tcPr>
            <w:tcW w:w="15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110,938.87</w:t>
            </w:r>
          </w:p>
        </w:tc>
      </w:tr>
      <w:tr>
        <w:trPr>
          <w:trHeight w:val="355"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辞退福利</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12,057,936.91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2,913,231.23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3,590,776.14</w:t>
            </w:r>
          </w:p>
        </w:tc>
        <w:tc>
          <w:tcPr>
            <w:tcW w:w="15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11,380,392.00</w:t>
            </w:r>
          </w:p>
        </w:tc>
      </w:tr>
      <w:tr>
        <w:trPr>
          <w:trHeight w:val="560" w:hRule="exact"/>
        </w:trPr>
        <w:tc>
          <w:tcPr>
            <w:tcW w:w="234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工会经费和职工教育经</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费</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1"/>
              <w:jc w:val="right"/>
              <w:rPr>
                <w:rFonts w:ascii="Century Gothic" w:hAnsi="Century Gothic" w:cs="Century Gothic" w:eastAsia="Century Gothic" w:hint="default"/>
                <w:sz w:val="21"/>
                <w:szCs w:val="21"/>
              </w:rPr>
            </w:pPr>
            <w:r>
              <w:rPr>
                <w:rFonts w:ascii="Century Gothic"/>
                <w:spacing w:val="-1"/>
                <w:sz w:val="21"/>
              </w:rPr>
              <w:t>1,524,725.83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1,973,605.90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1,389,658.61</w:t>
            </w:r>
          </w:p>
        </w:tc>
        <w:tc>
          <w:tcPr>
            <w:tcW w:w="15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7"/>
              <w:jc w:val="right"/>
              <w:rPr>
                <w:rFonts w:ascii="Century Gothic" w:hAnsi="Century Gothic" w:cs="Century Gothic" w:eastAsia="Century Gothic" w:hint="default"/>
                <w:sz w:val="21"/>
                <w:szCs w:val="21"/>
              </w:rPr>
            </w:pPr>
            <w:r>
              <w:rPr>
                <w:rFonts w:ascii="Century Gothic"/>
                <w:spacing w:val="-1"/>
                <w:sz w:val="21"/>
              </w:rPr>
              <w:t>2,108,673.12</w:t>
            </w:r>
          </w:p>
        </w:tc>
      </w:tr>
      <w:tr>
        <w:trPr>
          <w:trHeight w:val="363" w:hRule="exact"/>
        </w:trPr>
        <w:tc>
          <w:tcPr>
            <w:tcW w:w="2348"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19,375,609.72</w:t>
            </w:r>
            <w:r>
              <w:rPr>
                <w:rFonts w:ascii="Century Gothic"/>
                <w:b/>
                <w:w w:val="95"/>
                <w:sz w:val="21"/>
              </w:rPr>
            </w:r>
            <w:r>
              <w:rPr>
                <w:rFonts w:ascii="Century Gothic"/>
                <w:sz w:val="21"/>
              </w:rPr>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133,475,716.56</w:t>
            </w:r>
            <w:r>
              <w:rPr>
                <w:rFonts w:ascii="Century Gothic"/>
                <w:b/>
                <w:w w:val="95"/>
                <w:sz w:val="21"/>
              </w:rPr>
            </w:r>
            <w:r>
              <w:rPr>
                <w:rFonts w:ascii="Century Gothic"/>
                <w:sz w:val="21"/>
              </w:rPr>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134,621,991.72</w:t>
            </w:r>
            <w:r>
              <w:rPr>
                <w:rFonts w:ascii="Century Gothic"/>
                <w:b/>
                <w:w w:val="95"/>
                <w:sz w:val="21"/>
              </w:rPr>
            </w:r>
            <w:r>
              <w:rPr>
                <w:rFonts w:ascii="Century Gothic"/>
                <w:sz w:val="21"/>
              </w:rPr>
            </w:r>
          </w:p>
        </w:tc>
        <w:tc>
          <w:tcPr>
            <w:tcW w:w="15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18,229,334.56</w:t>
            </w:r>
            <w:r>
              <w:rPr>
                <w:rFonts w:ascii="Century Gothic"/>
                <w:b/>
                <w:w w:val="95"/>
                <w:sz w:val="21"/>
              </w:rPr>
            </w:r>
            <w:r>
              <w:rPr>
                <w:rFonts w:ascii="Century Gothic"/>
                <w:sz w:val="21"/>
              </w:rPr>
            </w:r>
          </w:p>
        </w:tc>
      </w:tr>
    </w:tbl>
    <w:p>
      <w:pPr>
        <w:pStyle w:val="BodyText"/>
        <w:spacing w:line="357" w:lineRule="auto" w:before="86"/>
        <w:ind w:right="0" w:firstLine="420"/>
        <w:jc w:val="left"/>
      </w:pPr>
      <w:r>
        <w:rPr>
          <w:spacing w:val="-2"/>
        </w:rPr>
        <w:t>注：职工福利费年末数，系子公司华立电子（外商投资企业）从税后利润中提取的职工奖励及福</w:t>
      </w:r>
      <w:r>
        <w:rPr/>
        <w:t> 利基金。</w:t>
      </w:r>
    </w:p>
    <w:p>
      <w:pPr>
        <w:pStyle w:val="Heading4"/>
        <w:tabs>
          <w:tab w:pos="1838" w:val="left" w:leader="none"/>
        </w:tabs>
        <w:spacing w:line="240" w:lineRule="auto" w:before="31"/>
        <w:ind w:right="0"/>
        <w:jc w:val="left"/>
        <w:rPr>
          <w:rFonts w:ascii="宋体" w:hAnsi="宋体" w:cs="宋体" w:eastAsia="宋体" w:hint="default"/>
          <w:b w:val="0"/>
          <w:bCs w:val="0"/>
        </w:rPr>
      </w:pPr>
      <w:r>
        <w:rPr>
          <w:rFonts w:ascii="宋体" w:hAnsi="宋体" w:cs="宋体" w:eastAsia="宋体" w:hint="default"/>
          <w:w w:val="95"/>
        </w:rPr>
        <w:t>（二十三）</w:t>
        <w:tab/>
      </w:r>
      <w:r>
        <w:rPr>
          <w:rFonts w:ascii="宋体" w:hAnsi="宋体" w:cs="宋体" w:eastAsia="宋体" w:hint="default"/>
        </w:rPr>
        <w:t>应交税费</w:t>
      </w:r>
      <w:r>
        <w:rPr>
          <w:rFonts w:ascii="宋体" w:hAnsi="宋体" w:cs="宋体" w:eastAsia="宋体" w:hint="default"/>
          <w:b w:val="0"/>
          <w:bCs w:val="0"/>
        </w:rPr>
      </w:r>
    </w:p>
    <w:p>
      <w:pPr>
        <w:spacing w:line="240" w:lineRule="auto" w:before="11"/>
        <w:rPr>
          <w:rFonts w:ascii="宋体" w:hAnsi="宋体" w:cs="宋体" w:eastAsia="宋体" w:hint="default"/>
          <w:b/>
          <w:bCs/>
          <w:sz w:val="12"/>
          <w:szCs w:val="12"/>
        </w:rPr>
      </w:pPr>
    </w:p>
    <w:tbl>
      <w:tblPr>
        <w:tblW w:w="0" w:type="auto"/>
        <w:jc w:val="left"/>
        <w:tblInd w:w="279" w:type="dxa"/>
        <w:tblLayout w:type="fixed"/>
        <w:tblCellMar>
          <w:top w:w="0" w:type="dxa"/>
          <w:left w:w="0" w:type="dxa"/>
          <w:bottom w:w="0" w:type="dxa"/>
          <w:right w:w="0" w:type="dxa"/>
        </w:tblCellMar>
        <w:tblLook w:val="01E0"/>
      </w:tblPr>
      <w:tblGrid>
        <w:gridCol w:w="2303"/>
        <w:gridCol w:w="3353"/>
        <w:gridCol w:w="3209"/>
      </w:tblGrid>
      <w:tr>
        <w:trPr>
          <w:trHeight w:val="362" w:hRule="exact"/>
        </w:trPr>
        <w:tc>
          <w:tcPr>
            <w:tcW w:w="2303"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53"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103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209"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96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79" w:hRule="exact"/>
        </w:trPr>
        <w:tc>
          <w:tcPr>
            <w:tcW w:w="2303" w:type="dxa"/>
            <w:tcBorders>
              <w:top w:val="single" w:sz="6" w:space="0" w:color="000000"/>
              <w:left w:val="nil" w:sz="6" w:space="0" w:color="auto"/>
              <w:bottom w:val="single" w:sz="6" w:space="0" w:color="000000"/>
              <w:right w:val="single" w:sz="6" w:space="0" w:color="000000"/>
            </w:tcBorders>
          </w:tcPr>
          <w:p>
            <w:pPr>
              <w:pStyle w:val="TableParagraph"/>
              <w:spacing w:line="323" w:lineRule="exact"/>
              <w:ind w:left="122" w:right="0"/>
              <w:jc w:val="left"/>
              <w:rPr>
                <w:rFonts w:ascii="宋体" w:hAnsi="宋体" w:cs="宋体" w:eastAsia="宋体" w:hint="default"/>
                <w:sz w:val="28"/>
                <w:szCs w:val="28"/>
              </w:rPr>
            </w:pPr>
            <w:r>
              <w:rPr>
                <w:rFonts w:ascii="宋体" w:hAnsi="宋体" w:cs="宋体" w:eastAsia="宋体" w:hint="default"/>
                <w:sz w:val="28"/>
                <w:szCs w:val="28"/>
              </w:rPr>
              <w:t>增值税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01"/>
              <w:jc w:val="right"/>
              <w:rPr>
                <w:rFonts w:ascii="Century Gothic" w:hAnsi="Century Gothic" w:cs="Century Gothic" w:eastAsia="Century Gothic" w:hint="default"/>
                <w:sz w:val="21"/>
                <w:szCs w:val="21"/>
              </w:rPr>
            </w:pPr>
            <w:r>
              <w:rPr>
                <w:rFonts w:ascii="Century Gothic"/>
                <w:spacing w:val="-1"/>
                <w:sz w:val="21"/>
              </w:rPr>
              <w:t>7,077,766.62</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2"/>
              <w:ind w:right="107"/>
              <w:jc w:val="right"/>
              <w:rPr>
                <w:rFonts w:ascii="Century Gothic" w:hAnsi="Century Gothic" w:cs="Century Gothic" w:eastAsia="Century Gothic" w:hint="default"/>
                <w:sz w:val="21"/>
                <w:szCs w:val="21"/>
              </w:rPr>
            </w:pPr>
            <w:r>
              <w:rPr>
                <w:rFonts w:ascii="Century Gothic"/>
                <w:spacing w:val="-1"/>
                <w:sz w:val="21"/>
              </w:rPr>
              <w:t>6,585,263.16</w:t>
            </w:r>
          </w:p>
        </w:tc>
      </w:tr>
      <w:tr>
        <w:trPr>
          <w:trHeight w:val="355" w:hRule="exact"/>
        </w:trPr>
        <w:tc>
          <w:tcPr>
            <w:tcW w:w="2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5,407.95</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56,374.57</w:t>
            </w:r>
          </w:p>
        </w:tc>
      </w:tr>
      <w:tr>
        <w:trPr>
          <w:trHeight w:val="355" w:hRule="exact"/>
        </w:trPr>
        <w:tc>
          <w:tcPr>
            <w:tcW w:w="2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Century Gothic" w:hAnsi="Century Gothic" w:cs="Century Gothic" w:eastAsia="Century Gothic" w:hint="default"/>
                <w:sz w:val="21"/>
                <w:szCs w:val="21"/>
              </w:rPr>
            </w:pPr>
            <w:r>
              <w:rPr>
                <w:rFonts w:ascii="Century Gothic"/>
                <w:spacing w:val="-1"/>
                <w:sz w:val="21"/>
              </w:rPr>
              <w:t>5,854,352.45</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7"/>
              <w:jc w:val="right"/>
              <w:rPr>
                <w:rFonts w:ascii="Century Gothic" w:hAnsi="Century Gothic" w:cs="Century Gothic" w:eastAsia="Century Gothic" w:hint="default"/>
                <w:sz w:val="21"/>
                <w:szCs w:val="21"/>
              </w:rPr>
            </w:pPr>
            <w:r>
              <w:rPr>
                <w:rFonts w:ascii="Century Gothic"/>
                <w:spacing w:val="-1"/>
                <w:sz w:val="21"/>
              </w:rPr>
              <w:t>1,116,879.76</w:t>
            </w:r>
          </w:p>
        </w:tc>
      </w:tr>
      <w:tr>
        <w:trPr>
          <w:trHeight w:val="355" w:hRule="exact"/>
        </w:trPr>
        <w:tc>
          <w:tcPr>
            <w:tcW w:w="2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247,638.92</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192,459.29</w:t>
            </w:r>
          </w:p>
        </w:tc>
      </w:tr>
      <w:tr>
        <w:trPr>
          <w:trHeight w:val="355" w:hRule="exact"/>
        </w:trPr>
        <w:tc>
          <w:tcPr>
            <w:tcW w:w="2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Century Gothic" w:hAnsi="Century Gothic" w:cs="Century Gothic" w:eastAsia="Century Gothic" w:hint="default"/>
                <w:sz w:val="21"/>
                <w:szCs w:val="21"/>
              </w:rPr>
            </w:pPr>
            <w:r>
              <w:rPr>
                <w:rFonts w:ascii="Century Gothic"/>
                <w:spacing w:val="-1"/>
                <w:sz w:val="21"/>
              </w:rPr>
              <w:t>1,749,339.51</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7"/>
              <w:jc w:val="right"/>
              <w:rPr>
                <w:rFonts w:ascii="Century Gothic" w:hAnsi="Century Gothic" w:cs="Century Gothic" w:eastAsia="Century Gothic" w:hint="default"/>
                <w:sz w:val="21"/>
                <w:szCs w:val="21"/>
              </w:rPr>
            </w:pPr>
            <w:r>
              <w:rPr>
                <w:rFonts w:ascii="Century Gothic"/>
                <w:spacing w:val="-1"/>
                <w:sz w:val="21"/>
              </w:rPr>
              <w:t>1,143,902.82</w:t>
            </w:r>
          </w:p>
        </w:tc>
      </w:tr>
      <w:tr>
        <w:trPr>
          <w:trHeight w:val="354" w:hRule="exact"/>
        </w:trPr>
        <w:tc>
          <w:tcPr>
            <w:tcW w:w="2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Century Gothic" w:hAnsi="Century Gothic" w:cs="Century Gothic" w:eastAsia="Century Gothic" w:hint="default"/>
                <w:sz w:val="21"/>
                <w:szCs w:val="21"/>
              </w:rPr>
            </w:pPr>
            <w:r>
              <w:rPr>
                <w:rFonts w:ascii="Century Gothic"/>
                <w:spacing w:val="-1"/>
                <w:sz w:val="21"/>
              </w:rPr>
              <w:t>1,219,386.86</w:t>
            </w: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711,133.03</w:t>
            </w:r>
          </w:p>
        </w:tc>
      </w:tr>
      <w:tr>
        <w:trPr>
          <w:trHeight w:val="355" w:hRule="exact"/>
        </w:trPr>
        <w:tc>
          <w:tcPr>
            <w:tcW w:w="230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其他税种</w:t>
            </w:r>
          </w:p>
        </w:tc>
        <w:tc>
          <w:tcPr>
            <w:tcW w:w="3353" w:type="dxa"/>
            <w:tcBorders>
              <w:top w:val="single" w:sz="6" w:space="0" w:color="000000"/>
              <w:left w:val="single" w:sz="6" w:space="0" w:color="000000"/>
              <w:bottom w:val="single" w:sz="6" w:space="0" w:color="000000"/>
              <w:right w:val="single" w:sz="6" w:space="0" w:color="000000"/>
            </w:tcBorders>
          </w:tcPr>
          <w:p>
            <w:pPr/>
          </w:p>
        </w:tc>
        <w:tc>
          <w:tcPr>
            <w:tcW w:w="32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320,775.72</w:t>
            </w:r>
          </w:p>
        </w:tc>
      </w:tr>
      <w:tr>
        <w:trPr>
          <w:trHeight w:val="363" w:hRule="exact"/>
        </w:trPr>
        <w:tc>
          <w:tcPr>
            <w:tcW w:w="2303"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16,153,892.31</w:t>
            </w:r>
            <w:r>
              <w:rPr>
                <w:rFonts w:ascii="Century Gothic"/>
                <w:b/>
                <w:w w:val="95"/>
                <w:sz w:val="21"/>
              </w:rPr>
            </w:r>
            <w:r>
              <w:rPr>
                <w:rFonts w:ascii="Century Gothic"/>
                <w:sz w:val="21"/>
              </w:rPr>
            </w:r>
          </w:p>
        </w:tc>
        <w:tc>
          <w:tcPr>
            <w:tcW w:w="320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10,126,788.35</w:t>
            </w:r>
            <w:r>
              <w:rPr>
                <w:rFonts w:ascii="Century Gothic"/>
                <w:b/>
                <w:w w:val="95"/>
                <w:sz w:val="21"/>
              </w:rPr>
            </w:r>
            <w:r>
              <w:rPr>
                <w:rFonts w:ascii="Century Gothic"/>
                <w:sz w:val="21"/>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spacing w:before="0"/>
        <w:ind w:left="4577" w:right="4555" w:firstLine="0"/>
        <w:jc w:val="center"/>
        <w:rPr>
          <w:rFonts w:ascii="Times New Roman" w:hAnsi="Times New Roman" w:cs="Times New Roman" w:eastAsia="Times New Roman" w:hint="default"/>
          <w:sz w:val="18"/>
          <w:szCs w:val="18"/>
        </w:rPr>
      </w:pPr>
      <w:r>
        <w:rPr>
          <w:rFonts w:ascii="Times New Roman"/>
          <w:sz w:val="18"/>
        </w:rPr>
        <w:t>80</w:t>
      </w:r>
    </w:p>
    <w:p>
      <w:pPr>
        <w:spacing w:after="0"/>
        <w:jc w:val="center"/>
        <w:rPr>
          <w:rFonts w:ascii="Times New Roman" w:hAnsi="Times New Roman" w:cs="Times New Roman" w:eastAsia="Times New Roman" w:hint="default"/>
          <w:sz w:val="18"/>
          <w:szCs w:val="18"/>
        </w:rPr>
        <w:sectPr>
          <w:pgSz w:w="11910" w:h="16840"/>
          <w:pgMar w:top="780" w:bottom="280" w:left="1160" w:right="130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70.860001pt;margin-top:-9.926001pt;width:84.0pt;height:23.94pt;mso-position-horizontal-relative:page;mso-position-vertical-relative:paragraph;z-index:5536"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Heading4"/>
        <w:tabs>
          <w:tab w:pos="1838" w:val="left" w:leader="none"/>
        </w:tabs>
        <w:spacing w:line="240" w:lineRule="auto" w:before="0"/>
        <w:ind w:right="0"/>
        <w:jc w:val="left"/>
        <w:rPr>
          <w:rFonts w:ascii="宋体" w:hAnsi="宋体" w:cs="宋体" w:eastAsia="宋体" w:hint="default"/>
          <w:b w:val="0"/>
          <w:bCs w:val="0"/>
        </w:rPr>
      </w:pPr>
      <w:r>
        <w:rPr>
          <w:rFonts w:ascii="宋体" w:hAnsi="宋体" w:cs="宋体" w:eastAsia="宋体" w:hint="default"/>
          <w:w w:val="95"/>
        </w:rPr>
        <w:t>（二十四）</w:t>
        <w:tab/>
      </w:r>
      <w:r>
        <w:rPr>
          <w:rFonts w:ascii="宋体" w:hAnsi="宋体" w:cs="宋体" w:eastAsia="宋体" w:hint="default"/>
        </w:rPr>
        <w:t>应付股利</w:t>
      </w:r>
      <w:r>
        <w:rPr>
          <w:rFonts w:ascii="宋体" w:hAnsi="宋体" w:cs="宋体" w:eastAsia="宋体" w:hint="default"/>
          <w:b w:val="0"/>
          <w:bCs w:val="0"/>
        </w:rPr>
      </w:r>
    </w:p>
    <w:p>
      <w:pPr>
        <w:spacing w:line="240" w:lineRule="auto" w:before="6"/>
        <w:rPr>
          <w:rFonts w:ascii="宋体" w:hAnsi="宋体" w:cs="宋体" w:eastAsia="宋体" w:hint="default"/>
          <w:b/>
          <w:bCs/>
          <w:sz w:val="17"/>
          <w:szCs w:val="17"/>
        </w:rPr>
      </w:pPr>
    </w:p>
    <w:tbl>
      <w:tblPr>
        <w:tblW w:w="0" w:type="auto"/>
        <w:jc w:val="left"/>
        <w:tblInd w:w="281" w:type="dxa"/>
        <w:tblLayout w:type="fixed"/>
        <w:tblCellMar>
          <w:top w:w="0" w:type="dxa"/>
          <w:left w:w="0" w:type="dxa"/>
          <w:bottom w:w="0" w:type="dxa"/>
          <w:right w:w="0" w:type="dxa"/>
        </w:tblCellMar>
        <w:tblLook w:val="01E0"/>
      </w:tblPr>
      <w:tblGrid>
        <w:gridCol w:w="2534"/>
        <w:gridCol w:w="2160"/>
        <w:gridCol w:w="2291"/>
        <w:gridCol w:w="1873"/>
      </w:tblGrid>
      <w:tr>
        <w:trPr>
          <w:trHeight w:val="568" w:hRule="exact"/>
        </w:trPr>
        <w:tc>
          <w:tcPr>
            <w:tcW w:w="25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748" w:right="0"/>
              <w:jc w:val="left"/>
              <w:rPr>
                <w:rFonts w:ascii="宋体" w:hAnsi="宋体" w:cs="宋体" w:eastAsia="宋体" w:hint="default"/>
                <w:sz w:val="21"/>
                <w:szCs w:val="21"/>
              </w:rPr>
            </w:pPr>
            <w:r>
              <w:rPr>
                <w:rFonts w:ascii="宋体" w:hAnsi="宋体" w:cs="宋体" w:eastAsia="宋体" w:hint="default"/>
                <w:sz w:val="21"/>
                <w:szCs w:val="21"/>
              </w:rPr>
              <w:t>投资者名称</w:t>
            </w:r>
          </w:p>
        </w:tc>
        <w:tc>
          <w:tcPr>
            <w:tcW w:w="21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44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2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50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873" w:type="dxa"/>
            <w:tcBorders>
              <w:top w:val="single" w:sz="12" w:space="0" w:color="000000"/>
              <w:left w:val="single" w:sz="6" w:space="0" w:color="000000"/>
              <w:bottom w:val="single" w:sz="6" w:space="0" w:color="000000"/>
              <w:right w:val="nil" w:sz="6" w:space="0" w:color="auto"/>
            </w:tcBorders>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71"/>
                <w:sz w:val="21"/>
                <w:szCs w:val="21"/>
              </w:rPr>
              <w:t> </w:t>
            </w:r>
            <w:r>
              <w:rPr>
                <w:rFonts w:ascii="Century Gothic" w:hAnsi="Century Gothic" w:cs="Century Gothic" w:eastAsia="Century Gothic" w:hint="default"/>
                <w:sz w:val="21"/>
                <w:szCs w:val="21"/>
              </w:rPr>
              <w:t>1</w:t>
            </w:r>
            <w:r>
              <w:rPr>
                <w:rFonts w:ascii="Century Gothic" w:hAnsi="Century Gothic" w:cs="Century Gothic" w:eastAsia="Century Gothic" w:hint="default"/>
                <w:spacing w:val="-24"/>
                <w:sz w:val="21"/>
                <w:szCs w:val="21"/>
              </w:rPr>
              <w:t> </w:t>
            </w:r>
            <w:r>
              <w:rPr>
                <w:rFonts w:ascii="宋体" w:hAnsi="宋体" w:cs="宋体" w:eastAsia="宋体" w:hint="default"/>
                <w:sz w:val="21"/>
                <w:szCs w:val="21"/>
              </w:rPr>
              <w:t>年未支付原</w:t>
            </w:r>
          </w:p>
          <w:p>
            <w:pPr>
              <w:pStyle w:val="TableParagraph"/>
              <w:spacing w:line="266" w:lineRule="exact"/>
              <w:ind w:right="5"/>
              <w:jc w:val="center"/>
              <w:rPr>
                <w:rFonts w:ascii="宋体" w:hAnsi="宋体" w:cs="宋体" w:eastAsia="宋体" w:hint="default"/>
                <w:sz w:val="21"/>
                <w:szCs w:val="21"/>
              </w:rPr>
            </w:pPr>
            <w:r>
              <w:rPr>
                <w:rFonts w:ascii="宋体" w:hAnsi="宋体" w:cs="宋体" w:eastAsia="宋体" w:hint="default"/>
                <w:sz w:val="21"/>
                <w:szCs w:val="21"/>
              </w:rPr>
              <w:t>因</w:t>
            </w:r>
          </w:p>
        </w:tc>
      </w:tr>
      <w:tr>
        <w:trPr>
          <w:trHeight w:val="299" w:hRule="exact"/>
        </w:trPr>
        <w:tc>
          <w:tcPr>
            <w:tcW w:w="253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7,926,663.53</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7,926,663.53</w:t>
            </w:r>
          </w:p>
        </w:tc>
        <w:tc>
          <w:tcPr>
            <w:tcW w:w="1873"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right="199"/>
              <w:jc w:val="right"/>
              <w:rPr>
                <w:rFonts w:ascii="宋体" w:hAnsi="宋体" w:cs="宋体" w:eastAsia="宋体" w:hint="default"/>
                <w:sz w:val="21"/>
                <w:szCs w:val="21"/>
              </w:rPr>
            </w:pPr>
            <w:r>
              <w:rPr>
                <w:rFonts w:ascii="宋体" w:hAnsi="宋体" w:cs="宋体" w:eastAsia="宋体" w:hint="default"/>
                <w:sz w:val="21"/>
                <w:szCs w:val="21"/>
              </w:rPr>
              <w:t>股东未及时领取</w:t>
            </w:r>
          </w:p>
        </w:tc>
      </w:tr>
      <w:tr>
        <w:trPr>
          <w:trHeight w:val="300" w:hRule="exact"/>
        </w:trPr>
        <w:tc>
          <w:tcPr>
            <w:tcW w:w="253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海南禹航投资有限公司</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4,233,600.00</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4,233,600.00</w:t>
            </w:r>
          </w:p>
        </w:tc>
        <w:tc>
          <w:tcPr>
            <w:tcW w:w="1873"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right="199"/>
              <w:jc w:val="right"/>
              <w:rPr>
                <w:rFonts w:ascii="宋体" w:hAnsi="宋体" w:cs="宋体" w:eastAsia="宋体" w:hint="default"/>
                <w:sz w:val="21"/>
                <w:szCs w:val="21"/>
              </w:rPr>
            </w:pPr>
            <w:r>
              <w:rPr>
                <w:rFonts w:ascii="宋体" w:hAnsi="宋体" w:cs="宋体" w:eastAsia="宋体" w:hint="default"/>
                <w:sz w:val="21"/>
                <w:szCs w:val="21"/>
              </w:rPr>
              <w:t>股东未及时领取</w:t>
            </w:r>
          </w:p>
        </w:tc>
      </w:tr>
      <w:tr>
        <w:trPr>
          <w:trHeight w:val="299" w:hRule="exact"/>
        </w:trPr>
        <w:tc>
          <w:tcPr>
            <w:tcW w:w="253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其他法人股东</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2,496,664.00</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2,692,384.00</w:t>
            </w:r>
          </w:p>
        </w:tc>
        <w:tc>
          <w:tcPr>
            <w:tcW w:w="1873"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right="199"/>
              <w:jc w:val="right"/>
              <w:rPr>
                <w:rFonts w:ascii="宋体" w:hAnsi="宋体" w:cs="宋体" w:eastAsia="宋体" w:hint="default"/>
                <w:sz w:val="21"/>
                <w:szCs w:val="21"/>
              </w:rPr>
            </w:pPr>
            <w:r>
              <w:rPr>
                <w:rFonts w:ascii="宋体" w:hAnsi="宋体" w:cs="宋体" w:eastAsia="宋体" w:hint="default"/>
                <w:sz w:val="21"/>
                <w:szCs w:val="21"/>
              </w:rPr>
              <w:t>股东未及时领取</w:t>
            </w:r>
          </w:p>
        </w:tc>
      </w:tr>
      <w:tr>
        <w:trPr>
          <w:trHeight w:val="299" w:hRule="exact"/>
        </w:trPr>
        <w:tc>
          <w:tcPr>
            <w:tcW w:w="253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子公司个人股东</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1,284,530.80</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1,243,093.60</w:t>
            </w:r>
          </w:p>
        </w:tc>
        <w:tc>
          <w:tcPr>
            <w:tcW w:w="1873"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right="199"/>
              <w:jc w:val="right"/>
              <w:rPr>
                <w:rFonts w:ascii="宋体" w:hAnsi="宋体" w:cs="宋体" w:eastAsia="宋体" w:hint="default"/>
                <w:sz w:val="21"/>
                <w:szCs w:val="21"/>
              </w:rPr>
            </w:pPr>
            <w:r>
              <w:rPr>
                <w:rFonts w:ascii="宋体" w:hAnsi="宋体" w:cs="宋体" w:eastAsia="宋体" w:hint="default"/>
                <w:sz w:val="21"/>
                <w:szCs w:val="21"/>
              </w:rPr>
              <w:t>股东未及时领取</w:t>
            </w:r>
          </w:p>
        </w:tc>
      </w:tr>
      <w:tr>
        <w:trPr>
          <w:trHeight w:val="307" w:hRule="exact"/>
        </w:trPr>
        <w:tc>
          <w:tcPr>
            <w:tcW w:w="2534" w:type="dxa"/>
            <w:tcBorders>
              <w:top w:val="single" w:sz="6" w:space="0" w:color="000000"/>
              <w:left w:val="nil" w:sz="6" w:space="0" w:color="auto"/>
              <w:bottom w:val="single" w:sz="12"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15,941,458.33</w:t>
            </w:r>
            <w:r>
              <w:rPr>
                <w:rFonts w:ascii="Century Gothic"/>
                <w:b/>
                <w:w w:val="95"/>
                <w:sz w:val="21"/>
              </w:rPr>
            </w:r>
            <w:r>
              <w:rPr>
                <w:rFonts w:ascii="Century Gothic"/>
                <w:sz w:val="21"/>
              </w:rPr>
            </w:r>
          </w:p>
        </w:tc>
        <w:tc>
          <w:tcPr>
            <w:tcW w:w="22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16,095,741.13</w:t>
            </w:r>
            <w:r>
              <w:rPr>
                <w:rFonts w:ascii="Century Gothic"/>
                <w:b/>
                <w:w w:val="95"/>
                <w:sz w:val="21"/>
              </w:rPr>
            </w:r>
            <w:r>
              <w:rPr>
                <w:rFonts w:ascii="Century Gothic"/>
                <w:sz w:val="21"/>
              </w:rPr>
            </w:r>
          </w:p>
        </w:tc>
        <w:tc>
          <w:tcPr>
            <w:tcW w:w="1873" w:type="dxa"/>
            <w:tcBorders>
              <w:top w:val="single" w:sz="6" w:space="0" w:color="000000"/>
              <w:left w:val="single" w:sz="6" w:space="0" w:color="000000"/>
              <w:bottom w:val="single" w:sz="12" w:space="0" w:color="000000"/>
              <w:right w:val="nil" w:sz="6" w:space="0" w:color="auto"/>
            </w:tcBorders>
          </w:tcPr>
          <w:p>
            <w:pPr/>
          </w:p>
        </w:tc>
      </w:tr>
    </w:tbl>
    <w:p>
      <w:pPr>
        <w:pStyle w:val="Heading4"/>
        <w:tabs>
          <w:tab w:pos="1838" w:val="left" w:leader="none"/>
        </w:tabs>
        <w:spacing w:line="240" w:lineRule="auto" w:before="86"/>
        <w:ind w:right="0"/>
        <w:jc w:val="left"/>
        <w:rPr>
          <w:rFonts w:ascii="宋体" w:hAnsi="宋体" w:cs="宋体" w:eastAsia="宋体" w:hint="default"/>
          <w:b w:val="0"/>
          <w:bCs w:val="0"/>
        </w:rPr>
      </w:pPr>
      <w:r>
        <w:rPr>
          <w:rFonts w:ascii="宋体" w:hAnsi="宋体" w:cs="宋体" w:eastAsia="宋体" w:hint="default"/>
          <w:w w:val="95"/>
        </w:rPr>
        <w:t>（二十五）</w:t>
        <w:tab/>
      </w:r>
      <w:r>
        <w:rPr>
          <w:rFonts w:ascii="宋体" w:hAnsi="宋体" w:cs="宋体" w:eastAsia="宋体" w:hint="default"/>
        </w:rPr>
        <w:t>其他应付款</w:t>
      </w:r>
      <w:r>
        <w:rPr>
          <w:rFonts w:ascii="宋体" w:hAnsi="宋体" w:cs="宋体" w:eastAsia="宋体" w:hint="default"/>
          <w:b w:val="0"/>
          <w:bCs w:val="0"/>
        </w:rPr>
      </w:r>
    </w:p>
    <w:p>
      <w:pPr>
        <w:pStyle w:val="BodyText"/>
        <w:spacing w:line="338" w:lineRule="auto" w:before="134"/>
        <w:ind w:right="99" w:firstLine="420"/>
        <w:jc w:val="left"/>
      </w:pPr>
      <w:r>
        <w:rPr/>
        <w:t>（</w:t>
      </w:r>
      <w:r>
        <w:rPr>
          <w:rFonts w:ascii="Century Gothic" w:hAnsi="Century Gothic" w:cs="Century Gothic" w:eastAsia="Century Gothic" w:hint="default"/>
        </w:rPr>
        <w:t>1</w:t>
      </w:r>
      <w:r>
        <w:rPr/>
        <w:t>）本报告期其他应付款中应付持有本公司</w:t>
      </w:r>
      <w:r>
        <w:rPr>
          <w:spacing w:val="-49"/>
        </w:rPr>
        <w:t> </w:t>
      </w:r>
      <w:r>
        <w:rPr>
          <w:rFonts w:ascii="Century Gothic" w:hAnsi="Century Gothic" w:cs="Century Gothic" w:eastAsia="Century Gothic" w:hint="default"/>
        </w:rPr>
        <w:t>5%</w:t>
      </w:r>
      <w:r>
        <w:rPr/>
        <w:t>（含</w:t>
      </w:r>
      <w:r>
        <w:rPr>
          <w:spacing w:val="-49"/>
        </w:rPr>
        <w:t> </w:t>
      </w:r>
      <w:r>
        <w:rPr>
          <w:rFonts w:ascii="Century Gothic" w:hAnsi="Century Gothic" w:cs="Century Gothic" w:eastAsia="Century Gothic" w:hint="default"/>
        </w:rPr>
        <w:t>5%</w:t>
      </w:r>
      <w:r>
        <w:rPr/>
        <w:t>）以上表决权股份的股东单位或关联方 的款项情况</w:t>
      </w:r>
    </w:p>
    <w:p>
      <w:pPr>
        <w:spacing w:line="240" w:lineRule="auto" w:before="4"/>
        <w:rPr>
          <w:rFonts w:ascii="宋体" w:hAnsi="宋体" w:cs="宋体" w:eastAsia="宋体" w:hint="default"/>
          <w:sz w:val="6"/>
          <w:szCs w:val="6"/>
        </w:rPr>
      </w:pPr>
    </w:p>
    <w:tbl>
      <w:tblPr>
        <w:tblW w:w="0" w:type="auto"/>
        <w:jc w:val="left"/>
        <w:tblInd w:w="257" w:type="dxa"/>
        <w:tblLayout w:type="fixed"/>
        <w:tblCellMar>
          <w:top w:w="0" w:type="dxa"/>
          <w:left w:w="0" w:type="dxa"/>
          <w:bottom w:w="0" w:type="dxa"/>
          <w:right w:w="0" w:type="dxa"/>
        </w:tblCellMar>
        <w:tblLook w:val="01E0"/>
      </w:tblPr>
      <w:tblGrid>
        <w:gridCol w:w="3595"/>
        <w:gridCol w:w="2742"/>
        <w:gridCol w:w="2568"/>
      </w:tblGrid>
      <w:tr>
        <w:trPr>
          <w:trHeight w:val="305" w:hRule="exact"/>
        </w:trPr>
        <w:tc>
          <w:tcPr>
            <w:tcW w:w="3595"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right="1361"/>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2742"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73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568"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left="64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00" w:hRule="exact"/>
        </w:trPr>
        <w:tc>
          <w:tcPr>
            <w:tcW w:w="3595"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right="1363"/>
              <w:jc w:val="right"/>
              <w:rPr>
                <w:rFonts w:ascii="宋体" w:hAnsi="宋体" w:cs="宋体" w:eastAsia="宋体" w:hint="default"/>
                <w:sz w:val="21"/>
                <w:szCs w:val="21"/>
              </w:rPr>
            </w:pPr>
            <w:r>
              <w:rPr>
                <w:rFonts w:ascii="宋体" w:hAnsi="宋体" w:cs="宋体" w:eastAsia="宋体" w:hint="default"/>
                <w:sz w:val="21"/>
                <w:szCs w:val="21"/>
              </w:rPr>
              <w:t>华立集团股份有限公司</w:t>
            </w:r>
          </w:p>
        </w:tc>
        <w:tc>
          <w:tcPr>
            <w:tcW w:w="2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225,494.16</w:t>
            </w:r>
          </w:p>
        </w:tc>
        <w:tc>
          <w:tcPr>
            <w:tcW w:w="25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7,208,542.75</w:t>
            </w:r>
          </w:p>
        </w:tc>
      </w:tr>
      <w:tr>
        <w:trPr>
          <w:trHeight w:val="307" w:hRule="exact"/>
        </w:trPr>
        <w:tc>
          <w:tcPr>
            <w:tcW w:w="3595" w:type="dxa"/>
            <w:tcBorders>
              <w:top w:val="single" w:sz="6" w:space="0" w:color="000000"/>
              <w:left w:val="nil" w:sz="6" w:space="0" w:color="auto"/>
              <w:bottom w:val="single" w:sz="12"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225,494.16</w:t>
            </w:r>
            <w:r>
              <w:rPr>
                <w:rFonts w:ascii="Century Gothic"/>
                <w:b/>
                <w:w w:val="95"/>
                <w:sz w:val="21"/>
              </w:rPr>
            </w:r>
            <w:r>
              <w:rPr>
                <w:rFonts w:ascii="Century Gothic"/>
                <w:sz w:val="21"/>
              </w:rPr>
            </w:r>
          </w:p>
        </w:tc>
        <w:tc>
          <w:tcPr>
            <w:tcW w:w="25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7,208,542.75</w:t>
            </w:r>
            <w:r>
              <w:rPr>
                <w:rFonts w:ascii="Century Gothic"/>
                <w:b/>
                <w:w w:val="95"/>
                <w:sz w:val="21"/>
              </w:rPr>
            </w:r>
            <w:r>
              <w:rPr>
                <w:rFonts w:ascii="Century Gothic"/>
                <w:sz w:val="21"/>
              </w:rPr>
            </w:r>
          </w:p>
        </w:tc>
      </w:tr>
    </w:tbl>
    <w:p>
      <w:pPr>
        <w:pStyle w:val="BodyText"/>
        <w:spacing w:line="240" w:lineRule="auto" w:before="86"/>
        <w:ind w:left="558" w:right="0"/>
        <w:jc w:val="left"/>
      </w:pPr>
      <w:r>
        <w:rPr/>
        <w:t>（</w:t>
      </w:r>
      <w:r>
        <w:rPr>
          <w:rFonts w:ascii="Century Gothic" w:hAnsi="Century Gothic" w:cs="Century Gothic" w:eastAsia="Century Gothic" w:hint="default"/>
        </w:rPr>
        <w:t>2</w:t>
      </w:r>
      <w:r>
        <w:rPr/>
        <w:t>）金额较大的其他应付款明细列示如下：</w:t>
      </w:r>
    </w:p>
    <w:p>
      <w:pPr>
        <w:spacing w:line="240" w:lineRule="auto" w:before="8"/>
        <w:rPr>
          <w:rFonts w:ascii="宋体" w:hAnsi="宋体" w:cs="宋体" w:eastAsia="宋体" w:hint="default"/>
          <w:sz w:val="11"/>
          <w:szCs w:val="11"/>
        </w:rPr>
      </w:pPr>
    </w:p>
    <w:tbl>
      <w:tblPr>
        <w:tblW w:w="0" w:type="auto"/>
        <w:jc w:val="left"/>
        <w:tblInd w:w="281" w:type="dxa"/>
        <w:tblLayout w:type="fixed"/>
        <w:tblCellMar>
          <w:top w:w="0" w:type="dxa"/>
          <w:left w:w="0" w:type="dxa"/>
          <w:bottom w:w="0" w:type="dxa"/>
          <w:right w:w="0" w:type="dxa"/>
        </w:tblCellMar>
        <w:tblLook w:val="01E0"/>
      </w:tblPr>
      <w:tblGrid>
        <w:gridCol w:w="3264"/>
        <w:gridCol w:w="2803"/>
        <w:gridCol w:w="2791"/>
      </w:tblGrid>
      <w:tr>
        <w:trPr>
          <w:trHeight w:val="307" w:hRule="exact"/>
        </w:trPr>
        <w:tc>
          <w:tcPr>
            <w:tcW w:w="3264"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3"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76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791"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right="6"/>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299" w:hRule="exact"/>
        </w:trPr>
        <w:tc>
          <w:tcPr>
            <w:tcW w:w="326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浙江华扬实业发展有限公司</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7"/>
              <w:jc w:val="right"/>
              <w:rPr>
                <w:rFonts w:ascii="Century Gothic" w:hAnsi="Century Gothic" w:cs="Century Gothic" w:eastAsia="Century Gothic" w:hint="default"/>
                <w:sz w:val="21"/>
                <w:szCs w:val="21"/>
              </w:rPr>
            </w:pPr>
            <w:r>
              <w:rPr>
                <w:rFonts w:ascii="Century Gothic"/>
                <w:spacing w:val="-1"/>
                <w:sz w:val="21"/>
              </w:rPr>
              <w:t>34,000,000.00</w:t>
            </w:r>
          </w:p>
        </w:tc>
        <w:tc>
          <w:tcPr>
            <w:tcW w:w="2791" w:type="dxa"/>
            <w:tcBorders>
              <w:top w:val="single" w:sz="6" w:space="0" w:color="000000"/>
              <w:left w:val="single" w:sz="6" w:space="0" w:color="000000"/>
              <w:bottom w:val="single" w:sz="6" w:space="0" w:color="000000"/>
              <w:right w:val="nil" w:sz="6" w:space="0" w:color="auto"/>
            </w:tcBorders>
          </w:tcPr>
          <w:p>
            <w:pPr>
              <w:pStyle w:val="TableParagraph"/>
              <w:spacing w:line="242" w:lineRule="exact"/>
              <w:ind w:right="6"/>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299" w:hRule="exact"/>
        </w:trPr>
        <w:tc>
          <w:tcPr>
            <w:tcW w:w="326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玉溪市红塔区人民政府</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5,000,000.00</w:t>
            </w:r>
          </w:p>
        </w:tc>
        <w:tc>
          <w:tcPr>
            <w:tcW w:w="2791" w:type="dxa"/>
            <w:tcBorders>
              <w:top w:val="single" w:sz="6" w:space="0" w:color="000000"/>
              <w:left w:val="single" w:sz="6" w:space="0" w:color="000000"/>
              <w:bottom w:val="single" w:sz="6" w:space="0" w:color="000000"/>
              <w:right w:val="nil" w:sz="6" w:space="0" w:color="auto"/>
            </w:tcBorders>
          </w:tcPr>
          <w:p>
            <w:pPr>
              <w:pStyle w:val="TableParagraph"/>
              <w:spacing w:line="242" w:lineRule="exact"/>
              <w:ind w:right="6"/>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299" w:hRule="exact"/>
        </w:trPr>
        <w:tc>
          <w:tcPr>
            <w:tcW w:w="326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广东柏迪鑫投资有限公司</w:t>
            </w:r>
          </w:p>
        </w:tc>
        <w:tc>
          <w:tcPr>
            <w:tcW w:w="2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3,000,000.00</w:t>
            </w:r>
          </w:p>
        </w:tc>
        <w:tc>
          <w:tcPr>
            <w:tcW w:w="2791" w:type="dxa"/>
            <w:tcBorders>
              <w:top w:val="single" w:sz="6" w:space="0" w:color="000000"/>
              <w:left w:val="single" w:sz="6" w:space="0" w:color="000000"/>
              <w:bottom w:val="single" w:sz="6" w:space="0" w:color="000000"/>
              <w:right w:val="nil" w:sz="6" w:space="0" w:color="auto"/>
            </w:tcBorders>
          </w:tcPr>
          <w:p>
            <w:pPr>
              <w:pStyle w:val="TableParagraph"/>
              <w:spacing w:line="242" w:lineRule="exact"/>
              <w:ind w:right="6"/>
              <w:jc w:val="center"/>
              <w:rPr>
                <w:rFonts w:ascii="宋体" w:hAnsi="宋体" w:cs="宋体" w:eastAsia="宋体" w:hint="default"/>
                <w:sz w:val="21"/>
                <w:szCs w:val="21"/>
              </w:rPr>
            </w:pPr>
            <w:r>
              <w:rPr>
                <w:rFonts w:ascii="宋体" w:hAnsi="宋体" w:cs="宋体" w:eastAsia="宋体" w:hint="default"/>
                <w:sz w:val="21"/>
                <w:szCs w:val="21"/>
              </w:rPr>
              <w:t>保证金</w:t>
            </w:r>
          </w:p>
        </w:tc>
      </w:tr>
      <w:tr>
        <w:trPr>
          <w:trHeight w:val="307" w:hRule="exact"/>
        </w:trPr>
        <w:tc>
          <w:tcPr>
            <w:tcW w:w="3264" w:type="dxa"/>
            <w:tcBorders>
              <w:top w:val="single" w:sz="6" w:space="0" w:color="000000"/>
              <w:left w:val="nil" w:sz="6" w:space="0" w:color="auto"/>
              <w:bottom w:val="single" w:sz="12" w:space="0" w:color="000000"/>
              <w:right w:val="single" w:sz="6" w:space="0" w:color="000000"/>
            </w:tcBorders>
          </w:tcPr>
          <w:p>
            <w:pPr>
              <w:pStyle w:val="TableParagraph"/>
              <w:tabs>
                <w:tab w:pos="437" w:val="left" w:leader="none"/>
              </w:tabs>
              <w:spacing w:line="242" w:lineRule="exact"/>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8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97"/>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42,000,000.00</w:t>
            </w:r>
            <w:r>
              <w:rPr>
                <w:rFonts w:ascii="Century Gothic"/>
                <w:b/>
                <w:w w:val="95"/>
                <w:sz w:val="21"/>
              </w:rPr>
            </w:r>
            <w:r>
              <w:rPr>
                <w:rFonts w:ascii="Century Gothic"/>
                <w:sz w:val="21"/>
              </w:rPr>
            </w:r>
          </w:p>
        </w:tc>
        <w:tc>
          <w:tcPr>
            <w:tcW w:w="2791"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558" w:right="0"/>
        <w:jc w:val="left"/>
      </w:pPr>
      <w:r>
        <w:rPr/>
        <w:t>（</w:t>
      </w:r>
      <w:r>
        <w:rPr>
          <w:rFonts w:ascii="Century Gothic" w:hAnsi="Century Gothic" w:cs="Century Gothic" w:eastAsia="Century Gothic" w:hint="default"/>
        </w:rPr>
        <w:t>3</w:t>
      </w:r>
      <w:r>
        <w:rPr/>
        <w:t>）账龄超过一年的大额其他应付款的明细如下：</w:t>
      </w:r>
    </w:p>
    <w:p>
      <w:pPr>
        <w:spacing w:line="240" w:lineRule="auto" w:before="11"/>
        <w:rPr>
          <w:rFonts w:ascii="宋体" w:hAnsi="宋体" w:cs="宋体" w:eastAsia="宋体" w:hint="default"/>
          <w:sz w:val="20"/>
          <w:szCs w:val="20"/>
        </w:rPr>
      </w:pPr>
    </w:p>
    <w:tbl>
      <w:tblPr>
        <w:tblW w:w="0" w:type="auto"/>
        <w:jc w:val="left"/>
        <w:tblInd w:w="268" w:type="dxa"/>
        <w:tblLayout w:type="fixed"/>
        <w:tblCellMar>
          <w:top w:w="0" w:type="dxa"/>
          <w:left w:w="0" w:type="dxa"/>
          <w:bottom w:w="0" w:type="dxa"/>
          <w:right w:w="0" w:type="dxa"/>
        </w:tblCellMar>
        <w:tblLook w:val="01E0"/>
      </w:tblPr>
      <w:tblGrid>
        <w:gridCol w:w="2486"/>
        <w:gridCol w:w="2094"/>
        <w:gridCol w:w="2140"/>
        <w:gridCol w:w="2165"/>
      </w:tblGrid>
      <w:tr>
        <w:trPr>
          <w:trHeight w:val="305" w:hRule="exact"/>
        </w:trPr>
        <w:tc>
          <w:tcPr>
            <w:tcW w:w="2486"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94"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40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140"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性质或内容</w:t>
            </w:r>
          </w:p>
        </w:tc>
        <w:tc>
          <w:tcPr>
            <w:tcW w:w="2165"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未偿还的原因</w:t>
            </w:r>
          </w:p>
        </w:tc>
      </w:tr>
      <w:tr>
        <w:trPr>
          <w:trHeight w:val="299" w:hRule="exact"/>
        </w:trPr>
        <w:tc>
          <w:tcPr>
            <w:tcW w:w="248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玉溪市红塔区人民政府</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5,000,000.00</w:t>
            </w:r>
          </w:p>
        </w:tc>
        <w:tc>
          <w:tcPr>
            <w:tcW w:w="214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2165" w:type="dxa"/>
            <w:tcBorders>
              <w:top w:val="single" w:sz="6" w:space="0" w:color="000000"/>
              <w:left w:val="single" w:sz="6" w:space="0" w:color="000000"/>
              <w:bottom w:val="single" w:sz="6" w:space="0" w:color="000000"/>
              <w:right w:val="nil" w:sz="6" w:space="0" w:color="auto"/>
            </w:tcBorders>
          </w:tcPr>
          <w:p>
            <w:pPr>
              <w:pStyle w:val="TableParagraph"/>
              <w:spacing w:line="242" w:lineRule="exact"/>
              <w:ind w:right="6"/>
              <w:jc w:val="center"/>
              <w:rPr>
                <w:rFonts w:ascii="宋体" w:hAnsi="宋体" w:cs="宋体" w:eastAsia="宋体" w:hint="default"/>
                <w:sz w:val="21"/>
                <w:szCs w:val="21"/>
              </w:rPr>
            </w:pPr>
            <w:r>
              <w:rPr>
                <w:rFonts w:ascii="宋体" w:hAnsi="宋体" w:cs="宋体" w:eastAsia="宋体" w:hint="default"/>
                <w:sz w:val="21"/>
                <w:szCs w:val="21"/>
              </w:rPr>
              <w:t>对方未催收</w:t>
            </w:r>
          </w:p>
        </w:tc>
      </w:tr>
      <w:tr>
        <w:trPr>
          <w:trHeight w:val="308" w:hRule="exact"/>
        </w:trPr>
        <w:tc>
          <w:tcPr>
            <w:tcW w:w="2486" w:type="dxa"/>
            <w:tcBorders>
              <w:top w:val="single" w:sz="6" w:space="0" w:color="000000"/>
              <w:left w:val="nil" w:sz="6" w:space="0" w:color="auto"/>
              <w:bottom w:val="single" w:sz="12"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5,000,000.00</w:t>
            </w:r>
            <w:r>
              <w:rPr>
                <w:rFonts w:ascii="Century Gothic"/>
                <w:b/>
                <w:w w:val="95"/>
                <w:sz w:val="21"/>
              </w:rPr>
            </w:r>
            <w:r>
              <w:rPr>
                <w:rFonts w:ascii="Century Gothic"/>
                <w:sz w:val="21"/>
              </w:rPr>
            </w:r>
          </w:p>
        </w:tc>
        <w:tc>
          <w:tcPr>
            <w:tcW w:w="2140" w:type="dxa"/>
            <w:tcBorders>
              <w:top w:val="single" w:sz="6" w:space="0" w:color="000000"/>
              <w:left w:val="single" w:sz="6" w:space="0" w:color="000000"/>
              <w:bottom w:val="single" w:sz="12" w:space="0" w:color="000000"/>
              <w:right w:val="single" w:sz="6" w:space="0" w:color="000000"/>
            </w:tcBorders>
          </w:tcPr>
          <w:p>
            <w:pPr/>
          </w:p>
        </w:tc>
        <w:tc>
          <w:tcPr>
            <w:tcW w:w="2165" w:type="dxa"/>
            <w:tcBorders>
              <w:top w:val="single" w:sz="6" w:space="0" w:color="000000"/>
              <w:left w:val="single" w:sz="6" w:space="0" w:color="000000"/>
              <w:bottom w:val="single" w:sz="12" w:space="0" w:color="000000"/>
              <w:right w:val="nil" w:sz="6" w:space="0" w:color="auto"/>
            </w:tcBorders>
          </w:tcPr>
          <w:p>
            <w:pPr/>
          </w:p>
        </w:tc>
      </w:tr>
    </w:tbl>
    <w:p>
      <w:pPr>
        <w:pStyle w:val="Heading4"/>
        <w:tabs>
          <w:tab w:pos="1838" w:val="left" w:leader="none"/>
        </w:tabs>
        <w:spacing w:line="240" w:lineRule="auto" w:before="86"/>
        <w:ind w:right="0"/>
        <w:jc w:val="left"/>
        <w:rPr>
          <w:rFonts w:ascii="宋体" w:hAnsi="宋体" w:cs="宋体" w:eastAsia="宋体" w:hint="default"/>
          <w:b w:val="0"/>
          <w:bCs w:val="0"/>
        </w:rPr>
      </w:pPr>
      <w:r>
        <w:rPr>
          <w:rFonts w:ascii="宋体" w:hAnsi="宋体" w:cs="宋体" w:eastAsia="宋体" w:hint="default"/>
          <w:w w:val="95"/>
        </w:rPr>
        <w:t>（二十六）</w:t>
        <w:tab/>
      </w:r>
      <w:r>
        <w:rPr>
          <w:rFonts w:ascii="宋体" w:hAnsi="宋体" w:cs="宋体" w:eastAsia="宋体" w:hint="default"/>
        </w:rPr>
        <w:t>一年内到期的非流动负债</w:t>
      </w:r>
      <w:r>
        <w:rPr>
          <w:rFonts w:ascii="宋体" w:hAnsi="宋体" w:cs="宋体" w:eastAsia="宋体" w:hint="default"/>
          <w:b w:val="0"/>
          <w:bCs w:val="0"/>
        </w:rPr>
      </w:r>
    </w:p>
    <w:p>
      <w:pPr>
        <w:pStyle w:val="BodyText"/>
        <w:spacing w:line="240" w:lineRule="auto" w:before="134"/>
        <w:ind w:left="558" w:right="0"/>
        <w:jc w:val="left"/>
      </w:pPr>
      <w:r>
        <w:rPr/>
        <w:t>（</w:t>
      </w:r>
      <w:r>
        <w:rPr>
          <w:rFonts w:ascii="Century Gothic" w:hAnsi="Century Gothic" w:cs="Century Gothic" w:eastAsia="Century Gothic" w:hint="default"/>
        </w:rPr>
        <w:t>1</w:t>
      </w:r>
      <w:r>
        <w:rPr/>
        <w:t>）一年内到期的非流动负债明细如下：</w:t>
      </w:r>
    </w:p>
    <w:p>
      <w:pPr>
        <w:spacing w:line="240" w:lineRule="auto" w:before="8"/>
        <w:rPr>
          <w:rFonts w:ascii="宋体" w:hAnsi="宋体" w:cs="宋体" w:eastAsia="宋体" w:hint="default"/>
          <w:sz w:val="11"/>
          <w:szCs w:val="11"/>
        </w:rPr>
      </w:pPr>
    </w:p>
    <w:tbl>
      <w:tblPr>
        <w:tblW w:w="0" w:type="auto"/>
        <w:jc w:val="left"/>
        <w:tblInd w:w="279" w:type="dxa"/>
        <w:tblLayout w:type="fixed"/>
        <w:tblCellMar>
          <w:top w:w="0" w:type="dxa"/>
          <w:left w:w="0" w:type="dxa"/>
          <w:bottom w:w="0" w:type="dxa"/>
          <w:right w:w="0" w:type="dxa"/>
        </w:tblCellMar>
        <w:tblLook w:val="01E0"/>
      </w:tblPr>
      <w:tblGrid>
        <w:gridCol w:w="2922"/>
        <w:gridCol w:w="3208"/>
        <w:gridCol w:w="2734"/>
      </w:tblGrid>
      <w:tr>
        <w:trPr>
          <w:trHeight w:val="362" w:hRule="exact"/>
        </w:trPr>
        <w:tc>
          <w:tcPr>
            <w:tcW w:w="2922" w:type="dxa"/>
            <w:tcBorders>
              <w:top w:val="single" w:sz="12" w:space="0" w:color="000000"/>
              <w:left w:val="nil" w:sz="6" w:space="0" w:color="auto"/>
              <w:bottom w:val="single" w:sz="6" w:space="0" w:color="000000"/>
              <w:right w:val="single" w:sz="6" w:space="0" w:color="000000"/>
            </w:tcBorders>
          </w:tcPr>
          <w:p>
            <w:pPr>
              <w:pStyle w:val="TableParagraph"/>
              <w:tabs>
                <w:tab w:pos="439"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08"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96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734"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72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922"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20" w:right="0"/>
              <w:jc w:val="center"/>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年内到期的长期借款</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122,000,000.00</w:t>
            </w:r>
            <w:r>
              <w:rPr>
                <w:rFonts w:ascii="Century Gothic"/>
                <w:sz w:val="21"/>
              </w:rPr>
            </w:r>
          </w:p>
        </w:tc>
        <w:tc>
          <w:tcPr>
            <w:tcW w:w="27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17,960,000.00</w:t>
            </w:r>
          </w:p>
        </w:tc>
      </w:tr>
      <w:tr>
        <w:trPr>
          <w:trHeight w:val="363" w:hRule="exact"/>
        </w:trPr>
        <w:tc>
          <w:tcPr>
            <w:tcW w:w="2922"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122,000,000.00</w:t>
            </w:r>
            <w:r>
              <w:rPr>
                <w:rFonts w:ascii="Century Gothic"/>
                <w:b/>
                <w:w w:val="95"/>
                <w:sz w:val="21"/>
              </w:rPr>
            </w:r>
            <w:r>
              <w:rPr>
                <w:rFonts w:ascii="Century Gothic"/>
                <w:sz w:val="21"/>
              </w:rPr>
            </w:r>
          </w:p>
        </w:tc>
        <w:tc>
          <w:tcPr>
            <w:tcW w:w="27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17,960,000.00</w:t>
            </w:r>
            <w:r>
              <w:rPr>
                <w:rFonts w:ascii="Century Gothic"/>
                <w:b/>
                <w:w w:val="95"/>
                <w:sz w:val="21"/>
              </w:rPr>
            </w:r>
            <w:r>
              <w:rPr>
                <w:rFonts w:ascii="Century Gothic"/>
                <w:sz w:val="21"/>
              </w:rPr>
            </w:r>
          </w:p>
        </w:tc>
      </w:tr>
    </w:tbl>
    <w:p>
      <w:pPr>
        <w:pStyle w:val="BodyText"/>
        <w:spacing w:line="240" w:lineRule="auto" w:before="86"/>
        <w:ind w:left="558" w:right="0"/>
        <w:jc w:val="left"/>
      </w:pPr>
      <w:r>
        <w:rPr/>
        <w:t>（</w:t>
      </w:r>
      <w:r>
        <w:rPr>
          <w:rFonts w:ascii="Century Gothic" w:hAnsi="Century Gothic" w:cs="Century Gothic" w:eastAsia="Century Gothic" w:hint="default"/>
        </w:rPr>
        <w:t>2</w:t>
      </w:r>
      <w:r>
        <w:rPr/>
        <w:t>）</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年内到期的长期借款</w:t>
      </w:r>
    </w:p>
    <w:p>
      <w:pPr>
        <w:pStyle w:val="BodyText"/>
        <w:spacing w:line="240" w:lineRule="auto"/>
        <w:ind w:left="558" w:right="0"/>
        <w:jc w:val="left"/>
      </w:pPr>
      <w:r>
        <w:rPr>
          <w:rFonts w:ascii="Century Gothic" w:hAnsi="Century Gothic" w:cs="Century Gothic" w:eastAsia="Century Gothic" w:hint="default"/>
        </w:rPr>
        <w:t>A</w:t>
      </w:r>
      <w:r>
        <w:rPr/>
        <w:t>、</w:t>
      </w:r>
      <w:r>
        <w:rPr>
          <w:rFonts w:ascii="Century Gothic" w:hAnsi="Century Gothic" w:cs="Century Gothic" w:eastAsia="Century Gothic" w:hint="default"/>
        </w:rPr>
        <w:t>1</w:t>
      </w:r>
      <w:r>
        <w:rPr>
          <w:rFonts w:ascii="Century Gothic" w:hAnsi="Century Gothic" w:cs="Century Gothic" w:eastAsia="Century Gothic" w:hint="default"/>
          <w:spacing w:val="-8"/>
        </w:rPr>
        <w:t> </w:t>
      </w:r>
      <w:r>
        <w:rPr/>
        <w:t>年内到期的长期借款明细如下：</w:t>
      </w:r>
    </w:p>
    <w:p>
      <w:pPr>
        <w:spacing w:line="240" w:lineRule="auto" w:before="9"/>
        <w:rPr>
          <w:rFonts w:ascii="宋体" w:hAnsi="宋体" w:cs="宋体" w:eastAsia="宋体" w:hint="default"/>
          <w:sz w:val="11"/>
          <w:szCs w:val="11"/>
        </w:rPr>
      </w:pPr>
    </w:p>
    <w:tbl>
      <w:tblPr>
        <w:tblW w:w="0" w:type="auto"/>
        <w:jc w:val="left"/>
        <w:tblInd w:w="279" w:type="dxa"/>
        <w:tblLayout w:type="fixed"/>
        <w:tblCellMar>
          <w:top w:w="0" w:type="dxa"/>
          <w:left w:w="0" w:type="dxa"/>
          <w:bottom w:w="0" w:type="dxa"/>
          <w:right w:w="0" w:type="dxa"/>
        </w:tblCellMar>
        <w:tblLook w:val="01E0"/>
      </w:tblPr>
      <w:tblGrid>
        <w:gridCol w:w="2922"/>
        <w:gridCol w:w="3208"/>
        <w:gridCol w:w="2734"/>
      </w:tblGrid>
      <w:tr>
        <w:trPr>
          <w:trHeight w:val="362" w:hRule="exact"/>
        </w:trPr>
        <w:tc>
          <w:tcPr>
            <w:tcW w:w="2922" w:type="dxa"/>
            <w:tcBorders>
              <w:top w:val="single" w:sz="12" w:space="0" w:color="000000"/>
              <w:left w:val="nil" w:sz="6" w:space="0" w:color="auto"/>
              <w:bottom w:val="single" w:sz="6" w:space="0" w:color="000000"/>
              <w:right w:val="single" w:sz="6" w:space="0" w:color="000000"/>
            </w:tcBorders>
          </w:tcPr>
          <w:p>
            <w:pPr>
              <w:pStyle w:val="TableParagraph"/>
              <w:tabs>
                <w:tab w:pos="439"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208"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96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734"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72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922"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抵押借款（注</w:t>
            </w:r>
            <w:r>
              <w:rPr>
                <w:rFonts w:ascii="宋体" w:hAnsi="宋体" w:cs="宋体" w:eastAsia="宋体" w:hint="default"/>
                <w:spacing w:val="-54"/>
                <w:sz w:val="21"/>
                <w:szCs w:val="21"/>
              </w:rPr>
              <w:t> </w:t>
            </w:r>
            <w:r>
              <w:rPr>
                <w:rFonts w:ascii="Century Gothic" w:hAnsi="Century Gothic" w:cs="Century Gothic" w:eastAsia="Century Gothic" w:hint="default"/>
                <w:sz w:val="21"/>
                <w:szCs w:val="21"/>
              </w:rPr>
              <w:t>1</w:t>
            </w:r>
            <w:r>
              <w:rPr>
                <w:rFonts w:ascii="宋体" w:hAnsi="宋体" w:cs="宋体" w:eastAsia="宋体" w:hint="default"/>
                <w:sz w:val="21"/>
                <w:szCs w:val="21"/>
              </w:rPr>
              <w:t>）</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22,000,000.00</w:t>
            </w:r>
          </w:p>
        </w:tc>
        <w:tc>
          <w:tcPr>
            <w:tcW w:w="27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7"/>
              <w:jc w:val="right"/>
              <w:rPr>
                <w:rFonts w:ascii="Century Gothic" w:hAnsi="Century Gothic" w:cs="Century Gothic" w:eastAsia="Century Gothic" w:hint="default"/>
                <w:sz w:val="21"/>
                <w:szCs w:val="21"/>
              </w:rPr>
            </w:pPr>
            <w:r>
              <w:rPr>
                <w:rFonts w:ascii="Century Gothic"/>
                <w:spacing w:val="-1"/>
                <w:sz w:val="21"/>
              </w:rPr>
              <w:t>7,960,000.00</w:t>
            </w:r>
          </w:p>
        </w:tc>
      </w:tr>
      <w:tr>
        <w:trPr>
          <w:trHeight w:val="355" w:hRule="exact"/>
        </w:trPr>
        <w:tc>
          <w:tcPr>
            <w:tcW w:w="2922"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保证借款（注</w:t>
            </w:r>
            <w:r>
              <w:rPr>
                <w:rFonts w:ascii="宋体" w:hAnsi="宋体" w:cs="宋体" w:eastAsia="宋体" w:hint="default"/>
                <w:spacing w:val="-54"/>
                <w:sz w:val="21"/>
                <w:szCs w:val="21"/>
              </w:rPr>
              <w:t> </w:t>
            </w:r>
            <w:r>
              <w:rPr>
                <w:rFonts w:ascii="Century Gothic" w:hAnsi="Century Gothic" w:cs="Century Gothic" w:eastAsia="Century Gothic" w:hint="default"/>
                <w:sz w:val="21"/>
                <w:szCs w:val="21"/>
              </w:rPr>
              <w:t>2</w:t>
            </w:r>
            <w:r>
              <w:rPr>
                <w:rFonts w:ascii="宋体" w:hAnsi="宋体" w:cs="宋体" w:eastAsia="宋体" w:hint="default"/>
                <w:sz w:val="21"/>
                <w:szCs w:val="21"/>
              </w:rPr>
              <w:t>）</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100,000,000.00</w:t>
            </w:r>
            <w:r>
              <w:rPr>
                <w:rFonts w:ascii="Century Gothic"/>
                <w:sz w:val="21"/>
              </w:rPr>
            </w:r>
          </w:p>
        </w:tc>
        <w:tc>
          <w:tcPr>
            <w:tcW w:w="273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10,000,000.00</w:t>
            </w:r>
          </w:p>
        </w:tc>
      </w:tr>
      <w:tr>
        <w:trPr>
          <w:trHeight w:val="362" w:hRule="exact"/>
        </w:trPr>
        <w:tc>
          <w:tcPr>
            <w:tcW w:w="2922"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122,000,000.00</w:t>
            </w:r>
            <w:r>
              <w:rPr>
                <w:rFonts w:ascii="Century Gothic"/>
                <w:b/>
                <w:w w:val="95"/>
                <w:sz w:val="21"/>
              </w:rPr>
            </w:r>
            <w:r>
              <w:rPr>
                <w:rFonts w:ascii="Century Gothic"/>
                <w:sz w:val="21"/>
              </w:rPr>
            </w:r>
          </w:p>
        </w:tc>
        <w:tc>
          <w:tcPr>
            <w:tcW w:w="273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17,960,000.00</w:t>
            </w:r>
            <w:r>
              <w:rPr>
                <w:rFonts w:ascii="Century Gothic"/>
                <w:b/>
                <w:w w:val="95"/>
                <w:sz w:val="21"/>
              </w:rPr>
            </w:r>
            <w:r>
              <w:rPr>
                <w:rFonts w:ascii="Century Gothic"/>
                <w:sz w:val="21"/>
              </w:rPr>
            </w:r>
          </w:p>
        </w:tc>
      </w:tr>
    </w:tbl>
    <w:p>
      <w:pPr>
        <w:pStyle w:val="BodyText"/>
        <w:spacing w:line="338" w:lineRule="auto" w:before="86"/>
        <w:ind w:left="558" w:right="2130"/>
        <w:jc w:val="left"/>
      </w:pPr>
      <w:r>
        <w:rPr>
          <w:rFonts w:ascii="Century Gothic" w:hAnsi="Century Gothic" w:cs="Century Gothic" w:eastAsia="Century Gothic" w:hint="default"/>
        </w:rPr>
        <w:t>1</w:t>
      </w:r>
      <w:r>
        <w:rPr>
          <w:rFonts w:ascii="Century Gothic" w:hAnsi="Century Gothic" w:cs="Century Gothic" w:eastAsia="Century Gothic" w:hint="default"/>
          <w:spacing w:val="-9"/>
        </w:rPr>
        <w:t> </w:t>
      </w:r>
      <w:r>
        <w:rPr/>
        <w:t>年内到期的长期借款中属于逾期借款获得展期的金额</w:t>
      </w:r>
      <w:r>
        <w:rPr>
          <w:spacing w:val="-56"/>
        </w:rPr>
        <w:t> </w:t>
      </w:r>
      <w:r>
        <w:rPr>
          <w:rFonts w:ascii="Century Gothic" w:hAnsi="Century Gothic" w:cs="Century Gothic" w:eastAsia="Century Gothic" w:hint="default"/>
        </w:rPr>
        <w:t>2,000,000.00</w:t>
      </w:r>
      <w:r>
        <w:rPr>
          <w:rFonts w:ascii="Century Gothic" w:hAnsi="Century Gothic" w:cs="Century Gothic" w:eastAsia="Century Gothic" w:hint="default"/>
          <w:spacing w:val="-9"/>
        </w:rPr>
        <w:t> </w:t>
      </w:r>
      <w:r>
        <w:rPr/>
        <w:t>元。 注</w:t>
      </w:r>
      <w:r>
        <w:rPr>
          <w:spacing w:val="-56"/>
        </w:rPr>
        <w:t> </w:t>
      </w:r>
      <w:r>
        <w:rPr>
          <w:rFonts w:ascii="Century Gothic" w:hAnsi="Century Gothic" w:cs="Century Gothic" w:eastAsia="Century Gothic" w:hint="default"/>
        </w:rPr>
        <w:t>1</w:t>
      </w:r>
      <w:r>
        <w:rPr/>
        <w:t>：抵押借款</w:t>
      </w:r>
      <w:r>
        <w:rPr>
          <w:spacing w:val="-56"/>
        </w:rPr>
        <w:t> </w:t>
      </w:r>
      <w:r>
        <w:rPr>
          <w:rFonts w:ascii="Century Gothic" w:hAnsi="Century Gothic" w:cs="Century Gothic" w:eastAsia="Century Gothic" w:hint="default"/>
        </w:rPr>
        <w:t>2,200.00</w:t>
      </w:r>
      <w:r>
        <w:rPr>
          <w:rFonts w:ascii="Century Gothic" w:hAnsi="Century Gothic" w:cs="Century Gothic" w:eastAsia="Century Gothic" w:hint="default"/>
          <w:spacing w:val="-8"/>
        </w:rPr>
        <w:t> </w:t>
      </w:r>
      <w:r>
        <w:rPr/>
        <w:t>万元，其中：</w:t>
      </w:r>
    </w:p>
    <w:p>
      <w:pPr>
        <w:spacing w:line="240" w:lineRule="auto" w:before="10"/>
        <w:rPr>
          <w:rFonts w:ascii="宋体" w:hAnsi="宋体" w:cs="宋体" w:eastAsia="宋体" w:hint="default"/>
          <w:sz w:val="16"/>
          <w:szCs w:val="16"/>
        </w:rPr>
      </w:pPr>
    </w:p>
    <w:p>
      <w:pPr>
        <w:spacing w:before="76"/>
        <w:ind w:left="4577" w:right="4555" w:firstLine="0"/>
        <w:jc w:val="center"/>
        <w:rPr>
          <w:rFonts w:ascii="Times New Roman" w:hAnsi="Times New Roman" w:cs="Times New Roman" w:eastAsia="Times New Roman" w:hint="default"/>
          <w:sz w:val="18"/>
          <w:szCs w:val="18"/>
        </w:rPr>
      </w:pPr>
      <w:r>
        <w:rPr>
          <w:rFonts w:ascii="Times New Roman"/>
          <w:sz w:val="18"/>
        </w:rPr>
        <w:t>81</w:t>
      </w:r>
    </w:p>
    <w:p>
      <w:pPr>
        <w:spacing w:after="0"/>
        <w:jc w:val="center"/>
        <w:rPr>
          <w:rFonts w:ascii="Times New Roman" w:hAnsi="Times New Roman" w:cs="Times New Roman" w:eastAsia="Times New Roman" w:hint="default"/>
          <w:sz w:val="18"/>
          <w:szCs w:val="18"/>
        </w:rPr>
        <w:sectPr>
          <w:pgSz w:w="11910" w:h="16840"/>
          <w:pgMar w:top="780" w:bottom="280" w:left="1280" w:right="11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64.860001pt;margin-top:-9.926001pt;width:84.0pt;height:23.94pt;mso-position-horizontal-relative:page;mso-position-vertical-relative:paragraph;z-index:5584"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0"/>
        <w:ind w:left="558" w:right="152"/>
        <w:jc w:val="left"/>
      </w:pPr>
      <w:r>
        <w:rPr/>
        <w:t>（</w:t>
      </w:r>
      <w:r>
        <w:rPr>
          <w:rFonts w:ascii="Century Gothic" w:hAnsi="Century Gothic" w:cs="Century Gothic" w:eastAsia="Century Gothic" w:hint="default"/>
        </w:rPr>
        <w:t>1</w:t>
      </w:r>
      <w:r>
        <w:rPr/>
        <w:t>）子公司云南工业大麻股份有限公司以账面价值</w:t>
      </w:r>
      <w:r>
        <w:rPr>
          <w:spacing w:val="-57"/>
        </w:rPr>
        <w:t> </w:t>
      </w:r>
      <w:r>
        <w:rPr>
          <w:rFonts w:ascii="Century Gothic" w:hAnsi="Century Gothic" w:cs="Century Gothic" w:eastAsia="Century Gothic" w:hint="default"/>
        </w:rPr>
        <w:t>1,425.27</w:t>
      </w:r>
      <w:r>
        <w:rPr>
          <w:rFonts w:ascii="Century Gothic" w:hAnsi="Century Gothic" w:cs="Century Gothic" w:eastAsia="Century Gothic" w:hint="default"/>
          <w:spacing w:val="-10"/>
        </w:rPr>
        <w:t> </w:t>
      </w:r>
      <w:r>
        <w:rPr/>
        <w:t>万元的房屋建筑物为其借款</w:t>
      </w:r>
    </w:p>
    <w:p>
      <w:pPr>
        <w:pStyle w:val="BodyText"/>
        <w:spacing w:line="240" w:lineRule="auto"/>
        <w:ind w:right="152"/>
        <w:jc w:val="left"/>
      </w:pPr>
      <w:r>
        <w:rPr>
          <w:rFonts w:ascii="Century Gothic" w:hAnsi="Century Gothic" w:cs="Century Gothic" w:eastAsia="Century Gothic" w:hint="default"/>
        </w:rPr>
        <w:t>2,000.00</w:t>
      </w:r>
      <w:r>
        <w:rPr>
          <w:rFonts w:ascii="Century Gothic" w:hAnsi="Century Gothic" w:cs="Century Gothic" w:eastAsia="Century Gothic" w:hint="default"/>
          <w:spacing w:val="-12"/>
        </w:rPr>
        <w:t> </w:t>
      </w:r>
      <w:r>
        <w:rPr/>
        <w:t>万元提供了抵押担保；</w:t>
      </w:r>
    </w:p>
    <w:p>
      <w:pPr>
        <w:pStyle w:val="BodyText"/>
        <w:spacing w:line="240" w:lineRule="auto"/>
        <w:ind w:left="558" w:right="152"/>
        <w:jc w:val="left"/>
      </w:pPr>
      <w:r>
        <w:rPr/>
        <w:t>（</w:t>
      </w:r>
      <w:r>
        <w:rPr>
          <w:rFonts w:ascii="Century Gothic" w:hAnsi="Century Gothic" w:cs="Century Gothic" w:eastAsia="Century Gothic" w:hint="default"/>
        </w:rPr>
        <w:t>2</w:t>
      </w:r>
      <w:r>
        <w:rPr/>
        <w:t>）子公司洪雅美联植化有限责任公司以账面价值</w:t>
      </w:r>
      <w:r>
        <w:rPr>
          <w:spacing w:val="-55"/>
        </w:rPr>
        <w:t> </w:t>
      </w:r>
      <w:r>
        <w:rPr>
          <w:rFonts w:ascii="Century Gothic" w:hAnsi="Century Gothic" w:cs="Century Gothic" w:eastAsia="Century Gothic" w:hint="default"/>
        </w:rPr>
        <w:t>175.28</w:t>
      </w:r>
      <w:r>
        <w:rPr>
          <w:rFonts w:ascii="Century Gothic" w:hAnsi="Century Gothic" w:cs="Century Gothic" w:eastAsia="Century Gothic" w:hint="default"/>
          <w:spacing w:val="-6"/>
        </w:rPr>
        <w:t> </w:t>
      </w:r>
      <w:r>
        <w:rPr/>
        <w:t>万元的房屋建筑物连同账面价值</w:t>
      </w:r>
    </w:p>
    <w:p>
      <w:pPr>
        <w:pStyle w:val="BodyText"/>
        <w:spacing w:line="240" w:lineRule="auto" w:before="119"/>
        <w:ind w:right="152"/>
        <w:jc w:val="left"/>
      </w:pPr>
      <w:r>
        <w:rPr>
          <w:rFonts w:ascii="Century Gothic" w:hAnsi="Century Gothic" w:cs="Century Gothic" w:eastAsia="Century Gothic" w:hint="default"/>
        </w:rPr>
        <w:t>71.60</w:t>
      </w:r>
      <w:r>
        <w:rPr>
          <w:rFonts w:ascii="Century Gothic" w:hAnsi="Century Gothic" w:cs="Century Gothic" w:eastAsia="Century Gothic" w:hint="default"/>
          <w:spacing w:val="-7"/>
        </w:rPr>
        <w:t> </w:t>
      </w:r>
      <w:r>
        <w:rPr/>
        <w:t>万元的土地使用权为其借款</w:t>
      </w:r>
      <w:r>
        <w:rPr>
          <w:spacing w:val="-54"/>
        </w:rPr>
        <w:t> </w:t>
      </w:r>
      <w:r>
        <w:rPr>
          <w:rFonts w:ascii="Century Gothic" w:hAnsi="Century Gothic" w:cs="Century Gothic" w:eastAsia="Century Gothic" w:hint="default"/>
        </w:rPr>
        <w:t>200.00</w:t>
      </w:r>
      <w:r>
        <w:rPr>
          <w:rFonts w:ascii="Century Gothic" w:hAnsi="Century Gothic" w:cs="Century Gothic" w:eastAsia="Century Gothic" w:hint="default"/>
          <w:spacing w:val="-7"/>
        </w:rPr>
        <w:t> </w:t>
      </w:r>
      <w:r>
        <w:rPr/>
        <w:t>万元提供了抵押担保。</w:t>
      </w:r>
    </w:p>
    <w:p>
      <w:pPr>
        <w:pStyle w:val="BodyText"/>
        <w:spacing w:line="240" w:lineRule="auto"/>
        <w:ind w:left="558" w:right="80"/>
        <w:jc w:val="left"/>
      </w:pPr>
      <w:r>
        <w:rPr/>
        <w:t>注</w:t>
      </w:r>
      <w:r>
        <w:rPr>
          <w:spacing w:val="-53"/>
        </w:rPr>
        <w:t> </w:t>
      </w:r>
      <w:r>
        <w:rPr>
          <w:rFonts w:ascii="Century Gothic" w:hAnsi="Century Gothic" w:cs="Century Gothic" w:eastAsia="Century Gothic" w:hint="default"/>
          <w:spacing w:val="-6"/>
        </w:rPr>
        <w:t>2</w:t>
      </w:r>
      <w:r>
        <w:rPr>
          <w:spacing w:val="-6"/>
        </w:rPr>
        <w:t>：公司为子公司华立仪表集团</w:t>
      </w:r>
      <w:r>
        <w:rPr>
          <w:spacing w:val="-53"/>
        </w:rPr>
        <w:t> </w:t>
      </w:r>
      <w:r>
        <w:rPr>
          <w:rFonts w:ascii="Century Gothic" w:hAnsi="Century Gothic" w:cs="Century Gothic" w:eastAsia="Century Gothic" w:hint="default"/>
        </w:rPr>
        <w:t>10,000.00</w:t>
      </w:r>
      <w:r>
        <w:rPr>
          <w:rFonts w:ascii="Century Gothic" w:hAnsi="Century Gothic" w:cs="Century Gothic" w:eastAsia="Century Gothic" w:hint="default"/>
          <w:spacing w:val="-6"/>
        </w:rPr>
        <w:t> </w:t>
      </w:r>
      <w:r>
        <w:rPr>
          <w:spacing w:val="-10"/>
        </w:rPr>
        <w:t>万元借款提供了连带责任保证，详见附注六、（二）、</w:t>
      </w:r>
    </w:p>
    <w:p>
      <w:pPr>
        <w:pStyle w:val="BodyText"/>
        <w:spacing w:line="240" w:lineRule="auto"/>
        <w:ind w:right="152"/>
        <w:jc w:val="left"/>
      </w:pPr>
      <w:r>
        <w:rPr>
          <w:rFonts w:ascii="Century Gothic" w:hAnsi="Century Gothic" w:cs="Century Gothic" w:eastAsia="Century Gothic" w:hint="default"/>
        </w:rPr>
        <w:t>5</w:t>
      </w:r>
      <w:r>
        <w:rPr/>
        <w:t>、</w:t>
      </w:r>
      <w:r>
        <w:rPr>
          <w:rFonts w:ascii="Century Gothic" w:hAnsi="Century Gothic" w:cs="Century Gothic" w:eastAsia="Century Gothic" w:hint="default"/>
        </w:rPr>
        <w:t>B</w:t>
      </w:r>
      <w:r>
        <w:rPr>
          <w:rFonts w:ascii="Century Gothic" w:hAnsi="Century Gothic" w:cs="Century Gothic" w:eastAsia="Century Gothic" w:hint="default"/>
          <w:spacing w:val="-7"/>
        </w:rPr>
        <w:t> </w:t>
      </w:r>
      <w:r>
        <w:rPr/>
        <w:t>所述。</w:t>
      </w:r>
    </w:p>
    <w:p>
      <w:pPr>
        <w:pStyle w:val="BodyText"/>
        <w:spacing w:line="240" w:lineRule="auto"/>
        <w:ind w:left="558" w:right="152"/>
        <w:jc w:val="left"/>
      </w:pPr>
      <w:r>
        <w:rPr>
          <w:rFonts w:ascii="Century Gothic" w:hAnsi="Century Gothic" w:cs="Century Gothic" w:eastAsia="Century Gothic" w:hint="default"/>
        </w:rPr>
        <w:t>B</w:t>
      </w:r>
      <w:r>
        <w:rPr/>
        <w:t>、</w:t>
      </w:r>
      <w:r>
        <w:rPr>
          <w:rFonts w:ascii="Century Gothic" w:hAnsi="Century Gothic" w:cs="Century Gothic" w:eastAsia="Century Gothic" w:hint="default"/>
        </w:rPr>
        <w:t>1</w:t>
      </w:r>
      <w:r>
        <w:rPr>
          <w:rFonts w:ascii="Century Gothic" w:hAnsi="Century Gothic" w:cs="Century Gothic" w:eastAsia="Century Gothic" w:hint="default"/>
          <w:spacing w:val="-8"/>
        </w:rPr>
        <w:t> </w:t>
      </w:r>
      <w:r>
        <w:rPr/>
        <w:t>年内到期的长期借款按贷款单位列示如下：</w:t>
      </w:r>
    </w:p>
    <w:p>
      <w:pPr>
        <w:spacing w:line="240" w:lineRule="auto" w:before="9"/>
        <w:rPr>
          <w:rFonts w:ascii="宋体" w:hAnsi="宋体" w:cs="宋体" w:eastAsia="宋体" w:hint="default"/>
          <w:sz w:val="11"/>
          <w:szCs w:val="11"/>
        </w:rPr>
      </w:pPr>
    </w:p>
    <w:tbl>
      <w:tblPr>
        <w:tblW w:w="0" w:type="auto"/>
        <w:jc w:val="left"/>
        <w:tblInd w:w="239" w:type="dxa"/>
        <w:tblLayout w:type="fixed"/>
        <w:tblCellMar>
          <w:top w:w="0" w:type="dxa"/>
          <w:left w:w="0" w:type="dxa"/>
          <w:bottom w:w="0" w:type="dxa"/>
          <w:right w:w="0" w:type="dxa"/>
        </w:tblCellMar>
        <w:tblLook w:val="01E0"/>
      </w:tblPr>
      <w:tblGrid>
        <w:gridCol w:w="1208"/>
        <w:gridCol w:w="1134"/>
        <w:gridCol w:w="1134"/>
        <w:gridCol w:w="714"/>
        <w:gridCol w:w="799"/>
        <w:gridCol w:w="668"/>
        <w:gridCol w:w="1476"/>
        <w:gridCol w:w="534"/>
        <w:gridCol w:w="1274"/>
      </w:tblGrid>
      <w:tr>
        <w:trPr>
          <w:trHeight w:val="295" w:hRule="exact"/>
        </w:trPr>
        <w:tc>
          <w:tcPr>
            <w:tcW w:w="1208"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0"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134"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4"/>
              <w:ind w:left="244" w:right="242" w:firstLine="104"/>
              <w:jc w:val="left"/>
              <w:rPr>
                <w:rFonts w:ascii="宋体" w:hAnsi="宋体" w:cs="宋体" w:eastAsia="宋体" w:hint="default"/>
                <w:sz w:val="21"/>
                <w:szCs w:val="21"/>
              </w:rPr>
            </w:pPr>
            <w:r>
              <w:rPr>
                <w:rFonts w:ascii="宋体" w:hAnsi="宋体" w:cs="宋体" w:eastAsia="宋体" w:hint="default"/>
                <w:sz w:val="21"/>
                <w:szCs w:val="21"/>
              </w:rPr>
              <w:t>借款 起始日</w:t>
            </w:r>
          </w:p>
        </w:tc>
        <w:tc>
          <w:tcPr>
            <w:tcW w:w="1134"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4"/>
              <w:ind w:left="244" w:right="242" w:firstLine="104"/>
              <w:jc w:val="left"/>
              <w:rPr>
                <w:rFonts w:ascii="宋体" w:hAnsi="宋体" w:cs="宋体" w:eastAsia="宋体" w:hint="default"/>
                <w:sz w:val="21"/>
                <w:szCs w:val="21"/>
              </w:rPr>
            </w:pPr>
            <w:r>
              <w:rPr>
                <w:rFonts w:ascii="宋体" w:hAnsi="宋体" w:cs="宋体" w:eastAsia="宋体" w:hint="default"/>
                <w:sz w:val="21"/>
                <w:szCs w:val="21"/>
              </w:rPr>
              <w:t>借款 终止日</w:t>
            </w:r>
          </w:p>
        </w:tc>
        <w:tc>
          <w:tcPr>
            <w:tcW w:w="714"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799" w:type="dxa"/>
            <w:vMerge w:val="restart"/>
            <w:tcBorders>
              <w:top w:val="single" w:sz="12"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30"/>
                <w:szCs w:val="30"/>
              </w:rPr>
            </w:pPr>
          </w:p>
          <w:p>
            <w:pPr>
              <w:pStyle w:val="TableParagraph"/>
              <w:spacing w:line="272" w:lineRule="exact"/>
              <w:ind w:left="100" w:right="-5" w:firstLine="81"/>
              <w:jc w:val="left"/>
              <w:rPr>
                <w:rFonts w:ascii="宋体" w:hAnsi="宋体" w:cs="宋体" w:eastAsia="宋体" w:hint="default"/>
                <w:sz w:val="21"/>
                <w:szCs w:val="21"/>
              </w:rPr>
            </w:pPr>
            <w:r>
              <w:rPr>
                <w:rFonts w:ascii="宋体" w:hAnsi="宋体" w:cs="宋体" w:eastAsia="宋体" w:hint="default"/>
                <w:sz w:val="21"/>
                <w:szCs w:val="21"/>
              </w:rPr>
              <w:t>年利 </w:t>
            </w:r>
            <w:r>
              <w:rPr>
                <w:rFonts w:ascii="宋体" w:hAnsi="宋体" w:cs="宋体" w:eastAsia="宋体" w:hint="default"/>
                <w:spacing w:val="-27"/>
                <w:sz w:val="21"/>
                <w:szCs w:val="21"/>
              </w:rPr>
              <w:t>率（</w:t>
            </w:r>
            <w:r>
              <w:rPr>
                <w:rFonts w:ascii="Century Gothic" w:hAnsi="Century Gothic" w:cs="Century Gothic" w:eastAsia="Century Gothic" w:hint="default"/>
                <w:spacing w:val="-27"/>
                <w:sz w:val="21"/>
                <w:szCs w:val="21"/>
              </w:rPr>
              <w:t>%</w:t>
            </w:r>
            <w:r>
              <w:rPr>
                <w:rFonts w:ascii="宋体" w:hAnsi="宋体" w:cs="宋体" w:eastAsia="宋体" w:hint="default"/>
                <w:spacing w:val="-27"/>
                <w:sz w:val="21"/>
                <w:szCs w:val="21"/>
              </w:rPr>
              <w:t>）</w:t>
            </w:r>
          </w:p>
        </w:tc>
        <w:tc>
          <w:tcPr>
            <w:tcW w:w="214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1808" w:type="dxa"/>
            <w:gridSpan w:val="2"/>
            <w:tcBorders>
              <w:top w:val="single" w:sz="12" w:space="0" w:color="000000"/>
              <w:left w:val="single" w:sz="6" w:space="0" w:color="000000"/>
              <w:bottom w:val="single" w:sz="6" w:space="0" w:color="000000"/>
              <w:right w:val="nil" w:sz="6" w:space="0" w:color="auto"/>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1108" w:hRule="exact"/>
        </w:trPr>
        <w:tc>
          <w:tcPr>
            <w:tcW w:w="1208" w:type="dxa"/>
            <w:vMerge/>
            <w:tcBorders>
              <w:left w:val="nil" w:sz="6" w:space="0" w:color="auto"/>
              <w:bottom w:val="single" w:sz="6" w:space="0" w:color="000000"/>
              <w:right w:val="single" w:sz="6" w:space="0" w:color="000000"/>
            </w:tcBorders>
          </w:tcPr>
          <w:p>
            <w:pPr/>
          </w:p>
        </w:tc>
        <w:tc>
          <w:tcPr>
            <w:tcW w:w="1134" w:type="dxa"/>
            <w:vMerge/>
            <w:tcBorders>
              <w:left w:val="single" w:sz="6" w:space="0" w:color="000000"/>
              <w:bottom w:val="single" w:sz="6" w:space="0" w:color="000000"/>
              <w:right w:val="single" w:sz="6" w:space="0" w:color="000000"/>
            </w:tcBorders>
          </w:tcPr>
          <w:p>
            <w:pPr/>
          </w:p>
        </w:tc>
        <w:tc>
          <w:tcPr>
            <w:tcW w:w="1134" w:type="dxa"/>
            <w:vMerge/>
            <w:tcBorders>
              <w:left w:val="single" w:sz="6" w:space="0" w:color="000000"/>
              <w:bottom w:val="single" w:sz="6" w:space="0" w:color="000000"/>
              <w:right w:val="single" w:sz="6" w:space="0" w:color="000000"/>
            </w:tcBorders>
          </w:tcPr>
          <w:p>
            <w:pPr/>
          </w:p>
        </w:tc>
        <w:tc>
          <w:tcPr>
            <w:tcW w:w="714" w:type="dxa"/>
            <w:vMerge/>
            <w:tcBorders>
              <w:left w:val="single" w:sz="6" w:space="0" w:color="000000"/>
              <w:bottom w:val="single" w:sz="6" w:space="0" w:color="000000"/>
              <w:right w:val="single" w:sz="6" w:space="0" w:color="000000"/>
            </w:tcBorders>
          </w:tcPr>
          <w:p>
            <w:pPr/>
          </w:p>
        </w:tc>
        <w:tc>
          <w:tcPr>
            <w:tcW w:w="799" w:type="dxa"/>
            <w:vMerge/>
            <w:tcBorders>
              <w:left w:val="single" w:sz="6" w:space="0" w:color="000000"/>
              <w:bottom w:val="single" w:sz="6" w:space="0" w:color="000000"/>
              <w:right w:val="single" w:sz="6" w:space="0" w:color="000000"/>
            </w:tcBorders>
          </w:tcPr>
          <w:p>
            <w:pPr/>
          </w:p>
        </w:tc>
        <w:tc>
          <w:tcPr>
            <w:tcW w:w="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6" w:right="115"/>
              <w:jc w:val="left"/>
              <w:rPr>
                <w:rFonts w:ascii="宋体" w:hAnsi="宋体" w:cs="宋体" w:eastAsia="宋体" w:hint="default"/>
                <w:sz w:val="21"/>
                <w:szCs w:val="21"/>
              </w:rPr>
            </w:pPr>
            <w:r>
              <w:rPr>
                <w:rFonts w:ascii="宋体" w:hAnsi="宋体" w:cs="宋体" w:eastAsia="宋体" w:hint="default"/>
                <w:sz w:val="21"/>
                <w:szCs w:val="21"/>
              </w:rPr>
              <w:t>外币 金额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0" w:right="414" w:hanging="106"/>
              <w:jc w:val="left"/>
              <w:rPr>
                <w:rFonts w:ascii="宋体" w:hAnsi="宋体" w:cs="宋体" w:eastAsia="宋体" w:hint="default"/>
                <w:sz w:val="21"/>
                <w:szCs w:val="21"/>
              </w:rPr>
            </w:pPr>
            <w:r>
              <w:rPr>
                <w:rFonts w:ascii="宋体" w:hAnsi="宋体" w:cs="宋体" w:eastAsia="宋体" w:hint="default"/>
                <w:sz w:val="21"/>
                <w:szCs w:val="21"/>
              </w:rPr>
              <w:t>人民币 金额</w:t>
            </w:r>
          </w:p>
        </w:tc>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4" w:right="0"/>
              <w:jc w:val="both"/>
              <w:rPr>
                <w:rFonts w:ascii="宋体" w:hAnsi="宋体" w:cs="宋体" w:eastAsia="宋体" w:hint="default"/>
                <w:sz w:val="21"/>
                <w:szCs w:val="21"/>
              </w:rPr>
            </w:pPr>
            <w:r>
              <w:rPr>
                <w:rFonts w:ascii="宋体" w:hAnsi="宋体" w:cs="宋体" w:eastAsia="宋体" w:hint="default"/>
                <w:sz w:val="21"/>
                <w:szCs w:val="21"/>
              </w:rPr>
              <w:t>外</w:t>
            </w:r>
          </w:p>
          <w:p>
            <w:pPr>
              <w:pStyle w:val="TableParagraph"/>
              <w:spacing w:line="237" w:lineRule="auto" w:before="2"/>
              <w:ind w:left="154" w:right="152"/>
              <w:jc w:val="both"/>
              <w:rPr>
                <w:rFonts w:ascii="宋体" w:hAnsi="宋体" w:cs="宋体" w:eastAsia="宋体" w:hint="default"/>
                <w:sz w:val="21"/>
                <w:szCs w:val="21"/>
              </w:rPr>
            </w:pPr>
            <w:r>
              <w:rPr>
                <w:rFonts w:ascii="宋体" w:hAnsi="宋体" w:cs="宋体" w:eastAsia="宋体" w:hint="default"/>
                <w:sz w:val="21"/>
                <w:szCs w:val="21"/>
              </w:rPr>
              <w:t>币 金 额</w:t>
            </w:r>
          </w:p>
        </w:tc>
        <w:tc>
          <w:tcPr>
            <w:tcW w:w="12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0" w:right="320" w:hanging="106"/>
              <w:jc w:val="left"/>
              <w:rPr>
                <w:rFonts w:ascii="宋体" w:hAnsi="宋体" w:cs="宋体" w:eastAsia="宋体" w:hint="default"/>
                <w:sz w:val="21"/>
                <w:szCs w:val="21"/>
              </w:rPr>
            </w:pPr>
            <w:r>
              <w:rPr>
                <w:rFonts w:ascii="宋体" w:hAnsi="宋体" w:cs="宋体" w:eastAsia="宋体" w:hint="default"/>
                <w:sz w:val="21"/>
                <w:szCs w:val="21"/>
              </w:rPr>
              <w:t>人民币 金额</w:t>
            </w:r>
          </w:p>
        </w:tc>
      </w:tr>
      <w:tr>
        <w:trPr>
          <w:trHeight w:val="716" w:hRule="exact"/>
        </w:trPr>
        <w:tc>
          <w:tcPr>
            <w:tcW w:w="120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5"/>
                <w:sz w:val="18"/>
                <w:szCs w:val="18"/>
              </w:rPr>
              <w:t>中国农业银</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22" w:right="80"/>
              <w:jc w:val="left"/>
              <w:rPr>
                <w:rFonts w:ascii="宋体" w:hAnsi="宋体" w:cs="宋体" w:eastAsia="宋体" w:hint="default"/>
                <w:sz w:val="18"/>
                <w:szCs w:val="18"/>
              </w:rPr>
            </w:pPr>
            <w:r>
              <w:rPr>
                <w:rFonts w:ascii="宋体" w:hAnsi="宋体" w:cs="宋体" w:eastAsia="宋体" w:hint="default"/>
                <w:spacing w:val="15"/>
                <w:sz w:val="18"/>
                <w:szCs w:val="18"/>
              </w:rPr>
              <w:t>行杭州西湖</w:t>
            </w:r>
            <w:r>
              <w:rPr>
                <w:rFonts w:ascii="宋体" w:hAnsi="宋体" w:cs="宋体" w:eastAsia="宋体" w:hint="default"/>
                <w:spacing w:val="-71"/>
                <w:sz w:val="18"/>
                <w:szCs w:val="18"/>
              </w:rPr>
              <w:t> </w:t>
            </w:r>
            <w:r>
              <w:rPr>
                <w:rFonts w:ascii="宋体" w:hAnsi="宋体" w:cs="宋体" w:eastAsia="宋体" w:hint="default"/>
                <w:sz w:val="18"/>
                <w:szCs w:val="18"/>
              </w:rPr>
              <w:t>支行</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2006-5-30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1" w:right="0"/>
              <w:jc w:val="left"/>
              <w:rPr>
                <w:rFonts w:ascii="Century Gothic" w:hAnsi="Century Gothic" w:cs="Century Gothic" w:eastAsia="Century Gothic" w:hint="default"/>
                <w:sz w:val="18"/>
                <w:szCs w:val="18"/>
              </w:rPr>
            </w:pPr>
            <w:r>
              <w:rPr>
                <w:rFonts w:ascii="Century Gothic"/>
                <w:sz w:val="18"/>
              </w:rPr>
              <w:t>2010-5-29</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59" w:right="168"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8" w:right="0"/>
              <w:jc w:val="left"/>
              <w:rPr>
                <w:rFonts w:ascii="Century Gothic" w:hAnsi="Century Gothic" w:cs="Century Gothic" w:eastAsia="Century Gothic" w:hint="default"/>
                <w:sz w:val="18"/>
                <w:szCs w:val="18"/>
              </w:rPr>
            </w:pPr>
            <w:r>
              <w:rPr>
                <w:rFonts w:ascii="Century Gothic"/>
                <w:sz w:val="18"/>
              </w:rPr>
              <w:t>6.12</w:t>
            </w:r>
          </w:p>
        </w:tc>
        <w:tc>
          <w:tcPr>
            <w:tcW w:w="66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1" w:right="0"/>
              <w:jc w:val="center"/>
              <w:rPr>
                <w:rFonts w:ascii="Century Gothic" w:hAnsi="Century Gothic" w:cs="Century Gothic" w:eastAsia="Century Gothic" w:hint="default"/>
                <w:sz w:val="18"/>
                <w:szCs w:val="18"/>
              </w:rPr>
            </w:pPr>
            <w:r>
              <w:rPr>
                <w:rFonts w:ascii="Century Gothic"/>
                <w:sz w:val="18"/>
              </w:rPr>
              <w:t>50,000,000.00</w:t>
            </w:r>
          </w:p>
        </w:tc>
        <w:tc>
          <w:tcPr>
            <w:tcW w:w="53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nil" w:sz="6" w:space="0" w:color="auto"/>
            </w:tcBorders>
          </w:tcPr>
          <w:p>
            <w:pPr/>
          </w:p>
        </w:tc>
      </w:tr>
      <w:tr>
        <w:trPr>
          <w:trHeight w:val="718" w:hRule="exact"/>
        </w:trPr>
        <w:tc>
          <w:tcPr>
            <w:tcW w:w="120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5"/>
                <w:sz w:val="18"/>
                <w:szCs w:val="18"/>
              </w:rPr>
              <w:t>中国农业银</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22" w:right="80"/>
              <w:jc w:val="left"/>
              <w:rPr>
                <w:rFonts w:ascii="宋体" w:hAnsi="宋体" w:cs="宋体" w:eastAsia="宋体" w:hint="default"/>
                <w:sz w:val="18"/>
                <w:szCs w:val="18"/>
              </w:rPr>
            </w:pPr>
            <w:r>
              <w:rPr>
                <w:rFonts w:ascii="宋体" w:hAnsi="宋体" w:cs="宋体" w:eastAsia="宋体" w:hint="default"/>
                <w:spacing w:val="15"/>
                <w:sz w:val="18"/>
                <w:szCs w:val="18"/>
              </w:rPr>
              <w:t>行杭州西湖</w:t>
            </w:r>
            <w:r>
              <w:rPr>
                <w:rFonts w:ascii="宋体" w:hAnsi="宋体" w:cs="宋体" w:eastAsia="宋体" w:hint="default"/>
                <w:spacing w:val="-71"/>
                <w:sz w:val="18"/>
                <w:szCs w:val="18"/>
              </w:rPr>
              <w:t> </w:t>
            </w:r>
            <w:r>
              <w:rPr>
                <w:rFonts w:ascii="宋体" w:hAnsi="宋体" w:cs="宋体" w:eastAsia="宋体" w:hint="default"/>
                <w:sz w:val="18"/>
                <w:szCs w:val="18"/>
              </w:rPr>
              <w:t>支行</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Century Gothic" w:hAnsi="Century Gothic" w:cs="Century Gothic" w:eastAsia="Century Gothic" w:hint="default"/>
                <w:sz w:val="18"/>
                <w:szCs w:val="18"/>
              </w:rPr>
            </w:pPr>
            <w:r>
              <w:rPr>
                <w:rFonts w:ascii="Century Gothic"/>
                <w:sz w:val="18"/>
              </w:rPr>
              <w:t>2006-10-25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Century Gothic" w:hAnsi="Century Gothic" w:cs="Century Gothic" w:eastAsia="Century Gothic" w:hint="default"/>
                <w:sz w:val="18"/>
                <w:szCs w:val="18"/>
              </w:rPr>
            </w:pPr>
            <w:r>
              <w:rPr>
                <w:rFonts w:ascii="Century Gothic"/>
                <w:sz w:val="18"/>
              </w:rPr>
              <w:t>2010-10-24</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59" w:right="168"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8" w:right="0"/>
              <w:jc w:val="left"/>
              <w:rPr>
                <w:rFonts w:ascii="Century Gothic" w:hAnsi="Century Gothic" w:cs="Century Gothic" w:eastAsia="Century Gothic" w:hint="default"/>
                <w:sz w:val="18"/>
                <w:szCs w:val="18"/>
              </w:rPr>
            </w:pPr>
            <w:r>
              <w:rPr>
                <w:rFonts w:ascii="Century Gothic"/>
                <w:sz w:val="18"/>
              </w:rPr>
              <w:t>6.12</w:t>
            </w:r>
          </w:p>
        </w:tc>
        <w:tc>
          <w:tcPr>
            <w:tcW w:w="66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1" w:right="0"/>
              <w:jc w:val="center"/>
              <w:rPr>
                <w:rFonts w:ascii="Century Gothic" w:hAnsi="Century Gothic" w:cs="Century Gothic" w:eastAsia="Century Gothic" w:hint="default"/>
                <w:sz w:val="18"/>
                <w:szCs w:val="18"/>
              </w:rPr>
            </w:pPr>
            <w:r>
              <w:rPr>
                <w:rFonts w:ascii="Century Gothic"/>
                <w:sz w:val="18"/>
              </w:rPr>
              <w:t>20,000,000.00</w:t>
            </w:r>
          </w:p>
        </w:tc>
        <w:tc>
          <w:tcPr>
            <w:tcW w:w="53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nil" w:sz="6" w:space="0" w:color="auto"/>
            </w:tcBorders>
          </w:tcPr>
          <w:p>
            <w:pPr/>
          </w:p>
        </w:tc>
      </w:tr>
      <w:tr>
        <w:trPr>
          <w:trHeight w:val="716" w:hRule="exact"/>
        </w:trPr>
        <w:tc>
          <w:tcPr>
            <w:tcW w:w="120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5"/>
                <w:sz w:val="18"/>
                <w:szCs w:val="18"/>
              </w:rPr>
              <w:t>中国农业银</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22" w:right="80"/>
              <w:jc w:val="left"/>
              <w:rPr>
                <w:rFonts w:ascii="宋体" w:hAnsi="宋体" w:cs="宋体" w:eastAsia="宋体" w:hint="default"/>
                <w:sz w:val="18"/>
                <w:szCs w:val="18"/>
              </w:rPr>
            </w:pPr>
            <w:r>
              <w:rPr>
                <w:rFonts w:ascii="宋体" w:hAnsi="宋体" w:cs="宋体" w:eastAsia="宋体" w:hint="default"/>
                <w:spacing w:val="15"/>
                <w:sz w:val="18"/>
                <w:szCs w:val="18"/>
              </w:rPr>
              <w:t>行杭州西湖</w:t>
            </w:r>
            <w:r>
              <w:rPr>
                <w:rFonts w:ascii="宋体" w:hAnsi="宋体" w:cs="宋体" w:eastAsia="宋体" w:hint="default"/>
                <w:spacing w:val="-71"/>
                <w:sz w:val="18"/>
                <w:szCs w:val="18"/>
              </w:rPr>
              <w:t> </w:t>
            </w:r>
            <w:r>
              <w:rPr>
                <w:rFonts w:ascii="宋体" w:hAnsi="宋体" w:cs="宋体" w:eastAsia="宋体" w:hint="default"/>
                <w:sz w:val="18"/>
                <w:szCs w:val="18"/>
              </w:rPr>
              <w:t>支行</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2007-2-26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Century Gothic" w:hAnsi="Century Gothic" w:cs="Century Gothic" w:eastAsia="Century Gothic" w:hint="default"/>
                <w:sz w:val="18"/>
                <w:szCs w:val="18"/>
              </w:rPr>
            </w:pPr>
            <w:r>
              <w:rPr>
                <w:rFonts w:ascii="Century Gothic"/>
                <w:sz w:val="18"/>
              </w:rPr>
              <w:t>2010-10-24</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59" w:right="168"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8" w:right="0"/>
              <w:jc w:val="left"/>
              <w:rPr>
                <w:rFonts w:ascii="Century Gothic" w:hAnsi="Century Gothic" w:cs="Century Gothic" w:eastAsia="Century Gothic" w:hint="default"/>
                <w:sz w:val="18"/>
                <w:szCs w:val="18"/>
              </w:rPr>
            </w:pPr>
            <w:r>
              <w:rPr>
                <w:rFonts w:ascii="Century Gothic"/>
                <w:sz w:val="18"/>
              </w:rPr>
              <w:t>6.12</w:t>
            </w:r>
          </w:p>
        </w:tc>
        <w:tc>
          <w:tcPr>
            <w:tcW w:w="66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1" w:right="0"/>
              <w:jc w:val="center"/>
              <w:rPr>
                <w:rFonts w:ascii="Century Gothic" w:hAnsi="Century Gothic" w:cs="Century Gothic" w:eastAsia="Century Gothic" w:hint="default"/>
                <w:sz w:val="18"/>
                <w:szCs w:val="18"/>
              </w:rPr>
            </w:pPr>
            <w:r>
              <w:rPr>
                <w:rFonts w:ascii="Century Gothic"/>
                <w:sz w:val="18"/>
              </w:rPr>
              <w:t>30,000,000.00</w:t>
            </w:r>
          </w:p>
        </w:tc>
        <w:tc>
          <w:tcPr>
            <w:tcW w:w="53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nil" w:sz="6" w:space="0" w:color="auto"/>
            </w:tcBorders>
          </w:tcPr>
          <w:p>
            <w:pPr/>
          </w:p>
        </w:tc>
      </w:tr>
      <w:tr>
        <w:trPr>
          <w:trHeight w:val="952" w:hRule="exact"/>
        </w:trPr>
        <w:tc>
          <w:tcPr>
            <w:tcW w:w="120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both"/>
              <w:rPr>
                <w:rFonts w:ascii="宋体" w:hAnsi="宋体" w:cs="宋体" w:eastAsia="宋体" w:hint="default"/>
                <w:sz w:val="18"/>
                <w:szCs w:val="18"/>
              </w:rPr>
            </w:pPr>
            <w:r>
              <w:rPr>
                <w:rFonts w:ascii="宋体" w:hAnsi="宋体" w:cs="宋体" w:eastAsia="宋体" w:hint="default"/>
                <w:spacing w:val="15"/>
                <w:sz w:val="18"/>
                <w:szCs w:val="18"/>
              </w:rPr>
              <w:t>呈贡县农村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22" w:right="80"/>
              <w:jc w:val="both"/>
              <w:rPr>
                <w:rFonts w:ascii="宋体" w:hAnsi="宋体" w:cs="宋体" w:eastAsia="宋体" w:hint="default"/>
                <w:sz w:val="18"/>
                <w:szCs w:val="18"/>
              </w:rPr>
            </w:pPr>
            <w:r>
              <w:rPr>
                <w:rFonts w:ascii="宋体" w:hAnsi="宋体" w:cs="宋体" w:eastAsia="宋体" w:hint="default"/>
                <w:spacing w:val="15"/>
                <w:sz w:val="18"/>
                <w:szCs w:val="18"/>
              </w:rPr>
              <w:t>信用合作联</w:t>
            </w:r>
            <w:r>
              <w:rPr>
                <w:rFonts w:ascii="宋体" w:hAnsi="宋体" w:cs="宋体" w:eastAsia="宋体" w:hint="default"/>
                <w:spacing w:val="-71"/>
                <w:sz w:val="18"/>
                <w:szCs w:val="18"/>
              </w:rPr>
              <w:t> </w:t>
            </w:r>
            <w:r>
              <w:rPr>
                <w:rFonts w:ascii="宋体" w:hAnsi="宋体" w:cs="宋体" w:eastAsia="宋体" w:hint="default"/>
                <w:spacing w:val="15"/>
                <w:sz w:val="18"/>
                <w:szCs w:val="18"/>
              </w:rPr>
              <w:t>社龙城信用</w:t>
            </w:r>
            <w:r>
              <w:rPr>
                <w:rFonts w:ascii="宋体" w:hAnsi="宋体" w:cs="宋体" w:eastAsia="宋体" w:hint="default"/>
                <w:spacing w:val="-71"/>
                <w:sz w:val="18"/>
                <w:szCs w:val="18"/>
              </w:rPr>
              <w:t> </w:t>
            </w:r>
            <w:r>
              <w:rPr>
                <w:rFonts w:ascii="宋体" w:hAnsi="宋体" w:cs="宋体" w:eastAsia="宋体" w:hint="default"/>
                <w:sz w:val="18"/>
                <w:szCs w:val="18"/>
              </w:rPr>
              <w:t>社</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Century Gothic" w:hAnsi="Century Gothic" w:cs="Century Gothic" w:eastAsia="Century Gothic" w:hint="default"/>
                <w:sz w:val="18"/>
                <w:szCs w:val="18"/>
              </w:rPr>
            </w:pPr>
            <w:r>
              <w:rPr>
                <w:rFonts w:ascii="Century Gothic"/>
                <w:sz w:val="18"/>
              </w:rPr>
              <w:t>2008-8-18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51" w:right="0"/>
              <w:jc w:val="left"/>
              <w:rPr>
                <w:rFonts w:ascii="Century Gothic" w:hAnsi="Century Gothic" w:cs="Century Gothic" w:eastAsia="Century Gothic" w:hint="default"/>
                <w:sz w:val="18"/>
                <w:szCs w:val="18"/>
              </w:rPr>
            </w:pPr>
            <w:r>
              <w:rPr>
                <w:rFonts w:ascii="Century Gothic"/>
                <w:sz w:val="18"/>
              </w:rPr>
              <w:t>2010-8-17</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9" w:right="168"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8" w:right="0"/>
              <w:jc w:val="left"/>
              <w:rPr>
                <w:rFonts w:ascii="Century Gothic" w:hAnsi="Century Gothic" w:cs="Century Gothic" w:eastAsia="Century Gothic" w:hint="default"/>
                <w:sz w:val="18"/>
                <w:szCs w:val="18"/>
              </w:rPr>
            </w:pPr>
            <w:r>
              <w:rPr>
                <w:rFonts w:ascii="Century Gothic"/>
                <w:sz w:val="18"/>
              </w:rPr>
              <w:t>9.48</w:t>
            </w:r>
          </w:p>
        </w:tc>
        <w:tc>
          <w:tcPr>
            <w:tcW w:w="66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11" w:right="0"/>
              <w:jc w:val="center"/>
              <w:rPr>
                <w:rFonts w:ascii="Century Gothic" w:hAnsi="Century Gothic" w:cs="Century Gothic" w:eastAsia="Century Gothic" w:hint="default"/>
                <w:sz w:val="18"/>
                <w:szCs w:val="18"/>
              </w:rPr>
            </w:pPr>
            <w:r>
              <w:rPr>
                <w:rFonts w:ascii="Century Gothic"/>
                <w:sz w:val="18"/>
              </w:rPr>
              <w:t>20,000,000.00</w:t>
            </w:r>
          </w:p>
        </w:tc>
        <w:tc>
          <w:tcPr>
            <w:tcW w:w="53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nil" w:sz="6" w:space="0" w:color="auto"/>
            </w:tcBorders>
          </w:tcPr>
          <w:p>
            <w:pPr/>
          </w:p>
        </w:tc>
      </w:tr>
      <w:tr>
        <w:trPr>
          <w:trHeight w:val="716" w:hRule="exact"/>
        </w:trPr>
        <w:tc>
          <w:tcPr>
            <w:tcW w:w="120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5"/>
                <w:sz w:val="18"/>
                <w:szCs w:val="18"/>
              </w:rPr>
              <w:t>洪雅县农村</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122" w:right="80"/>
              <w:jc w:val="left"/>
              <w:rPr>
                <w:rFonts w:ascii="宋体" w:hAnsi="宋体" w:cs="宋体" w:eastAsia="宋体" w:hint="default"/>
                <w:sz w:val="18"/>
                <w:szCs w:val="18"/>
              </w:rPr>
            </w:pPr>
            <w:r>
              <w:rPr>
                <w:rFonts w:ascii="宋体" w:hAnsi="宋体" w:cs="宋体" w:eastAsia="宋体" w:hint="default"/>
                <w:spacing w:val="15"/>
                <w:sz w:val="18"/>
                <w:szCs w:val="18"/>
              </w:rPr>
              <w:t>信用合作联</w:t>
            </w:r>
            <w:r>
              <w:rPr>
                <w:rFonts w:ascii="宋体" w:hAnsi="宋体" w:cs="宋体" w:eastAsia="宋体" w:hint="default"/>
                <w:spacing w:val="-71"/>
                <w:sz w:val="18"/>
                <w:szCs w:val="18"/>
              </w:rPr>
              <w:t> </w:t>
            </w:r>
            <w:r>
              <w:rPr>
                <w:rFonts w:ascii="宋体" w:hAnsi="宋体" w:cs="宋体" w:eastAsia="宋体" w:hint="default"/>
                <w:sz w:val="18"/>
                <w:szCs w:val="18"/>
              </w:rPr>
              <w:t>社</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2006-5-29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1" w:right="0"/>
              <w:jc w:val="left"/>
              <w:rPr>
                <w:rFonts w:ascii="Century Gothic" w:hAnsi="Century Gothic" w:cs="Century Gothic" w:eastAsia="Century Gothic" w:hint="default"/>
                <w:sz w:val="18"/>
                <w:szCs w:val="18"/>
              </w:rPr>
            </w:pPr>
            <w:r>
              <w:rPr>
                <w:rFonts w:ascii="Century Gothic"/>
                <w:sz w:val="18"/>
              </w:rPr>
              <w:t>2010-5-29</w:t>
            </w:r>
          </w:p>
        </w:tc>
        <w:tc>
          <w:tcPr>
            <w:tcW w:w="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59" w:right="168"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7" w:right="0"/>
              <w:jc w:val="left"/>
              <w:rPr>
                <w:rFonts w:ascii="Century Gothic" w:hAnsi="Century Gothic" w:cs="Century Gothic" w:eastAsia="Century Gothic" w:hint="default"/>
                <w:sz w:val="18"/>
                <w:szCs w:val="18"/>
              </w:rPr>
            </w:pPr>
            <w:r>
              <w:rPr>
                <w:rFonts w:ascii="Century Gothic"/>
                <w:sz w:val="18"/>
              </w:rPr>
              <w:t>11.52</w:t>
            </w:r>
          </w:p>
        </w:tc>
        <w:tc>
          <w:tcPr>
            <w:tcW w:w="66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4" w:right="0"/>
              <w:jc w:val="center"/>
              <w:rPr>
                <w:rFonts w:ascii="Century Gothic" w:hAnsi="Century Gothic" w:cs="Century Gothic" w:eastAsia="Century Gothic" w:hint="default"/>
                <w:sz w:val="18"/>
                <w:szCs w:val="18"/>
              </w:rPr>
            </w:pPr>
            <w:r>
              <w:rPr>
                <w:rFonts w:ascii="Century Gothic"/>
                <w:sz w:val="18"/>
              </w:rPr>
              <w:t>2,000,000.00</w:t>
            </w:r>
          </w:p>
        </w:tc>
        <w:tc>
          <w:tcPr>
            <w:tcW w:w="534"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 w:right="0"/>
              <w:jc w:val="center"/>
              <w:rPr>
                <w:rFonts w:ascii="Century Gothic" w:hAnsi="Century Gothic" w:cs="Century Gothic" w:eastAsia="Century Gothic" w:hint="default"/>
                <w:sz w:val="18"/>
                <w:szCs w:val="18"/>
              </w:rPr>
            </w:pPr>
            <w:r>
              <w:rPr>
                <w:rFonts w:ascii="Century Gothic"/>
                <w:sz w:val="18"/>
              </w:rPr>
              <w:t>2,000,000.00</w:t>
            </w:r>
          </w:p>
        </w:tc>
      </w:tr>
      <w:tr>
        <w:trPr>
          <w:trHeight w:val="335" w:hRule="exact"/>
        </w:trPr>
        <w:tc>
          <w:tcPr>
            <w:tcW w:w="1208" w:type="dxa"/>
            <w:tcBorders>
              <w:top w:val="single" w:sz="6" w:space="0" w:color="000000"/>
              <w:left w:val="nil" w:sz="6" w:space="0" w:color="auto"/>
              <w:bottom w:val="single" w:sz="12" w:space="0" w:color="000000"/>
              <w:right w:val="single" w:sz="6" w:space="0" w:color="000000"/>
            </w:tcBorders>
          </w:tcPr>
          <w:p>
            <w:pPr>
              <w:pStyle w:val="TableParagraph"/>
              <w:spacing w:line="207" w:lineRule="exact"/>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6" w:space="0" w:color="000000"/>
              <w:left w:val="single" w:sz="6"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
        </w:tc>
        <w:tc>
          <w:tcPr>
            <w:tcW w:w="714" w:type="dxa"/>
            <w:tcBorders>
              <w:top w:val="single" w:sz="6" w:space="0" w:color="000000"/>
              <w:left w:val="single" w:sz="6" w:space="0" w:color="000000"/>
              <w:bottom w:val="single" w:sz="12" w:space="0" w:color="000000"/>
              <w:right w:val="single" w:sz="6" w:space="0" w:color="000000"/>
            </w:tcBorders>
          </w:tcPr>
          <w:p>
            <w:pPr/>
          </w:p>
        </w:tc>
        <w:tc>
          <w:tcPr>
            <w:tcW w:w="799" w:type="dxa"/>
            <w:tcBorders>
              <w:top w:val="single" w:sz="6" w:space="0" w:color="000000"/>
              <w:left w:val="single" w:sz="6" w:space="0" w:color="000000"/>
              <w:bottom w:val="single" w:sz="12" w:space="0" w:color="000000"/>
              <w:right w:val="single" w:sz="6" w:space="0" w:color="000000"/>
            </w:tcBorders>
          </w:tcPr>
          <w:p>
            <w:pPr/>
          </w:p>
        </w:tc>
        <w:tc>
          <w:tcPr>
            <w:tcW w:w="668"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0"/>
              <w:jc w:val="center"/>
              <w:rPr>
                <w:rFonts w:ascii="Century Gothic" w:hAnsi="Century Gothic" w:cs="Century Gothic" w:eastAsia="Century Gothic" w:hint="default"/>
                <w:sz w:val="18"/>
                <w:szCs w:val="18"/>
              </w:rPr>
            </w:pPr>
            <w:r>
              <w:rPr>
                <w:rFonts w:ascii="Century Gothic"/>
                <w:b/>
                <w:w w:val="99"/>
                <w:sz w:val="18"/>
              </w:rPr>
            </w:r>
            <w:r>
              <w:rPr>
                <w:rFonts w:ascii="Century Gothic"/>
                <w:b/>
                <w:sz w:val="18"/>
                <w:u w:val="single" w:color="000000"/>
              </w:rPr>
              <w:t>122,000,000.00</w:t>
            </w:r>
            <w:r>
              <w:rPr>
                <w:rFonts w:ascii="Century Gothic"/>
                <w:b/>
                <w:sz w:val="18"/>
              </w:rPr>
            </w:r>
            <w:r>
              <w:rPr>
                <w:rFonts w:ascii="Century Gothic"/>
                <w:sz w:val="18"/>
              </w:rPr>
            </w:r>
          </w:p>
        </w:tc>
        <w:tc>
          <w:tcPr>
            <w:tcW w:w="534" w:type="dxa"/>
            <w:tcBorders>
              <w:top w:val="single" w:sz="6" w:space="0" w:color="000000"/>
              <w:left w:val="single" w:sz="6" w:space="0" w:color="000000"/>
              <w:bottom w:val="single" w:sz="12" w:space="0" w:color="000000"/>
              <w:right w:val="single" w:sz="6" w:space="0" w:color="000000"/>
            </w:tcBorders>
          </w:tcPr>
          <w:p>
            <w:pPr/>
          </w:p>
        </w:tc>
        <w:tc>
          <w:tcPr>
            <w:tcW w:w="12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5"/>
              <w:jc w:val="center"/>
              <w:rPr>
                <w:rFonts w:ascii="Century Gothic" w:hAnsi="Century Gothic" w:cs="Century Gothic" w:eastAsia="Century Gothic" w:hint="default"/>
                <w:sz w:val="18"/>
                <w:szCs w:val="18"/>
              </w:rPr>
            </w:pPr>
            <w:r>
              <w:rPr>
                <w:rFonts w:ascii="Century Gothic"/>
                <w:b/>
                <w:w w:val="99"/>
                <w:sz w:val="18"/>
              </w:rPr>
            </w:r>
            <w:r>
              <w:rPr>
                <w:rFonts w:ascii="Century Gothic"/>
                <w:b/>
                <w:sz w:val="18"/>
                <w:u w:val="single" w:color="000000"/>
              </w:rPr>
              <w:t>2,000,000.00</w:t>
            </w:r>
            <w:r>
              <w:rPr>
                <w:rFonts w:ascii="Century Gothic"/>
                <w:b/>
                <w:sz w:val="18"/>
              </w:rPr>
            </w:r>
            <w:r>
              <w:rPr>
                <w:rFonts w:ascii="Century Gothic"/>
                <w:sz w:val="18"/>
              </w:rPr>
            </w:r>
          </w:p>
        </w:tc>
      </w:tr>
    </w:tbl>
    <w:p>
      <w:pPr>
        <w:pStyle w:val="Heading4"/>
        <w:tabs>
          <w:tab w:pos="1838" w:val="left" w:leader="none"/>
        </w:tabs>
        <w:spacing w:line="240" w:lineRule="auto" w:before="86"/>
        <w:ind w:right="152"/>
        <w:jc w:val="left"/>
        <w:rPr>
          <w:rFonts w:ascii="宋体" w:hAnsi="宋体" w:cs="宋体" w:eastAsia="宋体" w:hint="default"/>
          <w:b w:val="0"/>
          <w:bCs w:val="0"/>
        </w:rPr>
      </w:pPr>
      <w:r>
        <w:rPr>
          <w:rFonts w:ascii="宋体" w:hAnsi="宋体" w:cs="宋体" w:eastAsia="宋体" w:hint="default"/>
          <w:w w:val="95"/>
        </w:rPr>
        <w:t>（二十七）</w:t>
        <w:tab/>
      </w:r>
      <w:r>
        <w:rPr>
          <w:rFonts w:ascii="宋体" w:hAnsi="宋体" w:cs="宋体" w:eastAsia="宋体" w:hint="default"/>
        </w:rPr>
        <w:t>长期借款</w:t>
      </w:r>
      <w:r>
        <w:rPr>
          <w:rFonts w:ascii="宋体" w:hAnsi="宋体" w:cs="宋体" w:eastAsia="宋体" w:hint="default"/>
          <w:b w:val="0"/>
          <w:bCs w:val="0"/>
        </w:rPr>
      </w:r>
    </w:p>
    <w:p>
      <w:pPr>
        <w:pStyle w:val="BodyText"/>
        <w:spacing w:line="240" w:lineRule="auto" w:before="134"/>
        <w:ind w:left="558" w:right="152"/>
        <w:jc w:val="left"/>
      </w:pPr>
      <w:r>
        <w:rPr/>
        <w:t>（</w:t>
      </w:r>
      <w:r>
        <w:rPr>
          <w:rFonts w:ascii="Century Gothic" w:hAnsi="Century Gothic" w:cs="Century Gothic" w:eastAsia="Century Gothic" w:hint="default"/>
        </w:rPr>
        <w:t>1</w:t>
      </w:r>
      <w:r>
        <w:rPr/>
        <w:t>）长期借款明细列示如下：</w:t>
      </w:r>
    </w:p>
    <w:p>
      <w:pPr>
        <w:spacing w:line="240" w:lineRule="auto" w:before="8"/>
        <w:rPr>
          <w:rFonts w:ascii="宋体" w:hAnsi="宋体" w:cs="宋体" w:eastAsia="宋体" w:hint="default"/>
          <w:sz w:val="11"/>
          <w:szCs w:val="11"/>
        </w:rPr>
      </w:pPr>
    </w:p>
    <w:tbl>
      <w:tblPr>
        <w:tblW w:w="0" w:type="auto"/>
        <w:jc w:val="left"/>
        <w:tblInd w:w="269" w:type="dxa"/>
        <w:tblLayout w:type="fixed"/>
        <w:tblCellMar>
          <w:top w:w="0" w:type="dxa"/>
          <w:left w:w="0" w:type="dxa"/>
          <w:bottom w:w="0" w:type="dxa"/>
          <w:right w:w="0" w:type="dxa"/>
        </w:tblCellMar>
        <w:tblLook w:val="01E0"/>
      </w:tblPr>
      <w:tblGrid>
        <w:gridCol w:w="2836"/>
        <w:gridCol w:w="3016"/>
        <w:gridCol w:w="3030"/>
      </w:tblGrid>
      <w:tr>
        <w:trPr>
          <w:trHeight w:val="334" w:hRule="exact"/>
        </w:trPr>
        <w:tc>
          <w:tcPr>
            <w:tcW w:w="2836"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借款类别</w:t>
            </w:r>
          </w:p>
        </w:tc>
        <w:tc>
          <w:tcPr>
            <w:tcW w:w="3016"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869"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030"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left="87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28" w:hRule="exact"/>
        </w:trPr>
        <w:tc>
          <w:tcPr>
            <w:tcW w:w="2836"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226"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1"/>
              <w:jc w:val="right"/>
              <w:rPr>
                <w:rFonts w:ascii="Century Gothic" w:hAnsi="Century Gothic" w:cs="Century Gothic" w:eastAsia="Century Gothic" w:hint="default"/>
                <w:sz w:val="21"/>
                <w:szCs w:val="21"/>
              </w:rPr>
            </w:pPr>
            <w:r>
              <w:rPr>
                <w:rFonts w:ascii="Century Gothic"/>
                <w:spacing w:val="-1"/>
                <w:sz w:val="21"/>
              </w:rPr>
              <w:t>113,561,711.15</w:t>
            </w:r>
            <w:r>
              <w:rPr>
                <w:rFonts w:ascii="Century Gothic"/>
                <w:sz w:val="21"/>
              </w:rPr>
            </w:r>
          </w:p>
        </w:tc>
        <w:tc>
          <w:tcPr>
            <w:tcW w:w="30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197,102,317.43</w:t>
            </w:r>
            <w:r>
              <w:rPr>
                <w:rFonts w:ascii="Century Gothic"/>
                <w:sz w:val="21"/>
              </w:rPr>
            </w:r>
          </w:p>
        </w:tc>
      </w:tr>
      <w:tr>
        <w:trPr>
          <w:trHeight w:val="326" w:hRule="exact"/>
        </w:trPr>
        <w:tc>
          <w:tcPr>
            <w:tcW w:w="2836"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226"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16" w:type="dxa"/>
            <w:tcBorders>
              <w:top w:val="single" w:sz="6" w:space="0" w:color="000000"/>
              <w:left w:val="single" w:sz="6" w:space="0" w:color="000000"/>
              <w:bottom w:val="single" w:sz="6" w:space="0" w:color="000000"/>
              <w:right w:val="single" w:sz="6" w:space="0" w:color="000000"/>
            </w:tcBorders>
          </w:tcPr>
          <w:p>
            <w:pPr/>
          </w:p>
        </w:tc>
        <w:tc>
          <w:tcPr>
            <w:tcW w:w="303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100,000,000.00</w:t>
            </w:r>
            <w:r>
              <w:rPr>
                <w:rFonts w:ascii="Century Gothic"/>
                <w:sz w:val="21"/>
              </w:rPr>
            </w:r>
          </w:p>
        </w:tc>
      </w:tr>
      <w:tr>
        <w:trPr>
          <w:trHeight w:val="335" w:hRule="exact"/>
        </w:trPr>
        <w:tc>
          <w:tcPr>
            <w:tcW w:w="2836" w:type="dxa"/>
            <w:tcBorders>
              <w:top w:val="single" w:sz="6" w:space="0" w:color="000000"/>
              <w:left w:val="nil" w:sz="6" w:space="0" w:color="auto"/>
              <w:bottom w:val="single" w:sz="12" w:space="0" w:color="000000"/>
              <w:right w:val="single" w:sz="6" w:space="0" w:color="000000"/>
            </w:tcBorders>
          </w:tcPr>
          <w:p>
            <w:pPr>
              <w:pStyle w:val="TableParagraph"/>
              <w:spacing w:line="261"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113,561,711.15</w:t>
            </w:r>
            <w:r>
              <w:rPr>
                <w:rFonts w:ascii="Century Gothic"/>
                <w:b/>
                <w:w w:val="95"/>
                <w:sz w:val="21"/>
              </w:rPr>
            </w:r>
            <w:r>
              <w:rPr>
                <w:rFonts w:ascii="Century Gothic"/>
                <w:sz w:val="21"/>
              </w:rPr>
            </w:r>
          </w:p>
        </w:tc>
        <w:tc>
          <w:tcPr>
            <w:tcW w:w="30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6"/>
              <w:ind w:right="104"/>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297,102,317.43</w:t>
            </w:r>
            <w:r>
              <w:rPr>
                <w:rFonts w:ascii="Century Gothic"/>
                <w:b/>
                <w:w w:val="95"/>
                <w:sz w:val="21"/>
              </w:rPr>
            </w:r>
            <w:r>
              <w:rPr>
                <w:rFonts w:ascii="Century Gothic"/>
                <w:sz w:val="21"/>
              </w:rPr>
            </w:r>
          </w:p>
        </w:tc>
      </w:tr>
    </w:tbl>
    <w:p>
      <w:pPr>
        <w:pStyle w:val="BodyText"/>
        <w:spacing w:line="240" w:lineRule="auto" w:before="86"/>
        <w:ind w:left="558" w:right="152"/>
        <w:jc w:val="left"/>
      </w:pPr>
      <w:r>
        <w:rPr/>
        <w:t>注：公司及其子公司以账面价值</w:t>
      </w:r>
      <w:r>
        <w:rPr>
          <w:spacing w:val="-56"/>
        </w:rPr>
        <w:t> </w:t>
      </w:r>
      <w:r>
        <w:rPr>
          <w:rFonts w:ascii="Century Gothic" w:hAnsi="Century Gothic" w:cs="Century Gothic" w:eastAsia="Century Gothic" w:hint="default"/>
        </w:rPr>
        <w:t>594.27</w:t>
      </w:r>
      <w:r>
        <w:rPr>
          <w:rFonts w:ascii="Century Gothic" w:hAnsi="Century Gothic" w:cs="Century Gothic" w:eastAsia="Century Gothic" w:hint="default"/>
          <w:spacing w:val="-9"/>
        </w:rPr>
        <w:t> </w:t>
      </w:r>
      <w:r>
        <w:rPr/>
        <w:t>万元的在建工程，账面价值</w:t>
      </w:r>
      <w:r>
        <w:rPr>
          <w:spacing w:val="-56"/>
        </w:rPr>
        <w:t> </w:t>
      </w:r>
      <w:r>
        <w:rPr>
          <w:rFonts w:ascii="Century Gothic" w:hAnsi="Century Gothic" w:cs="Century Gothic" w:eastAsia="Century Gothic" w:hint="default"/>
        </w:rPr>
        <w:t>30,375.28</w:t>
      </w:r>
      <w:r>
        <w:rPr>
          <w:rFonts w:ascii="Century Gothic" w:hAnsi="Century Gothic" w:cs="Century Gothic" w:eastAsia="Century Gothic" w:hint="default"/>
          <w:spacing w:val="-9"/>
        </w:rPr>
        <w:t> </w:t>
      </w:r>
      <w:r>
        <w:rPr/>
        <w:t>万元的房屋建筑</w:t>
      </w:r>
    </w:p>
    <w:p>
      <w:pPr>
        <w:pStyle w:val="BodyText"/>
        <w:spacing w:line="240" w:lineRule="auto"/>
        <w:ind w:right="152"/>
        <w:jc w:val="left"/>
      </w:pPr>
      <w:r>
        <w:rPr/>
        <w:t>物连同账面价值</w:t>
      </w:r>
      <w:r>
        <w:rPr>
          <w:spacing w:val="-57"/>
        </w:rPr>
        <w:t> </w:t>
      </w:r>
      <w:r>
        <w:rPr>
          <w:rFonts w:ascii="Century Gothic" w:hAnsi="Century Gothic" w:cs="Century Gothic" w:eastAsia="Century Gothic" w:hint="default"/>
        </w:rPr>
        <w:t>13,865.23</w:t>
      </w:r>
      <w:r>
        <w:rPr>
          <w:rFonts w:ascii="Century Gothic" w:hAnsi="Century Gothic" w:cs="Century Gothic" w:eastAsia="Century Gothic" w:hint="default"/>
          <w:spacing w:val="-10"/>
        </w:rPr>
        <w:t> </w:t>
      </w:r>
      <w:r>
        <w:rPr/>
        <w:t>万元的土地使用权为</w:t>
      </w:r>
      <w:r>
        <w:rPr>
          <w:spacing w:val="-57"/>
        </w:rPr>
        <w:t> </w:t>
      </w:r>
      <w:r>
        <w:rPr>
          <w:rFonts w:ascii="Century Gothic" w:hAnsi="Century Gothic" w:cs="Century Gothic" w:eastAsia="Century Gothic" w:hint="default"/>
        </w:rPr>
        <w:t>11,356.17</w:t>
      </w:r>
      <w:r>
        <w:rPr>
          <w:rFonts w:ascii="Century Gothic" w:hAnsi="Century Gothic" w:cs="Century Gothic" w:eastAsia="Century Gothic" w:hint="default"/>
          <w:spacing w:val="-10"/>
        </w:rPr>
        <w:t> </w:t>
      </w:r>
      <w:r>
        <w:rPr/>
        <w:t>万元银行借款提供了抵押担保。</w:t>
      </w:r>
    </w:p>
    <w:p>
      <w:pPr>
        <w:pStyle w:val="BodyText"/>
        <w:spacing w:line="240" w:lineRule="auto"/>
        <w:ind w:left="558" w:right="152"/>
        <w:jc w:val="left"/>
      </w:pPr>
      <w:r>
        <w:rPr/>
        <w:t>（</w:t>
      </w:r>
      <w:r>
        <w:rPr>
          <w:rFonts w:ascii="Century Gothic" w:hAnsi="Century Gothic" w:cs="Century Gothic" w:eastAsia="Century Gothic" w:hint="default"/>
        </w:rPr>
        <w:t>2</w:t>
      </w:r>
      <w:r>
        <w:rPr/>
        <w:t>）长期借款按贷款单位列示如下：</w:t>
      </w:r>
    </w:p>
    <w:p>
      <w:pPr>
        <w:spacing w:line="240" w:lineRule="auto" w:before="8"/>
        <w:rPr>
          <w:rFonts w:ascii="宋体" w:hAnsi="宋体" w:cs="宋体" w:eastAsia="宋体" w:hint="default"/>
          <w:sz w:val="11"/>
          <w:szCs w:val="11"/>
        </w:rPr>
      </w:pPr>
    </w:p>
    <w:tbl>
      <w:tblPr>
        <w:tblW w:w="0" w:type="auto"/>
        <w:jc w:val="left"/>
        <w:tblInd w:w="394" w:type="dxa"/>
        <w:tblLayout w:type="fixed"/>
        <w:tblCellMar>
          <w:top w:w="0" w:type="dxa"/>
          <w:left w:w="0" w:type="dxa"/>
          <w:bottom w:w="0" w:type="dxa"/>
          <w:right w:w="0" w:type="dxa"/>
        </w:tblCellMar>
        <w:tblLook w:val="01E0"/>
      </w:tblPr>
      <w:tblGrid>
        <w:gridCol w:w="1309"/>
        <w:gridCol w:w="1033"/>
        <w:gridCol w:w="1034"/>
        <w:gridCol w:w="694"/>
        <w:gridCol w:w="715"/>
        <w:gridCol w:w="409"/>
        <w:gridCol w:w="1476"/>
        <w:gridCol w:w="485"/>
        <w:gridCol w:w="1476"/>
      </w:tblGrid>
      <w:tr>
        <w:trPr>
          <w:trHeight w:val="292" w:hRule="exact"/>
        </w:trPr>
        <w:tc>
          <w:tcPr>
            <w:tcW w:w="130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33"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9" w:right="236" w:firstLine="90"/>
              <w:jc w:val="left"/>
              <w:rPr>
                <w:rFonts w:ascii="宋体" w:hAnsi="宋体" w:cs="宋体" w:eastAsia="宋体" w:hint="default"/>
                <w:sz w:val="18"/>
                <w:szCs w:val="18"/>
              </w:rPr>
            </w:pPr>
            <w:r>
              <w:rPr>
                <w:rFonts w:ascii="宋体" w:hAnsi="宋体" w:cs="宋体" w:eastAsia="宋体" w:hint="default"/>
                <w:sz w:val="18"/>
                <w:szCs w:val="18"/>
              </w:rPr>
              <w:t>借款 起始日</w:t>
            </w:r>
          </w:p>
        </w:tc>
        <w:tc>
          <w:tcPr>
            <w:tcW w:w="1034"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39" w:right="238" w:firstLine="90"/>
              <w:jc w:val="left"/>
              <w:rPr>
                <w:rFonts w:ascii="宋体" w:hAnsi="宋体" w:cs="宋体" w:eastAsia="宋体" w:hint="default"/>
                <w:sz w:val="18"/>
                <w:szCs w:val="18"/>
              </w:rPr>
            </w:pPr>
            <w:r>
              <w:rPr>
                <w:rFonts w:ascii="宋体" w:hAnsi="宋体" w:cs="宋体" w:eastAsia="宋体" w:hint="default"/>
                <w:sz w:val="18"/>
                <w:szCs w:val="18"/>
              </w:rPr>
              <w:t>借款 终止日</w:t>
            </w:r>
          </w:p>
        </w:tc>
        <w:tc>
          <w:tcPr>
            <w:tcW w:w="694"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715" w:type="dxa"/>
            <w:vMerge w:val="restart"/>
            <w:tcBorders>
              <w:top w:val="single" w:sz="12"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0" w:right="8" w:firstLine="69"/>
              <w:jc w:val="left"/>
              <w:rPr>
                <w:rFonts w:ascii="宋体" w:hAnsi="宋体" w:cs="宋体" w:eastAsia="宋体" w:hint="default"/>
                <w:sz w:val="18"/>
                <w:szCs w:val="18"/>
              </w:rPr>
            </w:pPr>
            <w:r>
              <w:rPr>
                <w:rFonts w:ascii="宋体" w:hAnsi="宋体" w:cs="宋体" w:eastAsia="宋体" w:hint="default"/>
                <w:sz w:val="18"/>
                <w:szCs w:val="18"/>
              </w:rPr>
              <w:t>年利 </w:t>
            </w:r>
            <w:r>
              <w:rPr>
                <w:rFonts w:ascii="宋体" w:hAnsi="宋体" w:cs="宋体" w:eastAsia="宋体" w:hint="default"/>
                <w:spacing w:val="-23"/>
                <w:sz w:val="18"/>
                <w:szCs w:val="18"/>
              </w:rPr>
              <w:t>率（</w:t>
            </w:r>
            <w:r>
              <w:rPr>
                <w:rFonts w:ascii="Century Gothic" w:hAnsi="Century Gothic" w:cs="Century Gothic" w:eastAsia="Century Gothic" w:hint="default"/>
                <w:spacing w:val="-23"/>
                <w:sz w:val="18"/>
                <w:szCs w:val="18"/>
              </w:rPr>
              <w:t>%</w:t>
            </w:r>
            <w:r>
              <w:rPr>
                <w:rFonts w:ascii="宋体" w:hAnsi="宋体" w:cs="宋体" w:eastAsia="宋体" w:hint="default"/>
                <w:spacing w:val="-23"/>
                <w:sz w:val="18"/>
                <w:szCs w:val="18"/>
              </w:rPr>
              <w:t>）</w:t>
            </w:r>
          </w:p>
        </w:tc>
        <w:tc>
          <w:tcPr>
            <w:tcW w:w="188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23" w:lineRule="exact"/>
              <w:ind w:left="39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1961" w:type="dxa"/>
            <w:gridSpan w:val="2"/>
            <w:tcBorders>
              <w:top w:val="single" w:sz="12" w:space="0" w:color="000000"/>
              <w:left w:val="single" w:sz="6" w:space="0" w:color="000000"/>
              <w:bottom w:val="single" w:sz="6" w:space="0" w:color="000000"/>
              <w:right w:val="nil" w:sz="6" w:space="0" w:color="auto"/>
            </w:tcBorders>
          </w:tcPr>
          <w:p>
            <w:pPr>
              <w:pStyle w:val="TableParagraph"/>
              <w:spacing w:line="223" w:lineRule="exact"/>
              <w:ind w:left="43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952" w:hRule="exact"/>
        </w:trPr>
        <w:tc>
          <w:tcPr>
            <w:tcW w:w="1309" w:type="dxa"/>
            <w:vMerge/>
            <w:tcBorders>
              <w:left w:val="nil" w:sz="6" w:space="0" w:color="auto"/>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1034"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715" w:type="dxa"/>
            <w:vMerge/>
            <w:tcBorders>
              <w:left w:val="single" w:sz="6" w:space="0" w:color="000000"/>
              <w:bottom w:val="single" w:sz="6" w:space="0" w:color="000000"/>
              <w:right w:val="single" w:sz="6" w:space="0" w:color="000000"/>
            </w:tcBorders>
          </w:tcPr>
          <w:p>
            <w:pPr/>
          </w:p>
        </w:tc>
        <w:tc>
          <w:tcPr>
            <w:tcW w:w="40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6" w:right="0"/>
              <w:jc w:val="both"/>
              <w:rPr>
                <w:rFonts w:ascii="宋体" w:hAnsi="宋体" w:cs="宋体" w:eastAsia="宋体" w:hint="default"/>
                <w:sz w:val="18"/>
                <w:szCs w:val="18"/>
              </w:rPr>
            </w:pPr>
            <w:r>
              <w:rPr>
                <w:rFonts w:ascii="宋体" w:hAnsi="宋体" w:cs="宋体" w:eastAsia="宋体" w:hint="default"/>
                <w:sz w:val="18"/>
                <w:szCs w:val="18"/>
              </w:rPr>
              <w:t>外</w:t>
            </w:r>
          </w:p>
          <w:p>
            <w:pPr>
              <w:pStyle w:val="TableParagraph"/>
              <w:spacing w:line="240" w:lineRule="auto"/>
              <w:ind w:left="106" w:right="107"/>
              <w:jc w:val="both"/>
              <w:rPr>
                <w:rFonts w:ascii="宋体" w:hAnsi="宋体" w:cs="宋体" w:eastAsia="宋体" w:hint="default"/>
                <w:sz w:val="18"/>
                <w:szCs w:val="18"/>
              </w:rPr>
            </w:pPr>
            <w:r>
              <w:rPr>
                <w:rFonts w:ascii="宋体" w:hAnsi="宋体" w:cs="宋体" w:eastAsia="宋体" w:hint="default"/>
                <w:sz w:val="18"/>
                <w:szCs w:val="18"/>
              </w:rPr>
              <w:t>币 金 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人民币金额</w:t>
            </w:r>
          </w:p>
        </w:tc>
        <w:tc>
          <w:tcPr>
            <w:tcW w:w="4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45" w:right="0"/>
              <w:jc w:val="both"/>
              <w:rPr>
                <w:rFonts w:ascii="宋体" w:hAnsi="宋体" w:cs="宋体" w:eastAsia="宋体" w:hint="default"/>
                <w:sz w:val="18"/>
                <w:szCs w:val="18"/>
              </w:rPr>
            </w:pPr>
            <w:r>
              <w:rPr>
                <w:rFonts w:ascii="宋体" w:hAnsi="宋体" w:cs="宋体" w:eastAsia="宋体" w:hint="default"/>
                <w:sz w:val="18"/>
                <w:szCs w:val="18"/>
              </w:rPr>
              <w:t>外</w:t>
            </w:r>
          </w:p>
          <w:p>
            <w:pPr>
              <w:pStyle w:val="TableParagraph"/>
              <w:spacing w:line="240" w:lineRule="auto"/>
              <w:ind w:left="145" w:right="143"/>
              <w:jc w:val="both"/>
              <w:rPr>
                <w:rFonts w:ascii="宋体" w:hAnsi="宋体" w:cs="宋体" w:eastAsia="宋体" w:hint="default"/>
                <w:sz w:val="18"/>
                <w:szCs w:val="18"/>
              </w:rPr>
            </w:pPr>
            <w:r>
              <w:rPr>
                <w:rFonts w:ascii="宋体" w:hAnsi="宋体" w:cs="宋体" w:eastAsia="宋体" w:hint="default"/>
                <w:sz w:val="18"/>
                <w:szCs w:val="18"/>
              </w:rPr>
              <w:t>币 金 额</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90" w:hRule="exact"/>
        </w:trPr>
        <w:tc>
          <w:tcPr>
            <w:tcW w:w="1309"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35"/>
                <w:sz w:val="18"/>
                <w:szCs w:val="18"/>
              </w:rPr>
              <w:t>工商银行杭</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州余杭支行</w:t>
            </w:r>
          </w:p>
        </w:tc>
        <w:tc>
          <w:tcPr>
            <w:tcW w:w="10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left="100" w:right="0"/>
              <w:jc w:val="left"/>
              <w:rPr>
                <w:rFonts w:ascii="Century Gothic" w:hAnsi="Century Gothic" w:cs="Century Gothic" w:eastAsia="Century Gothic" w:hint="default"/>
                <w:sz w:val="18"/>
                <w:szCs w:val="18"/>
              </w:rPr>
            </w:pPr>
            <w:r>
              <w:rPr>
                <w:rFonts w:ascii="Century Gothic"/>
                <w:sz w:val="18"/>
              </w:rPr>
              <w:t>2005-6-30</w:t>
            </w:r>
          </w:p>
        </w:tc>
        <w:tc>
          <w:tcPr>
            <w:tcW w:w="10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left="100" w:right="0"/>
              <w:jc w:val="left"/>
              <w:rPr>
                <w:rFonts w:ascii="Century Gothic" w:hAnsi="Century Gothic" w:cs="Century Gothic" w:eastAsia="Century Gothic" w:hint="default"/>
                <w:sz w:val="18"/>
                <w:szCs w:val="18"/>
              </w:rPr>
            </w:pPr>
            <w:r>
              <w:rPr>
                <w:rFonts w:ascii="Century Gothic"/>
                <w:sz w:val="18"/>
              </w:rPr>
              <w:t>2011-6-29</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币</w:t>
            </w:r>
          </w:p>
        </w:tc>
        <w:tc>
          <w:tcPr>
            <w:tcW w:w="71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left="176" w:right="0"/>
              <w:jc w:val="left"/>
              <w:rPr>
                <w:rFonts w:ascii="Century Gothic" w:hAnsi="Century Gothic" w:cs="Century Gothic" w:eastAsia="Century Gothic" w:hint="default"/>
                <w:sz w:val="18"/>
                <w:szCs w:val="18"/>
              </w:rPr>
            </w:pPr>
            <w:r>
              <w:rPr>
                <w:rFonts w:ascii="Century Gothic"/>
                <w:sz w:val="18"/>
              </w:rPr>
              <w:t>6.43</w:t>
            </w:r>
          </w:p>
        </w:tc>
        <w:tc>
          <w:tcPr>
            <w:tcW w:w="409"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left="111" w:right="0"/>
              <w:jc w:val="center"/>
              <w:rPr>
                <w:rFonts w:ascii="Century Gothic" w:hAnsi="Century Gothic" w:cs="Century Gothic" w:eastAsia="Century Gothic" w:hint="default"/>
                <w:sz w:val="18"/>
                <w:szCs w:val="18"/>
              </w:rPr>
            </w:pPr>
            <w:r>
              <w:rPr>
                <w:rFonts w:ascii="Century Gothic"/>
                <w:sz w:val="18"/>
              </w:rPr>
              <w:t>50,000,000.00</w:t>
            </w:r>
          </w:p>
        </w:tc>
        <w:tc>
          <w:tcPr>
            <w:tcW w:w="485"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5"/>
              <w:ind w:left="104" w:right="0"/>
              <w:jc w:val="center"/>
              <w:rPr>
                <w:rFonts w:ascii="Century Gothic" w:hAnsi="Century Gothic" w:cs="Century Gothic" w:eastAsia="Century Gothic" w:hint="default"/>
                <w:sz w:val="18"/>
                <w:szCs w:val="18"/>
              </w:rPr>
            </w:pPr>
            <w:r>
              <w:rPr>
                <w:rFonts w:ascii="Century Gothic"/>
                <w:sz w:val="18"/>
              </w:rPr>
              <w:t>50,000,000.00</w:t>
            </w:r>
          </w:p>
        </w:tc>
      </w:tr>
    </w:tbl>
    <w:p>
      <w:pPr>
        <w:spacing w:line="240" w:lineRule="auto" w:before="5"/>
        <w:rPr>
          <w:rFonts w:ascii="宋体" w:hAnsi="宋体" w:cs="宋体" w:eastAsia="宋体" w:hint="default"/>
          <w:sz w:val="17"/>
          <w:szCs w:val="17"/>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82</w:t>
      </w:r>
    </w:p>
    <w:p>
      <w:pPr>
        <w:spacing w:after="0"/>
        <w:jc w:val="center"/>
        <w:rPr>
          <w:rFonts w:ascii="Times New Roman" w:hAnsi="Times New Roman" w:cs="Times New Roman" w:eastAsia="Times New Roman" w:hint="default"/>
          <w:sz w:val="18"/>
          <w:szCs w:val="18"/>
        </w:rPr>
        <w:sectPr>
          <w:pgSz w:w="11910" w:h="16840"/>
          <w:pgMar w:top="780" w:bottom="280" w:left="1160" w:right="120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70.860001pt;margin-top:-9.926001pt;width:84.0pt;height:23.94pt;mso-position-horizontal-relative:page;mso-position-vertical-relative:paragraph;z-index:5632"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394" w:type="dxa"/>
        <w:tblLayout w:type="fixed"/>
        <w:tblCellMar>
          <w:top w:w="0" w:type="dxa"/>
          <w:left w:w="0" w:type="dxa"/>
          <w:bottom w:w="0" w:type="dxa"/>
          <w:right w:w="0" w:type="dxa"/>
        </w:tblCellMar>
        <w:tblLook w:val="01E0"/>
      </w:tblPr>
      <w:tblGrid>
        <w:gridCol w:w="1309"/>
        <w:gridCol w:w="1033"/>
        <w:gridCol w:w="1034"/>
        <w:gridCol w:w="694"/>
        <w:gridCol w:w="715"/>
        <w:gridCol w:w="409"/>
        <w:gridCol w:w="1476"/>
        <w:gridCol w:w="485"/>
        <w:gridCol w:w="1476"/>
      </w:tblGrid>
      <w:tr>
        <w:trPr>
          <w:trHeight w:val="724" w:hRule="exact"/>
        </w:trPr>
        <w:tc>
          <w:tcPr>
            <w:tcW w:w="1309" w:type="dxa"/>
            <w:tcBorders>
              <w:top w:val="single" w:sz="12"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5"/>
                <w:sz w:val="18"/>
                <w:szCs w:val="18"/>
              </w:rPr>
              <w:t>中国农业银</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ind w:left="122" w:right="55"/>
              <w:jc w:val="left"/>
              <w:rPr>
                <w:rFonts w:ascii="宋体" w:hAnsi="宋体" w:cs="宋体" w:eastAsia="宋体" w:hint="default"/>
                <w:sz w:val="18"/>
                <w:szCs w:val="18"/>
              </w:rPr>
            </w:pPr>
            <w:r>
              <w:rPr>
                <w:rFonts w:ascii="宋体" w:hAnsi="宋体" w:cs="宋体" w:eastAsia="宋体" w:hint="default"/>
                <w:spacing w:val="35"/>
                <w:sz w:val="18"/>
                <w:szCs w:val="18"/>
              </w:rPr>
              <w:t>行杭州西湖</w:t>
            </w:r>
            <w:r>
              <w:rPr>
                <w:rFonts w:ascii="宋体" w:hAnsi="宋体" w:cs="宋体" w:eastAsia="宋体" w:hint="default"/>
                <w:spacing w:val="-46"/>
                <w:sz w:val="18"/>
                <w:szCs w:val="18"/>
              </w:rPr>
              <w:t> </w:t>
            </w:r>
            <w:r>
              <w:rPr>
                <w:rFonts w:ascii="宋体" w:hAnsi="宋体" w:cs="宋体" w:eastAsia="宋体" w:hint="default"/>
                <w:sz w:val="18"/>
                <w:szCs w:val="18"/>
              </w:rPr>
              <w:t>支行</w:t>
            </w:r>
          </w:p>
        </w:tc>
        <w:tc>
          <w:tcPr>
            <w:tcW w:w="10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b/>
                <w:bCs/>
                <w:sz w:val="18"/>
                <w:szCs w:val="18"/>
              </w:rPr>
            </w:pPr>
          </w:p>
          <w:p>
            <w:pPr>
              <w:pStyle w:val="TableParagraph"/>
              <w:spacing w:line="240" w:lineRule="auto"/>
              <w:ind w:right="99"/>
              <w:jc w:val="right"/>
              <w:rPr>
                <w:rFonts w:ascii="Century Gothic" w:hAnsi="Century Gothic" w:cs="Century Gothic" w:eastAsia="Century Gothic" w:hint="default"/>
                <w:sz w:val="18"/>
                <w:szCs w:val="18"/>
              </w:rPr>
            </w:pPr>
            <w:r>
              <w:rPr>
                <w:rFonts w:ascii="Century Gothic"/>
                <w:spacing w:val="-1"/>
                <w:w w:val="95"/>
                <w:sz w:val="18"/>
              </w:rPr>
              <w:t>2006-5-10</w:t>
            </w:r>
            <w:r>
              <w:rPr>
                <w:rFonts w:ascii="Century Gothic"/>
                <w:sz w:val="18"/>
              </w:rPr>
            </w:r>
          </w:p>
        </w:tc>
        <w:tc>
          <w:tcPr>
            <w:tcW w:w="10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b/>
                <w:bCs/>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2011-5-9</w:t>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left="249" w:right="157" w:hanging="90"/>
              <w:jc w:val="left"/>
              <w:rPr>
                <w:rFonts w:ascii="宋体" w:hAnsi="宋体" w:cs="宋体" w:eastAsia="宋体" w:hint="default"/>
                <w:sz w:val="18"/>
                <w:szCs w:val="18"/>
              </w:rPr>
            </w:pPr>
            <w:r>
              <w:rPr>
                <w:rFonts w:ascii="宋体" w:hAnsi="宋体" w:cs="宋体" w:eastAsia="宋体" w:hint="default"/>
                <w:sz w:val="18"/>
                <w:szCs w:val="18"/>
              </w:rPr>
              <w:t>人民 币</w:t>
            </w:r>
          </w:p>
        </w:tc>
        <w:tc>
          <w:tcPr>
            <w:tcW w:w="7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b/>
                <w:bCs/>
                <w:sz w:val="18"/>
                <w:szCs w:val="18"/>
              </w:rPr>
            </w:pPr>
          </w:p>
          <w:p>
            <w:pPr>
              <w:pStyle w:val="TableParagraph"/>
              <w:spacing w:line="240" w:lineRule="auto"/>
              <w:ind w:right="0"/>
              <w:jc w:val="center"/>
              <w:rPr>
                <w:rFonts w:ascii="Century Gothic" w:hAnsi="Century Gothic" w:cs="Century Gothic" w:eastAsia="Century Gothic" w:hint="default"/>
                <w:sz w:val="18"/>
                <w:szCs w:val="18"/>
              </w:rPr>
            </w:pPr>
            <w:r>
              <w:rPr>
                <w:rFonts w:ascii="Century Gothic"/>
                <w:sz w:val="18"/>
              </w:rPr>
              <w:t>6.12</w:t>
            </w:r>
          </w:p>
        </w:tc>
        <w:tc>
          <w:tcPr>
            <w:tcW w:w="409"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黑体" w:hAnsi="黑体" w:cs="黑体" w:eastAsia="黑体" w:hint="default"/>
                <w:b/>
                <w:bCs/>
                <w:sz w:val="18"/>
                <w:szCs w:val="18"/>
              </w:rPr>
            </w:pPr>
          </w:p>
          <w:p>
            <w:pPr>
              <w:pStyle w:val="TableParagraph"/>
              <w:spacing w:line="240" w:lineRule="auto"/>
              <w:ind w:right="100"/>
              <w:jc w:val="right"/>
              <w:rPr>
                <w:rFonts w:ascii="Century Gothic" w:hAnsi="Century Gothic" w:cs="Century Gothic" w:eastAsia="Century Gothic" w:hint="default"/>
                <w:sz w:val="18"/>
                <w:szCs w:val="18"/>
              </w:rPr>
            </w:pPr>
            <w:r>
              <w:rPr>
                <w:rFonts w:ascii="Century Gothic"/>
                <w:spacing w:val="-1"/>
                <w:sz w:val="18"/>
              </w:rPr>
              <w:t>41,000,000.00</w:t>
            </w:r>
          </w:p>
        </w:tc>
        <w:tc>
          <w:tcPr>
            <w:tcW w:w="485"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黑体" w:hAnsi="黑体" w:cs="黑体" w:eastAsia="黑体" w:hint="default"/>
                <w:b/>
                <w:bCs/>
                <w:sz w:val="18"/>
                <w:szCs w:val="18"/>
              </w:rPr>
            </w:pPr>
          </w:p>
          <w:p>
            <w:pPr>
              <w:pStyle w:val="TableParagraph"/>
              <w:spacing w:line="240" w:lineRule="auto"/>
              <w:ind w:right="107"/>
              <w:jc w:val="right"/>
              <w:rPr>
                <w:rFonts w:ascii="Century Gothic" w:hAnsi="Century Gothic" w:cs="Century Gothic" w:eastAsia="Century Gothic" w:hint="default"/>
                <w:sz w:val="18"/>
                <w:szCs w:val="18"/>
              </w:rPr>
            </w:pPr>
            <w:r>
              <w:rPr>
                <w:rFonts w:ascii="Century Gothic"/>
                <w:spacing w:val="-1"/>
                <w:sz w:val="18"/>
              </w:rPr>
              <w:t>41,000,000.00</w:t>
            </w:r>
          </w:p>
        </w:tc>
      </w:tr>
      <w:tr>
        <w:trPr>
          <w:trHeight w:val="482" w:hRule="exact"/>
        </w:trPr>
        <w:tc>
          <w:tcPr>
            <w:tcW w:w="1309"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35"/>
                <w:sz w:val="18"/>
                <w:szCs w:val="18"/>
              </w:rPr>
              <w:t>工商银行杭</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州余杭支行</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Century Gothic" w:hAnsi="Century Gothic" w:cs="Century Gothic" w:eastAsia="Century Gothic" w:hint="default"/>
                <w:sz w:val="18"/>
                <w:szCs w:val="18"/>
              </w:rPr>
            </w:pPr>
            <w:r>
              <w:rPr>
                <w:rFonts w:ascii="Century Gothic"/>
                <w:spacing w:val="-1"/>
                <w:w w:val="95"/>
                <w:sz w:val="18"/>
              </w:rPr>
              <w:t>2006-3-16</w:t>
            </w:r>
            <w:r>
              <w:rPr>
                <w:rFonts w:ascii="Century Gothic"/>
                <w:sz w:val="18"/>
              </w:rPr>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2011-3-10</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币</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6.14</w:t>
            </w:r>
          </w:p>
        </w:tc>
        <w:tc>
          <w:tcPr>
            <w:tcW w:w="40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20,000,000.00</w:t>
            </w:r>
          </w:p>
        </w:tc>
        <w:tc>
          <w:tcPr>
            <w:tcW w:w="485"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7"/>
              <w:jc w:val="right"/>
              <w:rPr>
                <w:rFonts w:ascii="Century Gothic" w:hAnsi="Century Gothic" w:cs="Century Gothic" w:eastAsia="Century Gothic" w:hint="default"/>
                <w:sz w:val="18"/>
                <w:szCs w:val="18"/>
              </w:rPr>
            </w:pPr>
            <w:r>
              <w:rPr>
                <w:rFonts w:ascii="Century Gothic"/>
                <w:spacing w:val="-1"/>
                <w:sz w:val="18"/>
              </w:rPr>
              <w:t>20,000,000.00</w:t>
            </w:r>
          </w:p>
        </w:tc>
      </w:tr>
      <w:tr>
        <w:trPr>
          <w:trHeight w:val="484" w:hRule="exact"/>
        </w:trPr>
        <w:tc>
          <w:tcPr>
            <w:tcW w:w="1309"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35"/>
                <w:sz w:val="18"/>
                <w:szCs w:val="18"/>
              </w:rPr>
              <w:t>重庆北碚农</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村信用联社</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Century Gothic" w:hAnsi="Century Gothic" w:cs="Century Gothic" w:eastAsia="Century Gothic" w:hint="default"/>
                <w:sz w:val="18"/>
                <w:szCs w:val="18"/>
              </w:rPr>
            </w:pPr>
            <w:r>
              <w:rPr>
                <w:rFonts w:ascii="Century Gothic"/>
                <w:spacing w:val="-1"/>
                <w:w w:val="95"/>
                <w:sz w:val="18"/>
              </w:rPr>
              <w:t>2007-8-29</w:t>
            </w:r>
            <w:r>
              <w:rPr>
                <w:rFonts w:ascii="Century Gothic"/>
                <w:sz w:val="18"/>
              </w:rPr>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2012-8-23</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人民</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币</w:t>
            </w:r>
          </w:p>
        </w:tc>
        <w:tc>
          <w:tcPr>
            <w:tcW w:w="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7.38</w:t>
            </w:r>
          </w:p>
        </w:tc>
        <w:tc>
          <w:tcPr>
            <w:tcW w:w="409"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2,561,711.15</w:t>
            </w:r>
          </w:p>
        </w:tc>
        <w:tc>
          <w:tcPr>
            <w:tcW w:w="485"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6"/>
              <w:jc w:val="right"/>
              <w:rPr>
                <w:rFonts w:ascii="Century Gothic" w:hAnsi="Century Gothic" w:cs="Century Gothic" w:eastAsia="Century Gothic" w:hint="default"/>
                <w:sz w:val="18"/>
                <w:szCs w:val="18"/>
              </w:rPr>
            </w:pPr>
            <w:r>
              <w:rPr>
                <w:rFonts w:ascii="Century Gothic"/>
                <w:spacing w:val="-1"/>
                <w:sz w:val="18"/>
              </w:rPr>
              <w:t>6,102,317.43</w:t>
            </w:r>
          </w:p>
        </w:tc>
      </w:tr>
      <w:tr>
        <w:trPr>
          <w:trHeight w:val="334" w:hRule="exact"/>
        </w:trPr>
        <w:tc>
          <w:tcPr>
            <w:tcW w:w="1309"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9"/>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33" w:type="dxa"/>
            <w:tcBorders>
              <w:top w:val="single" w:sz="6" w:space="0" w:color="000000"/>
              <w:left w:val="single" w:sz="6" w:space="0" w:color="000000"/>
              <w:bottom w:val="single" w:sz="12" w:space="0" w:color="000000"/>
              <w:right w:val="single" w:sz="6" w:space="0" w:color="000000"/>
            </w:tcBorders>
          </w:tcPr>
          <w:p>
            <w:pPr/>
          </w:p>
        </w:tc>
        <w:tc>
          <w:tcPr>
            <w:tcW w:w="1034" w:type="dxa"/>
            <w:tcBorders>
              <w:top w:val="single" w:sz="6" w:space="0" w:color="000000"/>
              <w:left w:val="single" w:sz="6" w:space="0" w:color="000000"/>
              <w:bottom w:val="single" w:sz="12" w:space="0" w:color="000000"/>
              <w:right w:val="single" w:sz="6" w:space="0" w:color="000000"/>
            </w:tcBorders>
          </w:tcPr>
          <w:p>
            <w:pPr/>
          </w:p>
        </w:tc>
        <w:tc>
          <w:tcPr>
            <w:tcW w:w="694" w:type="dxa"/>
            <w:tcBorders>
              <w:top w:val="single" w:sz="6" w:space="0" w:color="000000"/>
              <w:left w:val="single" w:sz="6" w:space="0" w:color="000000"/>
              <w:bottom w:val="single" w:sz="12" w:space="0" w:color="000000"/>
              <w:right w:val="single" w:sz="6" w:space="0" w:color="000000"/>
            </w:tcBorders>
          </w:tcPr>
          <w:p>
            <w:pPr/>
          </w:p>
        </w:tc>
        <w:tc>
          <w:tcPr>
            <w:tcW w:w="715" w:type="dxa"/>
            <w:tcBorders>
              <w:top w:val="single" w:sz="6" w:space="0" w:color="000000"/>
              <w:left w:val="single" w:sz="6" w:space="0" w:color="000000"/>
              <w:bottom w:val="single" w:sz="12" w:space="0" w:color="000000"/>
              <w:right w:val="single" w:sz="6" w:space="0" w:color="000000"/>
            </w:tcBorders>
          </w:tcPr>
          <w:p>
            <w:pPr/>
          </w:p>
        </w:tc>
        <w:tc>
          <w:tcPr>
            <w:tcW w:w="409"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9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113,561,711.15</w:t>
            </w:r>
            <w:r>
              <w:rPr>
                <w:rFonts w:ascii="Century Gothic"/>
                <w:b/>
                <w:w w:val="95"/>
                <w:sz w:val="18"/>
              </w:rPr>
            </w:r>
            <w:r>
              <w:rPr>
                <w:rFonts w:ascii="Century Gothic"/>
                <w:sz w:val="18"/>
              </w:rPr>
            </w:r>
          </w:p>
        </w:tc>
        <w:tc>
          <w:tcPr>
            <w:tcW w:w="485"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106"/>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117,102,317.43</w:t>
            </w:r>
            <w:r>
              <w:rPr>
                <w:rFonts w:ascii="Century Gothic"/>
                <w:b/>
                <w:w w:val="95"/>
                <w:sz w:val="18"/>
              </w:rPr>
            </w:r>
            <w:r>
              <w:rPr>
                <w:rFonts w:ascii="Century Gothic"/>
                <w:sz w:val="18"/>
              </w:rPr>
            </w:r>
          </w:p>
        </w:tc>
      </w:tr>
    </w:tbl>
    <w:p>
      <w:pPr>
        <w:tabs>
          <w:tab w:pos="1838" w:val="left" w:leader="none"/>
        </w:tabs>
        <w:spacing w:line="357" w:lineRule="auto" w:before="94"/>
        <w:ind w:left="558" w:right="6465" w:firstLine="0"/>
        <w:jc w:val="left"/>
        <w:rPr>
          <w:rFonts w:ascii="宋体" w:hAnsi="宋体" w:cs="宋体" w:eastAsia="宋体" w:hint="default"/>
          <w:sz w:val="21"/>
          <w:szCs w:val="21"/>
        </w:rPr>
      </w:pPr>
      <w:r>
        <w:rPr>
          <w:rFonts w:ascii="宋体" w:hAnsi="宋体" w:cs="宋体" w:eastAsia="宋体" w:hint="default"/>
          <w:b/>
          <w:bCs/>
          <w:w w:val="95"/>
          <w:sz w:val="21"/>
          <w:szCs w:val="21"/>
        </w:rPr>
        <w:t>（二十八）</w:t>
        <w:tab/>
      </w:r>
      <w:r>
        <w:rPr>
          <w:rFonts w:ascii="宋体" w:hAnsi="宋体" w:cs="宋体" w:eastAsia="宋体" w:hint="default"/>
          <w:b/>
          <w:bCs/>
          <w:sz w:val="21"/>
          <w:szCs w:val="21"/>
        </w:rPr>
        <w:t>专项应付款</w:t>
      </w:r>
      <w:r>
        <w:rPr>
          <w:rFonts w:ascii="宋体" w:hAnsi="宋体" w:cs="宋体" w:eastAsia="宋体" w:hint="default"/>
          <w:b/>
          <w:bCs/>
          <w:w w:val="99"/>
          <w:sz w:val="21"/>
          <w:szCs w:val="21"/>
        </w:rPr>
        <w:t> </w:t>
      </w:r>
      <w:r>
        <w:rPr>
          <w:rFonts w:ascii="宋体" w:hAnsi="宋体" w:cs="宋体" w:eastAsia="宋体" w:hint="default"/>
          <w:sz w:val="21"/>
          <w:szCs w:val="21"/>
        </w:rPr>
        <w:t>专项应付款明细项目如下：</w:t>
      </w:r>
    </w:p>
    <w:p>
      <w:pPr>
        <w:spacing w:line="240" w:lineRule="auto" w:before="0"/>
        <w:rPr>
          <w:rFonts w:ascii="宋体" w:hAnsi="宋体" w:cs="宋体" w:eastAsia="宋体" w:hint="default"/>
          <w:sz w:val="5"/>
          <w:szCs w:val="5"/>
        </w:rPr>
      </w:pPr>
    </w:p>
    <w:tbl>
      <w:tblPr>
        <w:tblW w:w="0" w:type="auto"/>
        <w:jc w:val="left"/>
        <w:tblInd w:w="303" w:type="dxa"/>
        <w:tblLayout w:type="fixed"/>
        <w:tblCellMar>
          <w:top w:w="0" w:type="dxa"/>
          <w:left w:w="0" w:type="dxa"/>
          <w:bottom w:w="0" w:type="dxa"/>
          <w:right w:w="0" w:type="dxa"/>
        </w:tblCellMar>
        <w:tblLook w:val="01E0"/>
      </w:tblPr>
      <w:tblGrid>
        <w:gridCol w:w="3230"/>
        <w:gridCol w:w="1451"/>
        <w:gridCol w:w="1079"/>
        <w:gridCol w:w="1457"/>
        <w:gridCol w:w="1079"/>
        <w:gridCol w:w="520"/>
      </w:tblGrid>
      <w:tr>
        <w:trPr>
          <w:trHeight w:val="568" w:hRule="exact"/>
        </w:trPr>
        <w:tc>
          <w:tcPr>
            <w:tcW w:w="323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51"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年初账面余</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07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额</w:t>
            </w:r>
          </w:p>
        </w:tc>
        <w:tc>
          <w:tcPr>
            <w:tcW w:w="14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本年减少额</w:t>
            </w:r>
          </w:p>
        </w:tc>
        <w:tc>
          <w:tcPr>
            <w:tcW w:w="1079"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年末账面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余额</w:t>
            </w:r>
          </w:p>
        </w:tc>
        <w:tc>
          <w:tcPr>
            <w:tcW w:w="520"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备</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560" w:hRule="exact"/>
        </w:trPr>
        <w:tc>
          <w:tcPr>
            <w:tcW w:w="323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云南工业用大麻优良新品种繁育</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及良种高技术开发化示范工程</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2,929,198.43</w:t>
            </w:r>
          </w:p>
        </w:tc>
        <w:tc>
          <w:tcPr>
            <w:tcW w:w="1079"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7" w:right="0"/>
              <w:jc w:val="center"/>
              <w:rPr>
                <w:rFonts w:ascii="Century Gothic" w:hAnsi="Century Gothic" w:cs="Century Gothic" w:eastAsia="Century Gothic" w:hint="default"/>
                <w:sz w:val="21"/>
                <w:szCs w:val="21"/>
              </w:rPr>
            </w:pPr>
            <w:r>
              <w:rPr>
                <w:rFonts w:ascii="Century Gothic"/>
                <w:sz w:val="21"/>
              </w:rPr>
              <w:t>2,929,198.43</w:t>
            </w:r>
          </w:p>
        </w:tc>
        <w:tc>
          <w:tcPr>
            <w:tcW w:w="1079" w:type="dxa"/>
            <w:tcBorders>
              <w:top w:val="single" w:sz="6" w:space="0" w:color="000000"/>
              <w:left w:val="single" w:sz="6" w:space="0" w:color="000000"/>
              <w:bottom w:val="single" w:sz="6" w:space="0" w:color="000000"/>
              <w:right w:val="single" w:sz="6" w:space="0" w:color="000000"/>
            </w:tcBorders>
          </w:tcPr>
          <w:p>
            <w:pPr/>
          </w:p>
        </w:tc>
        <w:tc>
          <w:tcPr>
            <w:tcW w:w="5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left="146" w:right="0"/>
              <w:jc w:val="left"/>
              <w:rPr>
                <w:rFonts w:ascii="宋体" w:hAnsi="宋体" w:cs="宋体" w:eastAsia="宋体" w:hint="default"/>
                <w:sz w:val="21"/>
                <w:szCs w:val="21"/>
              </w:rPr>
            </w:pPr>
            <w:r>
              <w:rPr>
                <w:rFonts w:ascii="宋体" w:hAnsi="宋体" w:cs="宋体" w:eastAsia="宋体" w:hint="default"/>
                <w:sz w:val="21"/>
                <w:szCs w:val="21"/>
              </w:rPr>
              <w:t>注</w:t>
            </w:r>
          </w:p>
        </w:tc>
      </w:tr>
      <w:tr>
        <w:trPr>
          <w:trHeight w:val="363" w:hRule="exact"/>
        </w:trPr>
        <w:tc>
          <w:tcPr>
            <w:tcW w:w="3230" w:type="dxa"/>
            <w:tcBorders>
              <w:top w:val="single" w:sz="6" w:space="0" w:color="000000"/>
              <w:left w:val="nil" w:sz="6" w:space="0" w:color="auto"/>
              <w:bottom w:val="single" w:sz="12" w:space="0" w:color="000000"/>
              <w:right w:val="single" w:sz="6" w:space="0" w:color="000000"/>
            </w:tcBorders>
          </w:tcPr>
          <w:p>
            <w:pPr>
              <w:pStyle w:val="TableParagraph"/>
              <w:tabs>
                <w:tab w:pos="440" w:val="left" w:leader="none"/>
              </w:tabs>
              <w:spacing w:line="24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2,929,198.43</w:t>
            </w:r>
            <w:r>
              <w:rPr>
                <w:rFonts w:ascii="Century Gothic"/>
                <w:b/>
                <w:w w:val="95"/>
                <w:sz w:val="21"/>
              </w:rPr>
            </w:r>
            <w:r>
              <w:rPr>
                <w:rFonts w:ascii="Century Gothic"/>
                <w:sz w:val="21"/>
              </w:rPr>
            </w:r>
          </w:p>
        </w:tc>
        <w:tc>
          <w:tcPr>
            <w:tcW w:w="1079" w:type="dxa"/>
            <w:tcBorders>
              <w:top w:val="single" w:sz="6" w:space="0" w:color="000000"/>
              <w:left w:val="single" w:sz="6" w:space="0" w:color="000000"/>
              <w:bottom w:val="single" w:sz="12" w:space="0" w:color="000000"/>
              <w:right w:val="single" w:sz="6" w:space="0" w:color="000000"/>
            </w:tcBorders>
          </w:tcPr>
          <w:p>
            <w:pPr/>
          </w:p>
        </w:tc>
        <w:tc>
          <w:tcPr>
            <w:tcW w:w="14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left="5"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2,929,198.43</w:t>
            </w:r>
            <w:r>
              <w:rPr>
                <w:rFonts w:ascii="Century Gothic"/>
                <w:b/>
                <w:sz w:val="21"/>
              </w:rPr>
            </w:r>
            <w:r>
              <w:rPr>
                <w:rFonts w:ascii="Century Gothic"/>
                <w:sz w:val="21"/>
              </w:rPr>
            </w:r>
          </w:p>
        </w:tc>
        <w:tc>
          <w:tcPr>
            <w:tcW w:w="1079" w:type="dxa"/>
            <w:tcBorders>
              <w:top w:val="single" w:sz="6" w:space="0" w:color="000000"/>
              <w:left w:val="single" w:sz="6" w:space="0" w:color="000000"/>
              <w:bottom w:val="single" w:sz="12" w:space="0" w:color="000000"/>
              <w:right w:val="single" w:sz="6" w:space="0" w:color="000000"/>
            </w:tcBorders>
          </w:tcPr>
          <w:p>
            <w:pPr/>
          </w:p>
        </w:tc>
        <w:tc>
          <w:tcPr>
            <w:tcW w:w="520" w:type="dxa"/>
            <w:tcBorders>
              <w:top w:val="single" w:sz="6" w:space="0" w:color="000000"/>
              <w:left w:val="single" w:sz="6" w:space="0" w:color="000000"/>
              <w:bottom w:val="single" w:sz="12" w:space="0" w:color="000000"/>
              <w:right w:val="nil" w:sz="6" w:space="0" w:color="auto"/>
            </w:tcBorders>
          </w:tcPr>
          <w:p>
            <w:pPr/>
          </w:p>
        </w:tc>
      </w:tr>
    </w:tbl>
    <w:p>
      <w:pPr>
        <w:pStyle w:val="BodyText"/>
        <w:spacing w:line="357" w:lineRule="auto" w:before="86"/>
        <w:ind w:right="152" w:firstLine="420"/>
        <w:jc w:val="left"/>
      </w:pPr>
      <w:r>
        <w:rPr>
          <w:spacing w:val="-2"/>
        </w:rPr>
        <w:t>注：系控股子公司云南大麻收到云南工业用大麻优良新品种繁育及良种高技术产业化示范工程项</w:t>
      </w:r>
      <w:r>
        <w:rPr/>
        <w:t> 目经费余额。截止</w:t>
      </w:r>
      <w:r>
        <w:rPr>
          <w:spacing w:val="-54"/>
        </w:rPr>
        <w:t> </w:t>
      </w:r>
      <w:r>
        <w:rPr>
          <w:rFonts w:ascii="Century Gothic" w:hAnsi="Century Gothic" w:cs="Century Gothic" w:eastAsia="Century Gothic" w:hint="default"/>
        </w:rPr>
        <w:t>2009</w:t>
      </w:r>
      <w:r>
        <w:rPr>
          <w:rFonts w:ascii="Century Gothic" w:hAnsi="Century Gothic" w:cs="Century Gothic" w:eastAsia="Century Gothic" w:hint="default"/>
          <w:spacing w:val="-8"/>
        </w:rPr>
        <w:t> </w:t>
      </w:r>
      <w:r>
        <w:rPr/>
        <w:t>年</w:t>
      </w:r>
      <w:r>
        <w:rPr>
          <w:spacing w:val="-54"/>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31</w:t>
      </w:r>
      <w:r>
        <w:rPr>
          <w:rFonts w:ascii="Century Gothic" w:hAnsi="Century Gothic" w:cs="Century Gothic" w:eastAsia="Century Gothic" w:hint="default"/>
          <w:spacing w:val="-8"/>
        </w:rPr>
        <w:t> </w:t>
      </w:r>
      <w:r>
        <w:rPr/>
        <w:t>日，该项目已结题验收，专项应付款余额结转入本年损益。</w:t>
      </w:r>
    </w:p>
    <w:p>
      <w:pPr>
        <w:pStyle w:val="Heading4"/>
        <w:tabs>
          <w:tab w:pos="1838" w:val="left" w:leader="none"/>
        </w:tabs>
        <w:spacing w:line="270" w:lineRule="exact" w:before="0"/>
        <w:ind w:right="152"/>
        <w:jc w:val="left"/>
        <w:rPr>
          <w:rFonts w:ascii="宋体" w:hAnsi="宋体" w:cs="宋体" w:eastAsia="宋体" w:hint="default"/>
          <w:b w:val="0"/>
          <w:bCs w:val="0"/>
        </w:rPr>
      </w:pPr>
      <w:r>
        <w:rPr>
          <w:rFonts w:ascii="宋体" w:hAnsi="宋体" w:cs="宋体" w:eastAsia="宋体" w:hint="default"/>
          <w:w w:val="95"/>
        </w:rPr>
        <w:t>（二十九）</w:t>
        <w:tab/>
      </w:r>
      <w:r>
        <w:rPr>
          <w:rFonts w:ascii="宋体" w:hAnsi="宋体" w:cs="宋体" w:eastAsia="宋体" w:hint="default"/>
        </w:rPr>
        <w:t>其他非流动负债</w:t>
      </w:r>
      <w:r>
        <w:rPr>
          <w:rFonts w:ascii="宋体" w:hAnsi="宋体" w:cs="宋体" w:eastAsia="宋体" w:hint="default"/>
          <w:b w:val="0"/>
          <w:bCs w:val="0"/>
        </w:rPr>
      </w:r>
    </w:p>
    <w:p>
      <w:pPr>
        <w:spacing w:line="240" w:lineRule="auto" w:before="11"/>
        <w:rPr>
          <w:rFonts w:ascii="宋体" w:hAnsi="宋体" w:cs="宋体" w:eastAsia="宋体" w:hint="default"/>
          <w:b/>
          <w:bCs/>
          <w:sz w:val="12"/>
          <w:szCs w:val="12"/>
        </w:rPr>
      </w:pPr>
    </w:p>
    <w:tbl>
      <w:tblPr>
        <w:tblW w:w="0" w:type="auto"/>
        <w:jc w:val="left"/>
        <w:tblInd w:w="268" w:type="dxa"/>
        <w:tblLayout w:type="fixed"/>
        <w:tblCellMar>
          <w:top w:w="0" w:type="dxa"/>
          <w:left w:w="0" w:type="dxa"/>
          <w:bottom w:w="0" w:type="dxa"/>
          <w:right w:w="0" w:type="dxa"/>
        </w:tblCellMar>
        <w:tblLook w:val="01E0"/>
      </w:tblPr>
      <w:tblGrid>
        <w:gridCol w:w="3224"/>
        <w:gridCol w:w="2940"/>
        <w:gridCol w:w="2720"/>
      </w:tblGrid>
      <w:tr>
        <w:trPr>
          <w:trHeight w:val="307" w:hRule="exact"/>
        </w:trPr>
        <w:tc>
          <w:tcPr>
            <w:tcW w:w="3224" w:type="dxa"/>
            <w:tcBorders>
              <w:top w:val="single" w:sz="12" w:space="0" w:color="000000"/>
              <w:left w:val="nil" w:sz="6" w:space="0" w:color="auto"/>
              <w:bottom w:val="single" w:sz="6" w:space="0" w:color="000000"/>
              <w:right w:val="single" w:sz="6" w:space="0" w:color="000000"/>
            </w:tcBorders>
          </w:tcPr>
          <w:p>
            <w:pPr>
              <w:pStyle w:val="TableParagraph"/>
              <w:tabs>
                <w:tab w:pos="441" w:val="left" w:leader="none"/>
              </w:tabs>
              <w:spacing w:line="247" w:lineRule="exact"/>
              <w:ind w:left="2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940"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83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720"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left="72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60"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青蒿素及其衍生物复方制剂高技</w:t>
            </w:r>
            <w:r>
              <w:rPr>
                <w:rFonts w:ascii="宋体" w:hAnsi="宋体" w:cs="宋体" w:eastAsia="宋体" w:hint="default"/>
                <w:sz w:val="21"/>
                <w:szCs w:val="21"/>
              </w:rPr>
            </w:r>
          </w:p>
          <w:p>
            <w:pPr>
              <w:pStyle w:val="TableParagraph"/>
              <w:spacing w:line="290" w:lineRule="exact"/>
              <w:ind w:left="122" w:right="0"/>
              <w:jc w:val="left"/>
              <w:rPr>
                <w:rFonts w:ascii="宋体" w:hAnsi="宋体" w:cs="宋体" w:eastAsia="宋体" w:hint="default"/>
                <w:sz w:val="21"/>
                <w:szCs w:val="21"/>
              </w:rPr>
            </w:pPr>
            <w:r>
              <w:rPr>
                <w:rFonts w:ascii="宋体" w:hAnsi="宋体" w:cs="宋体" w:eastAsia="宋体" w:hint="default"/>
                <w:sz w:val="21"/>
                <w:szCs w:val="21"/>
              </w:rPr>
              <w:t>术产业化工程项目（注</w:t>
            </w:r>
            <w:r>
              <w:rPr>
                <w:rFonts w:ascii="宋体" w:hAnsi="宋体" w:cs="宋体" w:eastAsia="宋体" w:hint="default"/>
                <w:spacing w:val="-54"/>
                <w:sz w:val="21"/>
                <w:szCs w:val="21"/>
              </w:rPr>
              <w:t> </w:t>
            </w:r>
            <w:r>
              <w:rPr>
                <w:rFonts w:ascii="Century Gothic" w:hAnsi="Century Gothic" w:cs="Century Gothic" w:eastAsia="Century Gothic" w:hint="default"/>
                <w:sz w:val="21"/>
                <w:szCs w:val="21"/>
              </w:rPr>
              <w:t>1</w:t>
            </w:r>
            <w:r>
              <w:rPr>
                <w:rFonts w:ascii="宋体" w:hAnsi="宋体" w:cs="宋体" w:eastAsia="宋体" w:hint="default"/>
                <w:sz w:val="21"/>
                <w:szCs w:val="21"/>
              </w:rPr>
              <w:t>）</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8,000,000.00</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7"/>
              <w:jc w:val="right"/>
              <w:rPr>
                <w:rFonts w:ascii="Century Gothic" w:hAnsi="Century Gothic" w:cs="Century Gothic" w:eastAsia="Century Gothic" w:hint="default"/>
                <w:sz w:val="21"/>
                <w:szCs w:val="21"/>
              </w:rPr>
            </w:pPr>
            <w:r>
              <w:rPr>
                <w:rFonts w:ascii="Century Gothic"/>
                <w:spacing w:val="-1"/>
                <w:sz w:val="21"/>
              </w:rPr>
              <w:t>9,000,000.00</w:t>
            </w:r>
          </w:p>
        </w:tc>
      </w:tr>
      <w:tr>
        <w:trPr>
          <w:trHeight w:val="562"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3"/>
                <w:sz w:val="21"/>
                <w:szCs w:val="21"/>
              </w:rPr>
              <w:t>中坦联合制药研发平台建设项目</w:t>
            </w:r>
            <w:r>
              <w:rPr>
                <w:rFonts w:ascii="宋体" w:hAnsi="宋体" w:cs="宋体" w:eastAsia="宋体" w:hint="default"/>
                <w:sz w:val="21"/>
                <w:szCs w:val="21"/>
              </w:rPr>
            </w:r>
          </w:p>
          <w:p>
            <w:pPr>
              <w:pStyle w:val="TableParagraph"/>
              <w:spacing w:line="291" w:lineRule="exact"/>
              <w:ind w:left="122"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Century Gothic" w:hAnsi="Century Gothic" w:cs="Century Gothic" w:eastAsia="Century Gothic" w:hint="default"/>
                <w:sz w:val="21"/>
                <w:szCs w:val="21"/>
              </w:rPr>
              <w:t>2</w:t>
            </w:r>
            <w:r>
              <w:rPr>
                <w:rFonts w:ascii="宋体" w:hAnsi="宋体" w:cs="宋体" w:eastAsia="宋体" w:hint="default"/>
                <w:sz w:val="21"/>
                <w:szCs w:val="21"/>
              </w:rPr>
              <w:t>）</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1"/>
                <w:sz w:val="21"/>
              </w:rPr>
              <w:t>400,000.00</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800,000.00</w:t>
            </w:r>
          </w:p>
        </w:tc>
      </w:tr>
      <w:tr>
        <w:trPr>
          <w:trHeight w:val="307" w:hRule="exact"/>
        </w:trPr>
        <w:tc>
          <w:tcPr>
            <w:tcW w:w="3224"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2" w:lineRule="exact"/>
              <w:ind w:left="2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9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8,400,000.00</w:t>
            </w:r>
            <w:r>
              <w:rPr>
                <w:rFonts w:ascii="Century Gothic"/>
                <w:b/>
                <w:w w:val="95"/>
                <w:sz w:val="21"/>
              </w:rPr>
            </w:r>
            <w:r>
              <w:rPr>
                <w:rFonts w:ascii="Century Gothic"/>
                <w:sz w:val="21"/>
              </w:rPr>
            </w:r>
          </w:p>
        </w:tc>
        <w:tc>
          <w:tcPr>
            <w:tcW w:w="27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9,800,000.00</w:t>
            </w:r>
            <w:r>
              <w:rPr>
                <w:rFonts w:ascii="Century Gothic"/>
                <w:b/>
                <w:w w:val="95"/>
                <w:sz w:val="21"/>
              </w:rPr>
            </w:r>
            <w:r>
              <w:rPr>
                <w:rFonts w:ascii="Century Gothic"/>
                <w:sz w:val="21"/>
              </w:rPr>
            </w:r>
          </w:p>
        </w:tc>
      </w:tr>
    </w:tbl>
    <w:p>
      <w:pPr>
        <w:pStyle w:val="BodyText"/>
        <w:spacing w:line="336" w:lineRule="auto" w:before="86"/>
        <w:ind w:right="205" w:firstLine="420"/>
        <w:jc w:val="left"/>
      </w:pPr>
      <w:r>
        <w:rPr/>
        <w:t>注</w:t>
      </w:r>
      <w:r>
        <w:rPr>
          <w:spacing w:val="-57"/>
        </w:rPr>
        <w:t> </w:t>
      </w:r>
      <w:r>
        <w:rPr>
          <w:rFonts w:ascii="Century Gothic" w:hAnsi="Century Gothic" w:cs="Century Gothic" w:eastAsia="Century Gothic" w:hint="default"/>
        </w:rPr>
        <w:t>1</w:t>
      </w:r>
      <w:r>
        <w:rPr/>
        <w:t>：根据国家发改委和财政部发改高技</w:t>
      </w:r>
      <w:r>
        <w:rPr>
          <w:rFonts w:ascii="Century Gothic" w:hAnsi="Century Gothic" w:cs="Century Gothic" w:eastAsia="Century Gothic" w:hint="default"/>
        </w:rPr>
        <w:t>[2003]2140</w:t>
      </w:r>
      <w:r>
        <w:rPr>
          <w:rFonts w:ascii="Century Gothic" w:hAnsi="Century Gothic" w:cs="Century Gothic" w:eastAsia="Century Gothic" w:hint="default"/>
          <w:spacing w:val="-10"/>
        </w:rPr>
        <w:t> </w:t>
      </w:r>
      <w:r>
        <w:rPr>
          <w:spacing w:val="-3"/>
        </w:rPr>
        <w:t>号文件《关于下达</w:t>
      </w:r>
      <w:r>
        <w:rPr>
          <w:spacing w:val="-57"/>
        </w:rPr>
        <w:t> </w:t>
      </w:r>
      <w:r>
        <w:rPr>
          <w:rFonts w:ascii="Century Gothic" w:hAnsi="Century Gothic" w:cs="Century Gothic" w:eastAsia="Century Gothic" w:hint="default"/>
        </w:rPr>
        <w:t>2003</w:t>
      </w:r>
      <w:r>
        <w:rPr>
          <w:rFonts w:ascii="Century Gothic" w:hAnsi="Century Gothic" w:cs="Century Gothic" w:eastAsia="Century Gothic" w:hint="default"/>
          <w:spacing w:val="-10"/>
        </w:rPr>
        <w:t> </w:t>
      </w:r>
      <w:r>
        <w:rPr/>
        <w:t>年国家高技术产业 </w:t>
      </w:r>
      <w:r>
        <w:rPr>
          <w:spacing w:val="-5"/>
        </w:rPr>
        <w:t>发展项目第三批产业技术研究与开发资金经费指标计划的通知》，公司于</w:t>
      </w:r>
      <w:r>
        <w:rPr>
          <w:spacing w:val="-48"/>
        </w:rPr>
        <w:t> </w:t>
      </w:r>
      <w:r>
        <w:rPr>
          <w:rFonts w:ascii="Century Gothic" w:hAnsi="Century Gothic" w:cs="Century Gothic" w:eastAsia="Century Gothic" w:hint="default"/>
          <w:w w:val="99"/>
        </w:rPr>
        <w:t>2004</w:t>
      </w:r>
      <w:r>
        <w:rPr>
          <w:rFonts w:ascii="Century Gothic" w:hAnsi="Century Gothic" w:cs="Century Gothic" w:eastAsia="Century Gothic" w:hint="default"/>
          <w:spacing w:val="-1"/>
          <w:w w:val="99"/>
        </w:rPr>
        <w:t> </w:t>
      </w:r>
      <w:r>
        <w:rPr/>
        <w:t>年</w:t>
      </w:r>
      <w:r>
        <w:rPr>
          <w:spacing w:val="-48"/>
        </w:rPr>
        <w:t> </w:t>
      </w:r>
      <w:r>
        <w:rPr>
          <w:rFonts w:ascii="Century Gothic" w:hAnsi="Century Gothic" w:cs="Century Gothic" w:eastAsia="Century Gothic" w:hint="default"/>
          <w:w w:val="99"/>
        </w:rPr>
        <w:t>4</w:t>
      </w:r>
      <w:r>
        <w:rPr>
          <w:rFonts w:ascii="Century Gothic" w:hAnsi="Century Gothic" w:cs="Century Gothic" w:eastAsia="Century Gothic" w:hint="default"/>
          <w:spacing w:val="-2"/>
          <w:w w:val="99"/>
        </w:rPr>
        <w:t> </w:t>
      </w:r>
      <w:r>
        <w:rPr/>
        <w:t>月</w:t>
      </w:r>
      <w:r>
        <w:rPr>
          <w:spacing w:val="-48"/>
        </w:rPr>
        <w:t> </w:t>
      </w:r>
      <w:r>
        <w:rPr>
          <w:rFonts w:ascii="Century Gothic" w:hAnsi="Century Gothic" w:cs="Century Gothic" w:eastAsia="Century Gothic" w:hint="default"/>
          <w:w w:val="99"/>
        </w:rPr>
        <w:t>19</w:t>
      </w:r>
      <w:r>
        <w:rPr>
          <w:rFonts w:ascii="Century Gothic" w:hAnsi="Century Gothic" w:cs="Century Gothic" w:eastAsia="Century Gothic" w:hint="default"/>
          <w:spacing w:val="-1"/>
          <w:w w:val="99"/>
        </w:rPr>
        <w:t> </w:t>
      </w:r>
      <w:r>
        <w:rPr>
          <w:spacing w:val="-1"/>
        </w:rPr>
        <w:t>日收到青蒿</w:t>
      </w:r>
    </w:p>
    <w:p>
      <w:pPr>
        <w:pStyle w:val="BodyText"/>
        <w:spacing w:line="338" w:lineRule="auto" w:before="17"/>
        <w:ind w:right="102"/>
        <w:jc w:val="left"/>
      </w:pPr>
      <w:r>
        <w:rPr/>
        <w:t>素及其衍生物复方制剂高技术产业化示范工程项目经费</w:t>
      </w:r>
      <w:r>
        <w:rPr>
          <w:spacing w:val="-71"/>
        </w:rPr>
        <w:t> </w:t>
      </w:r>
      <w:r>
        <w:rPr>
          <w:rFonts w:ascii="Century Gothic" w:hAnsi="Century Gothic" w:cs="Century Gothic" w:eastAsia="Century Gothic" w:hint="default"/>
          <w:spacing w:val="-1"/>
          <w:w w:val="99"/>
        </w:rPr>
        <w:t>1,000.00</w:t>
      </w:r>
      <w:r>
        <w:rPr>
          <w:rFonts w:ascii="Century Gothic" w:hAnsi="Century Gothic" w:cs="Century Gothic" w:eastAsia="Century Gothic" w:hint="default"/>
          <w:spacing w:val="-24"/>
          <w:w w:val="99"/>
        </w:rPr>
        <w:t> </w:t>
      </w:r>
      <w:r>
        <w:rPr>
          <w:spacing w:val="-13"/>
        </w:rPr>
        <w:t>万元。该项目已于</w:t>
      </w:r>
      <w:r>
        <w:rPr>
          <w:spacing w:val="-71"/>
        </w:rPr>
        <w:t> </w:t>
      </w:r>
      <w:r>
        <w:rPr>
          <w:rFonts w:ascii="Century Gothic" w:hAnsi="Century Gothic" w:cs="Century Gothic" w:eastAsia="Century Gothic" w:hint="default"/>
          <w:w w:val="99"/>
        </w:rPr>
        <w:t>2008</w:t>
      </w:r>
      <w:r>
        <w:rPr>
          <w:rFonts w:ascii="Century Gothic" w:hAnsi="Century Gothic" w:cs="Century Gothic" w:eastAsia="Century Gothic" w:hint="default"/>
          <w:spacing w:val="-24"/>
          <w:w w:val="99"/>
        </w:rPr>
        <w:t> </w:t>
      </w:r>
      <w:r>
        <w:rPr/>
        <w:t>年验收通过， 并按照资产使用年限分配计入损益。</w:t>
      </w:r>
    </w:p>
    <w:p>
      <w:pPr>
        <w:pStyle w:val="BodyText"/>
        <w:spacing w:line="240" w:lineRule="auto" w:before="48"/>
        <w:ind w:left="558" w:right="152"/>
        <w:jc w:val="left"/>
      </w:pPr>
      <w:r>
        <w:rPr/>
        <w:t>注</w:t>
      </w:r>
      <w:r>
        <w:rPr>
          <w:spacing w:val="-44"/>
        </w:rPr>
        <w:t> </w:t>
      </w:r>
      <w:r>
        <w:rPr>
          <w:rFonts w:ascii="Century Gothic" w:hAnsi="Century Gothic" w:cs="Century Gothic" w:eastAsia="Century Gothic" w:hint="default"/>
        </w:rPr>
        <w:t>2</w:t>
      </w:r>
      <w:r>
        <w:rPr/>
        <w:t>：系公司</w:t>
      </w:r>
      <w:r>
        <w:rPr>
          <w:spacing w:val="-44"/>
        </w:rPr>
        <w:t> </w:t>
      </w:r>
      <w:r>
        <w:rPr>
          <w:rFonts w:ascii="Century Gothic" w:hAnsi="Century Gothic" w:cs="Century Gothic" w:eastAsia="Century Gothic" w:hint="default"/>
        </w:rPr>
        <w:t>2008</w:t>
      </w:r>
      <w:r>
        <w:rPr>
          <w:rFonts w:ascii="Century Gothic" w:hAnsi="Century Gothic" w:cs="Century Gothic" w:eastAsia="Century Gothic" w:hint="default"/>
          <w:spacing w:val="3"/>
        </w:rPr>
        <w:t> </w:t>
      </w:r>
      <w:r>
        <w:rPr/>
        <w:t>年收到科技部中坦联合制药研发平台建设科技援外专项经费</w:t>
      </w:r>
      <w:r>
        <w:rPr>
          <w:spacing w:val="-44"/>
        </w:rPr>
        <w:t> </w:t>
      </w:r>
      <w:r>
        <w:rPr>
          <w:rFonts w:ascii="Century Gothic" w:hAnsi="Century Gothic" w:cs="Century Gothic" w:eastAsia="Century Gothic" w:hint="default"/>
        </w:rPr>
        <w:t>80.00</w:t>
      </w:r>
      <w:r>
        <w:rPr>
          <w:rFonts w:ascii="Century Gothic" w:hAnsi="Century Gothic" w:cs="Century Gothic" w:eastAsia="Century Gothic" w:hint="default"/>
          <w:spacing w:val="3"/>
        </w:rPr>
        <w:t> </w:t>
      </w:r>
      <w:r>
        <w:rPr/>
        <w:t>万元，该</w:t>
      </w:r>
    </w:p>
    <w:p>
      <w:pPr>
        <w:pStyle w:val="BodyText"/>
        <w:spacing w:line="240" w:lineRule="auto"/>
        <w:ind w:right="152"/>
        <w:jc w:val="left"/>
      </w:pPr>
      <w:r>
        <w:rPr/>
        <w:t>项目合作期为</w:t>
      </w:r>
      <w:r>
        <w:rPr>
          <w:spacing w:val="-54"/>
        </w:rPr>
        <w:t> </w:t>
      </w:r>
      <w:r>
        <w:rPr>
          <w:rFonts w:ascii="Century Gothic" w:hAnsi="Century Gothic" w:cs="Century Gothic" w:eastAsia="Century Gothic" w:hint="default"/>
        </w:rPr>
        <w:t>2009</w:t>
      </w:r>
      <w:r>
        <w:rPr>
          <w:rFonts w:ascii="Century Gothic" w:hAnsi="Century Gothic" w:cs="Century Gothic" w:eastAsia="Century Gothic" w:hint="default"/>
          <w:spacing w:val="-7"/>
        </w:rPr>
        <w:t> </w:t>
      </w:r>
      <w:r>
        <w:rPr/>
        <w:t>年至</w:t>
      </w:r>
      <w:r>
        <w:rPr>
          <w:spacing w:val="-54"/>
        </w:rPr>
        <w:t> </w:t>
      </w:r>
      <w:r>
        <w:rPr>
          <w:rFonts w:ascii="Century Gothic" w:hAnsi="Century Gothic" w:cs="Century Gothic" w:eastAsia="Century Gothic" w:hint="default"/>
        </w:rPr>
        <w:t>2010</w:t>
      </w:r>
      <w:r>
        <w:rPr>
          <w:rFonts w:ascii="Century Gothic" w:hAnsi="Century Gothic" w:cs="Century Gothic" w:eastAsia="Century Gothic" w:hint="default"/>
          <w:spacing w:val="-7"/>
        </w:rPr>
        <w:t> </w:t>
      </w:r>
      <w:r>
        <w:rPr/>
        <w:t>年。</w:t>
      </w:r>
    </w:p>
    <w:p>
      <w:pPr>
        <w:pStyle w:val="Heading4"/>
        <w:spacing w:line="240" w:lineRule="auto" w:before="117"/>
        <w:ind w:right="152"/>
        <w:jc w:val="left"/>
        <w:rPr>
          <w:rFonts w:ascii="宋体" w:hAnsi="宋体" w:cs="宋体" w:eastAsia="宋体" w:hint="default"/>
          <w:b w:val="0"/>
          <w:bCs w:val="0"/>
        </w:rPr>
      </w:pPr>
      <w:r>
        <w:rPr>
          <w:rFonts w:ascii="宋体" w:hAnsi="宋体" w:cs="宋体" w:eastAsia="宋体" w:hint="default"/>
          <w:spacing w:val="2"/>
        </w:rPr>
        <w:t>（三十）股本</w:t>
      </w:r>
      <w:r>
        <w:rPr>
          <w:rFonts w:ascii="宋体" w:hAnsi="宋体" w:cs="宋体" w:eastAsia="宋体" w:hint="default"/>
          <w:b w:val="0"/>
          <w:bCs w:val="0"/>
          <w:spacing w:val="2"/>
        </w:rPr>
      </w:r>
    </w:p>
    <w:p>
      <w:pPr>
        <w:pStyle w:val="BodyText"/>
        <w:spacing w:line="240" w:lineRule="auto" w:before="135"/>
        <w:ind w:left="558" w:right="152"/>
        <w:jc w:val="left"/>
      </w:pPr>
      <w:r>
        <w:rPr/>
        <w:t>（</w:t>
      </w:r>
      <w:r>
        <w:rPr>
          <w:rFonts w:ascii="Century Gothic" w:hAnsi="Century Gothic" w:cs="Century Gothic" w:eastAsia="Century Gothic" w:hint="default"/>
        </w:rPr>
        <w:t>1</w:t>
      </w:r>
      <w:r>
        <w:rPr/>
        <w:t>）本年股本变动情况如下：</w:t>
      </w:r>
    </w:p>
    <w:p>
      <w:pPr>
        <w:spacing w:line="240" w:lineRule="auto" w:before="8"/>
        <w:rPr>
          <w:rFonts w:ascii="宋体" w:hAnsi="宋体" w:cs="宋体" w:eastAsia="宋体" w:hint="default"/>
          <w:sz w:val="11"/>
          <w:szCs w:val="11"/>
        </w:rPr>
      </w:pPr>
    </w:p>
    <w:tbl>
      <w:tblPr>
        <w:tblW w:w="0" w:type="auto"/>
        <w:jc w:val="left"/>
        <w:tblInd w:w="280" w:type="dxa"/>
        <w:tblLayout w:type="fixed"/>
        <w:tblCellMar>
          <w:top w:w="0" w:type="dxa"/>
          <w:left w:w="0" w:type="dxa"/>
          <w:bottom w:w="0" w:type="dxa"/>
          <w:right w:w="0" w:type="dxa"/>
        </w:tblCellMar>
        <w:tblLook w:val="01E0"/>
      </w:tblPr>
      <w:tblGrid>
        <w:gridCol w:w="2174"/>
        <w:gridCol w:w="901"/>
        <w:gridCol w:w="679"/>
        <w:gridCol w:w="664"/>
        <w:gridCol w:w="384"/>
        <w:gridCol w:w="613"/>
        <w:gridCol w:w="900"/>
        <w:gridCol w:w="900"/>
        <w:gridCol w:w="1080"/>
        <w:gridCol w:w="565"/>
      </w:tblGrid>
      <w:tr>
        <w:trPr>
          <w:trHeight w:val="415" w:hRule="exact"/>
        </w:trPr>
        <w:tc>
          <w:tcPr>
            <w:tcW w:w="217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股份类别</w:t>
            </w:r>
          </w:p>
        </w:tc>
        <w:tc>
          <w:tcPr>
            <w:tcW w:w="158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15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3461"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1145" w:right="0"/>
              <w:jc w:val="left"/>
              <w:rPr>
                <w:rFonts w:ascii="宋体" w:hAnsi="宋体" w:cs="宋体" w:eastAsia="宋体" w:hint="default"/>
                <w:sz w:val="21"/>
                <w:szCs w:val="21"/>
              </w:rPr>
            </w:pPr>
            <w:r>
              <w:rPr>
                <w:rFonts w:ascii="宋体" w:hAnsi="宋体" w:cs="宋体" w:eastAsia="宋体" w:hint="default"/>
                <w:sz w:val="21"/>
                <w:szCs w:val="21"/>
              </w:rPr>
              <w:t>本 期 增</w:t>
            </w:r>
            <w:r>
              <w:rPr>
                <w:rFonts w:ascii="宋体" w:hAnsi="宋体" w:cs="宋体" w:eastAsia="宋体" w:hint="default"/>
                <w:spacing w:val="-2"/>
                <w:sz w:val="21"/>
                <w:szCs w:val="21"/>
              </w:rPr>
              <w:t> </w:t>
            </w:r>
            <w:r>
              <w:rPr>
                <w:rFonts w:ascii="宋体" w:hAnsi="宋体" w:cs="宋体" w:eastAsia="宋体" w:hint="default"/>
                <w:sz w:val="21"/>
                <w:szCs w:val="21"/>
              </w:rPr>
              <w:t>减</w:t>
            </w:r>
          </w:p>
        </w:tc>
        <w:tc>
          <w:tcPr>
            <w:tcW w:w="164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6"/>
              <w:ind w:left="18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954" w:hRule="exact"/>
        </w:trPr>
        <w:tc>
          <w:tcPr>
            <w:tcW w:w="2174" w:type="dxa"/>
            <w:vMerge/>
            <w:tcBorders>
              <w:left w:val="nil" w:sz="6" w:space="0" w:color="auto"/>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股数</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113" w:right="113"/>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79" w:right="78"/>
              <w:jc w:val="left"/>
              <w:rPr>
                <w:rFonts w:ascii="宋体" w:hAnsi="宋体" w:cs="宋体" w:eastAsia="宋体" w:hint="default"/>
                <w:sz w:val="21"/>
                <w:szCs w:val="21"/>
              </w:rPr>
            </w:pPr>
            <w:r>
              <w:rPr>
                <w:rFonts w:ascii="宋体" w:hAnsi="宋体" w:cs="宋体" w:eastAsia="宋体" w:hint="default"/>
                <w:sz w:val="21"/>
                <w:szCs w:val="21"/>
              </w:rPr>
              <w:t>送 股</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9"/>
              <w:ind w:left="88" w:right="89"/>
              <w:jc w:val="both"/>
              <w:rPr>
                <w:rFonts w:ascii="宋体" w:hAnsi="宋体" w:cs="宋体" w:eastAsia="宋体" w:hint="default"/>
                <w:sz w:val="21"/>
                <w:szCs w:val="21"/>
              </w:rPr>
            </w:pPr>
            <w:r>
              <w:rPr>
                <w:rFonts w:ascii="宋体" w:hAnsi="宋体" w:cs="宋体" w:eastAsia="宋体" w:hint="default"/>
                <w:sz w:val="21"/>
                <w:szCs w:val="21"/>
              </w:rPr>
              <w:t>公积 金转 股</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股数</w:t>
            </w:r>
          </w:p>
        </w:tc>
        <w:tc>
          <w:tcPr>
            <w:tcW w:w="5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6"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08"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90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nil" w:sz="6" w:space="0" w:color="auto"/>
            </w:tcBorders>
          </w:tcPr>
          <w:p>
            <w:pPr/>
          </w:p>
        </w:tc>
      </w:tr>
      <w:tr>
        <w:trPr>
          <w:trHeight w:val="408"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44"/>
                <w:sz w:val="21"/>
                <w:szCs w:val="21"/>
              </w:rPr>
              <w:t> </w:t>
            </w:r>
            <w:r>
              <w:rPr>
                <w:rFonts w:ascii="宋体" w:hAnsi="宋体" w:cs="宋体" w:eastAsia="宋体" w:hint="default"/>
                <w:sz w:val="21"/>
                <w:szCs w:val="21"/>
              </w:rPr>
              <w:t>国家持股</w:t>
            </w:r>
          </w:p>
        </w:tc>
        <w:tc>
          <w:tcPr>
            <w:tcW w:w="90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nil" w:sz="6" w:space="0" w:color="auto"/>
            </w:tcBorders>
          </w:tcPr>
          <w:p>
            <w:pPr/>
          </w:p>
        </w:tc>
      </w:tr>
      <w:tr>
        <w:trPr>
          <w:trHeight w:val="416" w:hRule="exact"/>
        </w:trPr>
        <w:tc>
          <w:tcPr>
            <w:tcW w:w="21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Century Gothic" w:hAnsi="Century Gothic" w:cs="Century Gothic" w:eastAsia="Century Gothic" w:hint="default"/>
                <w:spacing w:val="45"/>
                <w:sz w:val="21"/>
                <w:szCs w:val="21"/>
              </w:rPr>
              <w:t> </w:t>
            </w:r>
            <w:r>
              <w:rPr>
                <w:rFonts w:ascii="宋体" w:hAnsi="宋体" w:cs="宋体" w:eastAsia="宋体" w:hint="default"/>
                <w:sz w:val="21"/>
                <w:szCs w:val="21"/>
              </w:rPr>
              <w:t>国有法人持股</w:t>
            </w:r>
          </w:p>
        </w:tc>
        <w:tc>
          <w:tcPr>
            <w:tcW w:w="901" w:type="dxa"/>
            <w:tcBorders>
              <w:top w:val="single" w:sz="6" w:space="0" w:color="000000"/>
              <w:left w:val="single" w:sz="6" w:space="0" w:color="000000"/>
              <w:bottom w:val="single" w:sz="12" w:space="0" w:color="000000"/>
              <w:right w:val="single" w:sz="6" w:space="0" w:color="000000"/>
            </w:tcBorders>
          </w:tcPr>
          <w:p>
            <w:pPr/>
          </w:p>
        </w:tc>
        <w:tc>
          <w:tcPr>
            <w:tcW w:w="679" w:type="dxa"/>
            <w:tcBorders>
              <w:top w:val="single" w:sz="6" w:space="0" w:color="000000"/>
              <w:left w:val="single" w:sz="6" w:space="0" w:color="000000"/>
              <w:bottom w:val="single" w:sz="12" w:space="0" w:color="000000"/>
              <w:right w:val="single" w:sz="6" w:space="0" w:color="000000"/>
            </w:tcBorders>
          </w:tcPr>
          <w:p>
            <w:pPr/>
          </w:p>
        </w:tc>
        <w:tc>
          <w:tcPr>
            <w:tcW w:w="664" w:type="dxa"/>
            <w:tcBorders>
              <w:top w:val="single" w:sz="6" w:space="0" w:color="000000"/>
              <w:left w:val="single" w:sz="6" w:space="0" w:color="000000"/>
              <w:bottom w:val="single" w:sz="12" w:space="0" w:color="000000"/>
              <w:right w:val="single" w:sz="6" w:space="0" w:color="000000"/>
            </w:tcBorders>
          </w:tcPr>
          <w:p>
            <w:pPr/>
          </w:p>
        </w:tc>
        <w:tc>
          <w:tcPr>
            <w:tcW w:w="384" w:type="dxa"/>
            <w:tcBorders>
              <w:top w:val="single" w:sz="6" w:space="0" w:color="000000"/>
              <w:left w:val="single" w:sz="6" w:space="0" w:color="000000"/>
              <w:bottom w:val="single" w:sz="12" w:space="0" w:color="000000"/>
              <w:right w:val="single" w:sz="6" w:space="0" w:color="000000"/>
            </w:tcBorders>
          </w:tcPr>
          <w:p>
            <w:pPr/>
          </w:p>
        </w:tc>
        <w:tc>
          <w:tcPr>
            <w:tcW w:w="613" w:type="dxa"/>
            <w:tcBorders>
              <w:top w:val="single" w:sz="6" w:space="0" w:color="000000"/>
              <w:left w:val="single" w:sz="6" w:space="0" w:color="000000"/>
              <w:bottom w:val="single" w:sz="12" w:space="0" w:color="000000"/>
              <w:right w:val="single" w:sz="6" w:space="0" w:color="000000"/>
            </w:tcBorders>
          </w:tcPr>
          <w:p>
            <w:pPr/>
          </w:p>
        </w:tc>
        <w:tc>
          <w:tcPr>
            <w:tcW w:w="900" w:type="dxa"/>
            <w:tcBorders>
              <w:top w:val="single" w:sz="6" w:space="0" w:color="000000"/>
              <w:left w:val="single" w:sz="6" w:space="0" w:color="000000"/>
              <w:bottom w:val="single" w:sz="12" w:space="0" w:color="000000"/>
              <w:right w:val="single" w:sz="6" w:space="0" w:color="000000"/>
            </w:tcBorders>
          </w:tcPr>
          <w:p>
            <w:pPr/>
          </w:p>
        </w:tc>
        <w:tc>
          <w:tcPr>
            <w:tcW w:w="900" w:type="dxa"/>
            <w:tcBorders>
              <w:top w:val="single" w:sz="6" w:space="0" w:color="000000"/>
              <w:left w:val="single" w:sz="6" w:space="0" w:color="000000"/>
              <w:bottom w:val="single" w:sz="12" w:space="0" w:color="000000"/>
              <w:right w:val="single" w:sz="6" w:space="0" w:color="000000"/>
            </w:tcBorders>
          </w:tcPr>
          <w:p>
            <w:pPr/>
          </w:p>
        </w:tc>
        <w:tc>
          <w:tcPr>
            <w:tcW w:w="1080" w:type="dxa"/>
            <w:tcBorders>
              <w:top w:val="single" w:sz="6" w:space="0" w:color="000000"/>
              <w:left w:val="single" w:sz="6" w:space="0" w:color="000000"/>
              <w:bottom w:val="single" w:sz="12" w:space="0" w:color="000000"/>
              <w:right w:val="single" w:sz="6" w:space="0" w:color="000000"/>
            </w:tcBorders>
          </w:tcPr>
          <w:p>
            <w:pPr/>
          </w:p>
        </w:tc>
        <w:tc>
          <w:tcPr>
            <w:tcW w:w="565" w:type="dxa"/>
            <w:tcBorders>
              <w:top w:val="single" w:sz="6" w:space="0" w:color="000000"/>
              <w:left w:val="single" w:sz="6"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0"/>
        <w:ind w:left="3267" w:right="3344" w:firstLine="0"/>
        <w:jc w:val="center"/>
        <w:rPr>
          <w:rFonts w:ascii="Times New Roman" w:hAnsi="Times New Roman" w:cs="Times New Roman" w:eastAsia="Times New Roman" w:hint="default"/>
          <w:sz w:val="18"/>
          <w:szCs w:val="18"/>
        </w:rPr>
      </w:pPr>
      <w:r>
        <w:rPr>
          <w:rFonts w:ascii="Times New Roman"/>
          <w:sz w:val="18"/>
        </w:rPr>
        <w:t>83</w:t>
      </w:r>
    </w:p>
    <w:p>
      <w:pPr>
        <w:spacing w:after="0"/>
        <w:jc w:val="center"/>
        <w:rPr>
          <w:rFonts w:ascii="Times New Roman" w:hAnsi="Times New Roman" w:cs="Times New Roman" w:eastAsia="Times New Roman" w:hint="default"/>
          <w:sz w:val="18"/>
          <w:szCs w:val="18"/>
        </w:rPr>
        <w:sectPr>
          <w:pgSz w:w="11910" w:h="16840"/>
          <w:pgMar w:top="780" w:bottom="280" w:left="1280" w:right="10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5680"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80" w:type="dxa"/>
        <w:tblLayout w:type="fixed"/>
        <w:tblCellMar>
          <w:top w:w="0" w:type="dxa"/>
          <w:left w:w="0" w:type="dxa"/>
          <w:bottom w:w="0" w:type="dxa"/>
          <w:right w:w="0" w:type="dxa"/>
        </w:tblCellMar>
        <w:tblLook w:val="01E0"/>
      </w:tblPr>
      <w:tblGrid>
        <w:gridCol w:w="2174"/>
        <w:gridCol w:w="901"/>
        <w:gridCol w:w="679"/>
        <w:gridCol w:w="664"/>
        <w:gridCol w:w="384"/>
        <w:gridCol w:w="613"/>
        <w:gridCol w:w="900"/>
        <w:gridCol w:w="900"/>
        <w:gridCol w:w="1080"/>
        <w:gridCol w:w="565"/>
      </w:tblGrid>
      <w:tr>
        <w:trPr>
          <w:trHeight w:val="415" w:hRule="exact"/>
        </w:trPr>
        <w:tc>
          <w:tcPr>
            <w:tcW w:w="217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17"/>
                <w:szCs w:val="17"/>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股份类别</w:t>
            </w:r>
          </w:p>
        </w:tc>
        <w:tc>
          <w:tcPr>
            <w:tcW w:w="158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15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3461"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1145" w:right="0"/>
              <w:jc w:val="left"/>
              <w:rPr>
                <w:rFonts w:ascii="宋体" w:hAnsi="宋体" w:cs="宋体" w:eastAsia="宋体" w:hint="default"/>
                <w:sz w:val="21"/>
                <w:szCs w:val="21"/>
              </w:rPr>
            </w:pPr>
            <w:r>
              <w:rPr>
                <w:rFonts w:ascii="宋体" w:hAnsi="宋体" w:cs="宋体" w:eastAsia="宋体" w:hint="default"/>
                <w:sz w:val="21"/>
                <w:szCs w:val="21"/>
              </w:rPr>
              <w:t>本 期 增</w:t>
            </w:r>
            <w:r>
              <w:rPr>
                <w:rFonts w:ascii="宋体" w:hAnsi="宋体" w:cs="宋体" w:eastAsia="宋体" w:hint="default"/>
                <w:spacing w:val="-2"/>
                <w:sz w:val="21"/>
                <w:szCs w:val="21"/>
              </w:rPr>
              <w:t> </w:t>
            </w:r>
            <w:r>
              <w:rPr>
                <w:rFonts w:ascii="宋体" w:hAnsi="宋体" w:cs="宋体" w:eastAsia="宋体" w:hint="default"/>
                <w:sz w:val="21"/>
                <w:szCs w:val="21"/>
              </w:rPr>
              <w:t>减</w:t>
            </w:r>
          </w:p>
        </w:tc>
        <w:tc>
          <w:tcPr>
            <w:tcW w:w="164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6"/>
              <w:ind w:left="18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954" w:hRule="exact"/>
        </w:trPr>
        <w:tc>
          <w:tcPr>
            <w:tcW w:w="2174" w:type="dxa"/>
            <w:vMerge/>
            <w:tcBorders>
              <w:left w:val="nil" w:sz="6" w:space="0" w:color="auto"/>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b/>
                <w:bCs/>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股数</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b/>
                <w:bCs/>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113" w:right="113"/>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79" w:right="78"/>
              <w:jc w:val="left"/>
              <w:rPr>
                <w:rFonts w:ascii="宋体" w:hAnsi="宋体" w:cs="宋体" w:eastAsia="宋体" w:hint="default"/>
                <w:sz w:val="21"/>
                <w:szCs w:val="21"/>
              </w:rPr>
            </w:pPr>
            <w:r>
              <w:rPr>
                <w:rFonts w:ascii="宋体" w:hAnsi="宋体" w:cs="宋体" w:eastAsia="宋体" w:hint="default"/>
                <w:sz w:val="21"/>
                <w:szCs w:val="21"/>
              </w:rPr>
              <w:t>送 股</w:t>
            </w:r>
          </w:p>
        </w:tc>
        <w:tc>
          <w:tcPr>
            <w:tcW w:w="61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29"/>
              <w:ind w:left="88" w:right="89"/>
              <w:jc w:val="both"/>
              <w:rPr>
                <w:rFonts w:ascii="宋体" w:hAnsi="宋体" w:cs="宋体" w:eastAsia="宋体" w:hint="default"/>
                <w:sz w:val="21"/>
                <w:szCs w:val="21"/>
              </w:rPr>
            </w:pPr>
            <w:r>
              <w:rPr>
                <w:rFonts w:ascii="宋体" w:hAnsi="宋体" w:cs="宋体" w:eastAsia="宋体" w:hint="default"/>
                <w:sz w:val="21"/>
                <w:szCs w:val="21"/>
              </w:rPr>
              <w:t>公积 金转 股</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b/>
                <w:bCs/>
                <w:sz w:val="22"/>
                <w:szCs w:val="22"/>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黑体" w:hAnsi="黑体" w:cs="黑体" w:eastAsia="黑体" w:hint="default"/>
                <w:b/>
                <w:bCs/>
                <w:sz w:val="22"/>
                <w:szCs w:val="22"/>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股数</w:t>
            </w:r>
          </w:p>
        </w:tc>
        <w:tc>
          <w:tcPr>
            <w:tcW w:w="5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0"/>
              <w:jc w:val="left"/>
              <w:rPr>
                <w:rFonts w:ascii="黑体" w:hAnsi="黑体" w:cs="黑体" w:eastAsia="黑体" w:hint="default"/>
                <w:b/>
                <w:bCs/>
                <w:sz w:val="22"/>
                <w:szCs w:val="22"/>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z w:val="21"/>
                <w:szCs w:val="21"/>
              </w:rPr>
              <w:t>比例</w:t>
            </w:r>
          </w:p>
        </w:tc>
      </w:tr>
      <w:tr>
        <w:trPr>
          <w:trHeight w:val="457"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45"/>
                <w:sz w:val="21"/>
                <w:szCs w:val="21"/>
              </w:rPr>
              <w:t> </w:t>
            </w:r>
            <w:r>
              <w:rPr>
                <w:rFonts w:ascii="宋体" w:hAnsi="宋体" w:cs="宋体" w:eastAsia="宋体" w:hint="default"/>
                <w:sz w:val="21"/>
                <w:szCs w:val="21"/>
              </w:rPr>
              <w:t>其他内资持股</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9"/>
              <w:jc w:val="right"/>
              <w:rPr>
                <w:rFonts w:ascii="Century Gothic" w:hAnsi="Century Gothic" w:cs="Century Gothic" w:eastAsia="Century Gothic" w:hint="default"/>
                <w:sz w:val="18"/>
                <w:szCs w:val="18"/>
              </w:rPr>
            </w:pPr>
            <w:r>
              <w:rPr>
                <w:rFonts w:ascii="Century Gothic"/>
                <w:spacing w:val="-1"/>
                <w:sz w:val="18"/>
              </w:rPr>
              <w:t>75,646,17</w:t>
            </w:r>
            <w:r>
              <w:rPr>
                <w:rFonts w:ascii="Century Gothic"/>
                <w:sz w:val="18"/>
              </w:rPr>
            </w:r>
          </w:p>
          <w:p>
            <w:pPr>
              <w:pStyle w:val="TableParagraph"/>
              <w:spacing w:line="240" w:lineRule="auto"/>
              <w:ind w:right="18"/>
              <w:jc w:val="right"/>
              <w:rPr>
                <w:rFonts w:ascii="Century Gothic" w:hAnsi="Century Gothic" w:cs="Century Gothic" w:eastAsia="Century Gothic" w:hint="default"/>
                <w:sz w:val="18"/>
                <w:szCs w:val="18"/>
              </w:rPr>
            </w:pPr>
            <w:r>
              <w:rPr>
                <w:rFonts w:ascii="Century Gothic"/>
                <w:w w:val="99"/>
                <w:sz w:val="18"/>
              </w:rPr>
              <w:t>0</w:t>
            </w:r>
            <w:r>
              <w:rPr>
                <w:rFonts w:ascii="Century Gothic"/>
                <w:sz w:val="18"/>
              </w:rPr>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8"/>
              <w:jc w:val="right"/>
              <w:rPr>
                <w:rFonts w:ascii="Century Gothic" w:hAnsi="Century Gothic" w:cs="Century Gothic" w:eastAsia="Century Gothic" w:hint="default"/>
                <w:sz w:val="18"/>
                <w:szCs w:val="18"/>
              </w:rPr>
            </w:pPr>
            <w:r>
              <w:rPr>
                <w:rFonts w:ascii="Century Gothic"/>
                <w:spacing w:val="-1"/>
                <w:sz w:val="18"/>
              </w:rPr>
              <w:t>15.51</w:t>
            </w:r>
          </w:p>
        </w:tc>
        <w:tc>
          <w:tcPr>
            <w:tcW w:w="664"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9"/>
              <w:jc w:val="right"/>
              <w:rPr>
                <w:rFonts w:ascii="Century Gothic" w:hAnsi="Century Gothic" w:cs="Century Gothic" w:eastAsia="Century Gothic" w:hint="default"/>
                <w:sz w:val="18"/>
                <w:szCs w:val="18"/>
              </w:rPr>
            </w:pPr>
            <w:r>
              <w:rPr>
                <w:rFonts w:ascii="Century Gothic"/>
                <w:spacing w:val="-1"/>
                <w:sz w:val="18"/>
              </w:rPr>
              <w:t>-75,587,4</w:t>
            </w:r>
          </w:p>
          <w:p>
            <w:pPr>
              <w:pStyle w:val="TableParagraph"/>
              <w:spacing w:line="240" w:lineRule="auto"/>
              <w:ind w:right="18"/>
              <w:jc w:val="right"/>
              <w:rPr>
                <w:rFonts w:ascii="Century Gothic" w:hAnsi="Century Gothic" w:cs="Century Gothic" w:eastAsia="Century Gothic" w:hint="default"/>
                <w:sz w:val="18"/>
                <w:szCs w:val="18"/>
              </w:rPr>
            </w:pPr>
            <w:r>
              <w:rPr>
                <w:rFonts w:ascii="Century Gothic"/>
                <w:spacing w:val="-1"/>
                <w:w w:val="95"/>
                <w:sz w:val="18"/>
              </w:rPr>
              <w:t>90</w:t>
            </w:r>
            <w:r>
              <w:rPr>
                <w:rFonts w:ascii="Century Gothic"/>
                <w:sz w:val="18"/>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9"/>
              <w:jc w:val="right"/>
              <w:rPr>
                <w:rFonts w:ascii="Century Gothic" w:hAnsi="Century Gothic" w:cs="Century Gothic" w:eastAsia="Century Gothic" w:hint="default"/>
                <w:sz w:val="18"/>
                <w:szCs w:val="18"/>
              </w:rPr>
            </w:pPr>
            <w:r>
              <w:rPr>
                <w:rFonts w:ascii="Century Gothic"/>
                <w:spacing w:val="-1"/>
                <w:sz w:val="18"/>
              </w:rPr>
              <w:t>-75,587,4</w:t>
            </w:r>
          </w:p>
          <w:p>
            <w:pPr>
              <w:pStyle w:val="TableParagraph"/>
              <w:spacing w:line="240" w:lineRule="auto"/>
              <w:ind w:right="18"/>
              <w:jc w:val="right"/>
              <w:rPr>
                <w:rFonts w:ascii="Century Gothic" w:hAnsi="Century Gothic" w:cs="Century Gothic" w:eastAsia="Century Gothic" w:hint="default"/>
                <w:sz w:val="18"/>
                <w:szCs w:val="18"/>
              </w:rPr>
            </w:pPr>
            <w:r>
              <w:rPr>
                <w:rFonts w:ascii="Century Gothic"/>
                <w:spacing w:val="-1"/>
                <w:w w:val="95"/>
                <w:sz w:val="18"/>
              </w:rPr>
              <w:t>90</w:t>
            </w:r>
            <w:r>
              <w:rPr>
                <w:rFonts w:ascii="Century Gothic"/>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8"/>
              <w:jc w:val="right"/>
              <w:rPr>
                <w:rFonts w:ascii="Century Gothic" w:hAnsi="Century Gothic" w:cs="Century Gothic" w:eastAsia="Century Gothic" w:hint="default"/>
                <w:sz w:val="18"/>
                <w:szCs w:val="18"/>
              </w:rPr>
            </w:pPr>
            <w:r>
              <w:rPr>
                <w:rFonts w:ascii="Century Gothic"/>
                <w:spacing w:val="-1"/>
                <w:sz w:val="18"/>
              </w:rPr>
              <w:t>58,680</w:t>
            </w:r>
            <w:r>
              <w:rPr>
                <w:rFonts w:ascii="Century Gothic"/>
                <w:sz w:val="18"/>
              </w:rPr>
            </w:r>
          </w:p>
        </w:tc>
        <w:tc>
          <w:tcPr>
            <w:tcW w:w="5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25"/>
              <w:jc w:val="right"/>
              <w:rPr>
                <w:rFonts w:ascii="Century Gothic" w:hAnsi="Century Gothic" w:cs="Century Gothic" w:eastAsia="Century Gothic" w:hint="default"/>
                <w:sz w:val="18"/>
                <w:szCs w:val="18"/>
              </w:rPr>
            </w:pPr>
            <w:r>
              <w:rPr>
                <w:rFonts w:ascii="Century Gothic"/>
                <w:spacing w:val="-1"/>
                <w:sz w:val="18"/>
              </w:rPr>
              <w:t>0.01</w:t>
            </w:r>
          </w:p>
        </w:tc>
      </w:tr>
      <w:tr>
        <w:trPr>
          <w:trHeight w:val="680"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72" w:lineRule="exact" w:before="54"/>
              <w:ind w:left="43" w:right="20"/>
              <w:jc w:val="left"/>
              <w:rPr>
                <w:rFonts w:ascii="宋体" w:hAnsi="宋体" w:cs="宋体" w:eastAsia="宋体" w:hint="default"/>
                <w:sz w:val="21"/>
                <w:szCs w:val="21"/>
              </w:rPr>
            </w:pPr>
            <w:r>
              <w:rPr>
                <w:rFonts w:ascii="宋体" w:hAnsi="宋体" w:cs="宋体" w:eastAsia="宋体" w:hint="default"/>
                <w:sz w:val="21"/>
                <w:szCs w:val="21"/>
              </w:rPr>
              <w:t>其中：境内非国有法人 持股</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19"/>
              <w:jc w:val="right"/>
              <w:rPr>
                <w:rFonts w:ascii="Century Gothic" w:hAnsi="Century Gothic" w:cs="Century Gothic" w:eastAsia="Century Gothic" w:hint="default"/>
                <w:sz w:val="18"/>
                <w:szCs w:val="18"/>
              </w:rPr>
            </w:pPr>
            <w:r>
              <w:rPr>
                <w:rFonts w:ascii="Century Gothic"/>
                <w:spacing w:val="-1"/>
                <w:sz w:val="18"/>
              </w:rPr>
              <w:t>75,356,35</w:t>
            </w:r>
            <w:r>
              <w:rPr>
                <w:rFonts w:ascii="Century Gothic"/>
                <w:sz w:val="18"/>
              </w:rPr>
            </w:r>
          </w:p>
          <w:p>
            <w:pPr>
              <w:pStyle w:val="TableParagraph"/>
              <w:spacing w:line="240" w:lineRule="auto"/>
              <w:ind w:right="18"/>
              <w:jc w:val="right"/>
              <w:rPr>
                <w:rFonts w:ascii="Century Gothic" w:hAnsi="Century Gothic" w:cs="Century Gothic" w:eastAsia="Century Gothic" w:hint="default"/>
                <w:sz w:val="18"/>
                <w:szCs w:val="18"/>
              </w:rPr>
            </w:pPr>
            <w:r>
              <w:rPr>
                <w:rFonts w:ascii="Century Gothic"/>
                <w:w w:val="99"/>
                <w:sz w:val="18"/>
              </w:rPr>
              <w:t>4</w:t>
            </w:r>
            <w:r>
              <w:rPr>
                <w:rFonts w:ascii="Century Gothic"/>
                <w:sz w:val="18"/>
              </w:rPr>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黑体" w:hAnsi="黑体" w:cs="黑体" w:eastAsia="黑体" w:hint="default"/>
                <w:b/>
                <w:bCs/>
                <w:sz w:val="17"/>
                <w:szCs w:val="17"/>
              </w:rPr>
            </w:pPr>
          </w:p>
          <w:p>
            <w:pPr>
              <w:pStyle w:val="TableParagraph"/>
              <w:spacing w:line="240" w:lineRule="auto"/>
              <w:ind w:right="18"/>
              <w:jc w:val="right"/>
              <w:rPr>
                <w:rFonts w:ascii="Century Gothic" w:hAnsi="Century Gothic" w:cs="Century Gothic" w:eastAsia="Century Gothic" w:hint="default"/>
                <w:sz w:val="18"/>
                <w:szCs w:val="18"/>
              </w:rPr>
            </w:pPr>
            <w:r>
              <w:rPr>
                <w:rFonts w:ascii="Century Gothic"/>
                <w:spacing w:val="-1"/>
                <w:sz w:val="18"/>
              </w:rPr>
              <w:t>15.45</w:t>
            </w:r>
          </w:p>
        </w:tc>
        <w:tc>
          <w:tcPr>
            <w:tcW w:w="664"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19"/>
              <w:jc w:val="right"/>
              <w:rPr>
                <w:rFonts w:ascii="Century Gothic" w:hAnsi="Century Gothic" w:cs="Century Gothic" w:eastAsia="Century Gothic" w:hint="default"/>
                <w:sz w:val="18"/>
                <w:szCs w:val="18"/>
              </w:rPr>
            </w:pPr>
            <w:r>
              <w:rPr>
                <w:rFonts w:ascii="Century Gothic"/>
                <w:spacing w:val="-1"/>
                <w:sz w:val="18"/>
              </w:rPr>
              <w:t>-75,356,3</w:t>
            </w:r>
          </w:p>
          <w:p>
            <w:pPr>
              <w:pStyle w:val="TableParagraph"/>
              <w:spacing w:line="240" w:lineRule="auto"/>
              <w:ind w:right="18"/>
              <w:jc w:val="right"/>
              <w:rPr>
                <w:rFonts w:ascii="Century Gothic" w:hAnsi="Century Gothic" w:cs="Century Gothic" w:eastAsia="Century Gothic" w:hint="default"/>
                <w:sz w:val="18"/>
                <w:szCs w:val="18"/>
              </w:rPr>
            </w:pPr>
            <w:r>
              <w:rPr>
                <w:rFonts w:ascii="Century Gothic"/>
                <w:spacing w:val="-1"/>
                <w:w w:val="95"/>
                <w:sz w:val="18"/>
              </w:rPr>
              <w:t>54</w:t>
            </w:r>
            <w:r>
              <w:rPr>
                <w:rFonts w:ascii="Century Gothic"/>
                <w:sz w:val="18"/>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4"/>
              <w:ind w:right="19"/>
              <w:jc w:val="right"/>
              <w:rPr>
                <w:rFonts w:ascii="Century Gothic" w:hAnsi="Century Gothic" w:cs="Century Gothic" w:eastAsia="Century Gothic" w:hint="default"/>
                <w:sz w:val="18"/>
                <w:szCs w:val="18"/>
              </w:rPr>
            </w:pPr>
            <w:r>
              <w:rPr>
                <w:rFonts w:ascii="Century Gothic"/>
                <w:spacing w:val="-1"/>
                <w:sz w:val="18"/>
              </w:rPr>
              <w:t>-75,356,3</w:t>
            </w:r>
          </w:p>
          <w:p>
            <w:pPr>
              <w:pStyle w:val="TableParagraph"/>
              <w:spacing w:line="240" w:lineRule="auto"/>
              <w:ind w:right="18"/>
              <w:jc w:val="right"/>
              <w:rPr>
                <w:rFonts w:ascii="Century Gothic" w:hAnsi="Century Gothic" w:cs="Century Gothic" w:eastAsia="Century Gothic" w:hint="default"/>
                <w:sz w:val="18"/>
                <w:szCs w:val="18"/>
              </w:rPr>
            </w:pPr>
            <w:r>
              <w:rPr>
                <w:rFonts w:ascii="Century Gothic"/>
                <w:spacing w:val="-1"/>
                <w:w w:val="95"/>
                <w:sz w:val="18"/>
              </w:rPr>
              <w:t>54</w:t>
            </w:r>
            <w:r>
              <w:rPr>
                <w:rFonts w:ascii="Century Gothic"/>
                <w:sz w:val="18"/>
              </w:rPr>
            </w:r>
          </w:p>
        </w:tc>
        <w:tc>
          <w:tcPr>
            <w:tcW w:w="1080"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nil" w:sz="6" w:space="0" w:color="auto"/>
            </w:tcBorders>
          </w:tcPr>
          <w:p>
            <w:pPr/>
          </w:p>
        </w:tc>
      </w:tr>
      <w:tr>
        <w:trPr>
          <w:trHeight w:val="408"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hAnsi="宋体" w:cs="宋体" w:eastAsia="宋体" w:hint="default"/>
                <w:sz w:val="21"/>
                <w:szCs w:val="21"/>
              </w:rPr>
              <w:t>境内自然人持股</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9" w:right="0"/>
              <w:jc w:val="left"/>
              <w:rPr>
                <w:rFonts w:ascii="Century Gothic" w:hAnsi="Century Gothic" w:cs="Century Gothic" w:eastAsia="Century Gothic" w:hint="default"/>
                <w:sz w:val="18"/>
                <w:szCs w:val="18"/>
              </w:rPr>
            </w:pPr>
            <w:r>
              <w:rPr>
                <w:rFonts w:ascii="Century Gothic"/>
                <w:sz w:val="18"/>
              </w:rPr>
              <w:t>289,816</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Century Gothic" w:hAnsi="Century Gothic" w:cs="Century Gothic" w:eastAsia="Century Gothic" w:hint="default"/>
                <w:sz w:val="18"/>
                <w:szCs w:val="18"/>
              </w:rPr>
            </w:pPr>
            <w:r>
              <w:rPr>
                <w:rFonts w:ascii="Century Gothic"/>
                <w:spacing w:val="-1"/>
                <w:sz w:val="18"/>
              </w:rPr>
              <w:t>0.06</w:t>
            </w:r>
          </w:p>
        </w:tc>
        <w:tc>
          <w:tcPr>
            <w:tcW w:w="664"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7" w:right="0"/>
              <w:jc w:val="center"/>
              <w:rPr>
                <w:rFonts w:ascii="Century Gothic" w:hAnsi="Century Gothic" w:cs="Century Gothic" w:eastAsia="Century Gothic" w:hint="default"/>
                <w:sz w:val="18"/>
                <w:szCs w:val="18"/>
              </w:rPr>
            </w:pPr>
            <w:r>
              <w:rPr>
                <w:rFonts w:ascii="Century Gothic"/>
                <w:sz w:val="18"/>
              </w:rPr>
              <w:t>-231,136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8" w:right="0"/>
              <w:jc w:val="left"/>
              <w:rPr>
                <w:rFonts w:ascii="Century Gothic" w:hAnsi="Century Gothic" w:cs="Century Gothic" w:eastAsia="Century Gothic" w:hint="default"/>
                <w:sz w:val="18"/>
                <w:szCs w:val="18"/>
              </w:rPr>
            </w:pPr>
            <w:r>
              <w:rPr>
                <w:rFonts w:ascii="Century Gothic"/>
                <w:sz w:val="18"/>
              </w:rPr>
              <w:t>-231,136</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Century Gothic" w:hAnsi="Century Gothic" w:cs="Century Gothic" w:eastAsia="Century Gothic" w:hint="default"/>
                <w:sz w:val="18"/>
                <w:szCs w:val="18"/>
              </w:rPr>
            </w:pPr>
            <w:r>
              <w:rPr>
                <w:rFonts w:ascii="Century Gothic"/>
                <w:spacing w:val="-1"/>
                <w:sz w:val="18"/>
              </w:rPr>
              <w:t>58,680</w:t>
            </w:r>
            <w:r>
              <w:rPr>
                <w:rFonts w:ascii="Century Gothic"/>
                <w:sz w:val="18"/>
              </w:rPr>
            </w:r>
          </w:p>
        </w:tc>
        <w:tc>
          <w:tcPr>
            <w:tcW w:w="5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25"/>
              <w:jc w:val="right"/>
              <w:rPr>
                <w:rFonts w:ascii="Century Gothic" w:hAnsi="Century Gothic" w:cs="Century Gothic" w:eastAsia="Century Gothic" w:hint="default"/>
                <w:sz w:val="18"/>
                <w:szCs w:val="18"/>
              </w:rPr>
            </w:pPr>
            <w:r>
              <w:rPr>
                <w:rFonts w:ascii="Century Gothic"/>
                <w:spacing w:val="-1"/>
                <w:sz w:val="18"/>
              </w:rPr>
              <w:t>0.01</w:t>
            </w:r>
          </w:p>
        </w:tc>
      </w:tr>
      <w:tr>
        <w:trPr>
          <w:trHeight w:val="408"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Century Gothic" w:hAnsi="Century Gothic" w:cs="Century Gothic" w:eastAsia="Century Gothic" w:hint="default"/>
                <w:sz w:val="21"/>
                <w:szCs w:val="21"/>
              </w:rPr>
              <w:t>4</w:t>
            </w:r>
            <w:r>
              <w:rPr>
                <w:rFonts w:ascii="宋体" w:hAnsi="宋体" w:cs="宋体" w:eastAsia="宋体" w:hint="default"/>
                <w:sz w:val="21"/>
                <w:szCs w:val="21"/>
              </w:rPr>
              <w:t>．境外持股</w:t>
            </w:r>
          </w:p>
        </w:tc>
        <w:tc>
          <w:tcPr>
            <w:tcW w:w="90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nil" w:sz="6" w:space="0" w:color="auto"/>
            </w:tcBorders>
          </w:tcPr>
          <w:p>
            <w:pPr/>
          </w:p>
        </w:tc>
      </w:tr>
      <w:tr>
        <w:trPr>
          <w:trHeight w:val="408"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90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nil" w:sz="6" w:space="0" w:color="auto"/>
            </w:tcBorders>
          </w:tcPr>
          <w:p>
            <w:pPr/>
          </w:p>
        </w:tc>
      </w:tr>
      <w:tr>
        <w:trPr>
          <w:trHeight w:val="408"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right="23"/>
              <w:jc w:val="right"/>
              <w:rPr>
                <w:rFonts w:ascii="宋体" w:hAnsi="宋体" w:cs="宋体" w:eastAsia="宋体" w:hint="default"/>
                <w:sz w:val="21"/>
                <w:szCs w:val="21"/>
              </w:rPr>
            </w:pPr>
            <w:r>
              <w:rPr>
                <w:rFonts w:ascii="宋体" w:hAnsi="宋体" w:cs="宋体" w:eastAsia="宋体" w:hint="default"/>
                <w:sz w:val="21"/>
                <w:szCs w:val="21"/>
              </w:rPr>
              <w:t>境外自然人持股</w:t>
            </w:r>
          </w:p>
        </w:tc>
        <w:tc>
          <w:tcPr>
            <w:tcW w:w="90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nil" w:sz="6" w:space="0" w:color="auto"/>
            </w:tcBorders>
          </w:tcPr>
          <w:p>
            <w:pPr/>
          </w:p>
        </w:tc>
      </w:tr>
      <w:tr>
        <w:trPr>
          <w:trHeight w:val="457"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23"/>
              <w:jc w:val="right"/>
              <w:rPr>
                <w:rFonts w:ascii="宋体" w:hAnsi="宋体" w:cs="宋体" w:eastAsia="宋体" w:hint="default"/>
                <w:sz w:val="21"/>
                <w:szCs w:val="21"/>
              </w:rPr>
            </w:pPr>
            <w:r>
              <w:rPr>
                <w:rFonts w:ascii="宋体" w:hAnsi="宋体" w:cs="宋体" w:eastAsia="宋体" w:hint="default"/>
                <w:sz w:val="21"/>
                <w:szCs w:val="21"/>
              </w:rPr>
              <w:t>有限售条件股份合计</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9"/>
              <w:jc w:val="right"/>
              <w:rPr>
                <w:rFonts w:ascii="Century Gothic" w:hAnsi="Century Gothic" w:cs="Century Gothic" w:eastAsia="Century Gothic" w:hint="default"/>
                <w:sz w:val="18"/>
                <w:szCs w:val="18"/>
              </w:rPr>
            </w:pPr>
            <w:r>
              <w:rPr>
                <w:rFonts w:ascii="Century Gothic"/>
                <w:spacing w:val="-1"/>
                <w:sz w:val="18"/>
              </w:rPr>
              <w:t>75,646,17</w:t>
            </w:r>
            <w:r>
              <w:rPr>
                <w:rFonts w:ascii="Century Gothic"/>
                <w:sz w:val="18"/>
              </w:rPr>
            </w:r>
          </w:p>
          <w:p>
            <w:pPr>
              <w:pStyle w:val="TableParagraph"/>
              <w:spacing w:line="240" w:lineRule="auto"/>
              <w:ind w:right="18"/>
              <w:jc w:val="right"/>
              <w:rPr>
                <w:rFonts w:ascii="Century Gothic" w:hAnsi="Century Gothic" w:cs="Century Gothic" w:eastAsia="Century Gothic" w:hint="default"/>
                <w:sz w:val="18"/>
                <w:szCs w:val="18"/>
              </w:rPr>
            </w:pPr>
            <w:r>
              <w:rPr>
                <w:rFonts w:ascii="Century Gothic"/>
                <w:w w:val="99"/>
                <w:sz w:val="18"/>
              </w:rPr>
              <w:t>0</w:t>
            </w:r>
            <w:r>
              <w:rPr>
                <w:rFonts w:ascii="Century Gothic"/>
                <w:sz w:val="18"/>
              </w:rPr>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8"/>
              <w:jc w:val="right"/>
              <w:rPr>
                <w:rFonts w:ascii="Century Gothic" w:hAnsi="Century Gothic" w:cs="Century Gothic" w:eastAsia="Century Gothic" w:hint="default"/>
                <w:sz w:val="18"/>
                <w:szCs w:val="18"/>
              </w:rPr>
            </w:pPr>
            <w:r>
              <w:rPr>
                <w:rFonts w:ascii="Century Gothic"/>
                <w:spacing w:val="-1"/>
                <w:sz w:val="18"/>
              </w:rPr>
              <w:t>15.51</w:t>
            </w:r>
          </w:p>
        </w:tc>
        <w:tc>
          <w:tcPr>
            <w:tcW w:w="664"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9"/>
              <w:jc w:val="right"/>
              <w:rPr>
                <w:rFonts w:ascii="Century Gothic" w:hAnsi="Century Gothic" w:cs="Century Gothic" w:eastAsia="Century Gothic" w:hint="default"/>
                <w:sz w:val="18"/>
                <w:szCs w:val="18"/>
              </w:rPr>
            </w:pPr>
            <w:r>
              <w:rPr>
                <w:rFonts w:ascii="Century Gothic"/>
                <w:spacing w:val="-1"/>
                <w:sz w:val="18"/>
              </w:rPr>
              <w:t>-75,587,4</w:t>
            </w:r>
          </w:p>
          <w:p>
            <w:pPr>
              <w:pStyle w:val="TableParagraph"/>
              <w:spacing w:line="240" w:lineRule="auto"/>
              <w:ind w:right="18"/>
              <w:jc w:val="right"/>
              <w:rPr>
                <w:rFonts w:ascii="Century Gothic" w:hAnsi="Century Gothic" w:cs="Century Gothic" w:eastAsia="Century Gothic" w:hint="default"/>
                <w:sz w:val="18"/>
                <w:szCs w:val="18"/>
              </w:rPr>
            </w:pPr>
            <w:r>
              <w:rPr>
                <w:rFonts w:ascii="Century Gothic"/>
                <w:spacing w:val="-1"/>
                <w:w w:val="95"/>
                <w:sz w:val="18"/>
              </w:rPr>
              <w:t>90</w:t>
            </w:r>
            <w:r>
              <w:rPr>
                <w:rFonts w:ascii="Century Gothic"/>
                <w:sz w:val="18"/>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9"/>
              <w:jc w:val="right"/>
              <w:rPr>
                <w:rFonts w:ascii="Century Gothic" w:hAnsi="Century Gothic" w:cs="Century Gothic" w:eastAsia="Century Gothic" w:hint="default"/>
                <w:sz w:val="18"/>
                <w:szCs w:val="18"/>
              </w:rPr>
            </w:pPr>
            <w:r>
              <w:rPr>
                <w:rFonts w:ascii="Century Gothic"/>
                <w:spacing w:val="-1"/>
                <w:sz w:val="18"/>
              </w:rPr>
              <w:t>-75,587,4</w:t>
            </w:r>
          </w:p>
          <w:p>
            <w:pPr>
              <w:pStyle w:val="TableParagraph"/>
              <w:spacing w:line="240" w:lineRule="auto"/>
              <w:ind w:right="18"/>
              <w:jc w:val="right"/>
              <w:rPr>
                <w:rFonts w:ascii="Century Gothic" w:hAnsi="Century Gothic" w:cs="Century Gothic" w:eastAsia="Century Gothic" w:hint="default"/>
                <w:sz w:val="18"/>
                <w:szCs w:val="18"/>
              </w:rPr>
            </w:pPr>
            <w:r>
              <w:rPr>
                <w:rFonts w:ascii="Century Gothic"/>
                <w:spacing w:val="-1"/>
                <w:w w:val="95"/>
                <w:sz w:val="18"/>
              </w:rPr>
              <w:t>90</w:t>
            </w:r>
            <w:r>
              <w:rPr>
                <w:rFonts w:ascii="Century Gothic"/>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8"/>
              <w:jc w:val="right"/>
              <w:rPr>
                <w:rFonts w:ascii="Century Gothic" w:hAnsi="Century Gothic" w:cs="Century Gothic" w:eastAsia="Century Gothic" w:hint="default"/>
                <w:sz w:val="18"/>
                <w:szCs w:val="18"/>
              </w:rPr>
            </w:pPr>
            <w:r>
              <w:rPr>
                <w:rFonts w:ascii="Century Gothic"/>
                <w:spacing w:val="-1"/>
                <w:sz w:val="18"/>
              </w:rPr>
              <w:t>58,680</w:t>
            </w:r>
            <w:r>
              <w:rPr>
                <w:rFonts w:ascii="Century Gothic"/>
                <w:sz w:val="18"/>
              </w:rPr>
            </w:r>
          </w:p>
        </w:tc>
        <w:tc>
          <w:tcPr>
            <w:tcW w:w="5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25"/>
              <w:jc w:val="right"/>
              <w:rPr>
                <w:rFonts w:ascii="Century Gothic" w:hAnsi="Century Gothic" w:cs="Century Gothic" w:eastAsia="Century Gothic" w:hint="default"/>
                <w:sz w:val="18"/>
                <w:szCs w:val="18"/>
              </w:rPr>
            </w:pPr>
            <w:r>
              <w:rPr>
                <w:rFonts w:ascii="Century Gothic"/>
                <w:spacing w:val="-1"/>
                <w:sz w:val="18"/>
              </w:rPr>
              <w:t>0.01</w:t>
            </w:r>
          </w:p>
        </w:tc>
      </w:tr>
      <w:tr>
        <w:trPr>
          <w:trHeight w:val="408"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90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43"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46"/>
                <w:sz w:val="21"/>
                <w:szCs w:val="21"/>
              </w:rPr>
              <w:t> </w:t>
            </w:r>
            <w:r>
              <w:rPr>
                <w:rFonts w:ascii="宋体" w:hAnsi="宋体" w:cs="宋体" w:eastAsia="宋体" w:hint="default"/>
                <w:sz w:val="21"/>
                <w:szCs w:val="21"/>
              </w:rPr>
              <w:t>人民币普通股</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2"/>
              <w:ind w:right="20"/>
              <w:jc w:val="right"/>
              <w:rPr>
                <w:rFonts w:ascii="Century Gothic" w:hAnsi="Century Gothic" w:cs="Century Gothic" w:eastAsia="Century Gothic" w:hint="default"/>
                <w:sz w:val="18"/>
                <w:szCs w:val="18"/>
              </w:rPr>
            </w:pPr>
            <w:r>
              <w:rPr>
                <w:rFonts w:ascii="Century Gothic"/>
                <w:spacing w:val="-1"/>
                <w:sz w:val="18"/>
              </w:rPr>
              <w:t>412,085,8</w:t>
            </w:r>
            <w:r>
              <w:rPr>
                <w:rFonts w:ascii="Century Gothic"/>
                <w:sz w:val="18"/>
              </w:rPr>
            </w:r>
          </w:p>
          <w:p>
            <w:pPr>
              <w:pStyle w:val="TableParagraph"/>
              <w:spacing w:line="220" w:lineRule="exact"/>
              <w:ind w:right="18"/>
              <w:jc w:val="right"/>
              <w:rPr>
                <w:rFonts w:ascii="Century Gothic" w:hAnsi="Century Gothic" w:cs="Century Gothic" w:eastAsia="Century Gothic" w:hint="default"/>
                <w:sz w:val="18"/>
                <w:szCs w:val="18"/>
              </w:rPr>
            </w:pPr>
            <w:r>
              <w:rPr>
                <w:rFonts w:ascii="Century Gothic"/>
                <w:spacing w:val="-1"/>
                <w:w w:val="95"/>
                <w:sz w:val="18"/>
              </w:rPr>
              <w:t>25</w:t>
            </w:r>
            <w:r>
              <w:rPr>
                <w:rFonts w:ascii="Century Gothic"/>
                <w:sz w:val="18"/>
              </w:rPr>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8"/>
              <w:jc w:val="right"/>
              <w:rPr>
                <w:rFonts w:ascii="Century Gothic" w:hAnsi="Century Gothic" w:cs="Century Gothic" w:eastAsia="Century Gothic" w:hint="default"/>
                <w:sz w:val="18"/>
                <w:szCs w:val="18"/>
              </w:rPr>
            </w:pPr>
            <w:r>
              <w:rPr>
                <w:rFonts w:ascii="Century Gothic"/>
                <w:spacing w:val="-1"/>
                <w:sz w:val="18"/>
              </w:rPr>
              <w:t>84.49</w:t>
            </w:r>
          </w:p>
        </w:tc>
        <w:tc>
          <w:tcPr>
            <w:tcW w:w="664"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2"/>
              <w:ind w:right="19"/>
              <w:jc w:val="right"/>
              <w:rPr>
                <w:rFonts w:ascii="Century Gothic" w:hAnsi="Century Gothic" w:cs="Century Gothic" w:eastAsia="Century Gothic" w:hint="default"/>
                <w:sz w:val="18"/>
                <w:szCs w:val="18"/>
              </w:rPr>
            </w:pPr>
            <w:r>
              <w:rPr>
                <w:rFonts w:ascii="Century Gothic"/>
                <w:spacing w:val="-1"/>
                <w:sz w:val="18"/>
              </w:rPr>
              <w:t>75,587,49</w:t>
            </w:r>
            <w:r>
              <w:rPr>
                <w:rFonts w:ascii="Century Gothic"/>
                <w:sz w:val="18"/>
              </w:rPr>
            </w:r>
          </w:p>
          <w:p>
            <w:pPr>
              <w:pStyle w:val="TableParagraph"/>
              <w:spacing w:line="220" w:lineRule="exact"/>
              <w:ind w:right="18"/>
              <w:jc w:val="right"/>
              <w:rPr>
                <w:rFonts w:ascii="Century Gothic" w:hAnsi="Century Gothic" w:cs="Century Gothic" w:eastAsia="Century Gothic" w:hint="default"/>
                <w:sz w:val="18"/>
                <w:szCs w:val="18"/>
              </w:rPr>
            </w:pPr>
            <w:r>
              <w:rPr>
                <w:rFonts w:ascii="Century Gothic"/>
                <w:w w:val="99"/>
                <w:sz w:val="18"/>
              </w:rPr>
              <w:t>0</w:t>
            </w:r>
            <w:r>
              <w:rPr>
                <w:rFonts w:ascii="Century Gothic"/>
                <w:sz w:val="18"/>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before="2"/>
              <w:ind w:right="19"/>
              <w:jc w:val="right"/>
              <w:rPr>
                <w:rFonts w:ascii="Century Gothic" w:hAnsi="Century Gothic" w:cs="Century Gothic" w:eastAsia="Century Gothic" w:hint="default"/>
                <w:sz w:val="18"/>
                <w:szCs w:val="18"/>
              </w:rPr>
            </w:pPr>
            <w:r>
              <w:rPr>
                <w:rFonts w:ascii="Century Gothic"/>
                <w:spacing w:val="-1"/>
                <w:sz w:val="18"/>
              </w:rPr>
              <w:t>75,587,49</w:t>
            </w:r>
            <w:r>
              <w:rPr>
                <w:rFonts w:ascii="Century Gothic"/>
                <w:sz w:val="18"/>
              </w:rPr>
            </w:r>
          </w:p>
          <w:p>
            <w:pPr>
              <w:pStyle w:val="TableParagraph"/>
              <w:spacing w:line="220" w:lineRule="exact"/>
              <w:ind w:right="18"/>
              <w:jc w:val="right"/>
              <w:rPr>
                <w:rFonts w:ascii="Century Gothic" w:hAnsi="Century Gothic" w:cs="Century Gothic" w:eastAsia="Century Gothic" w:hint="default"/>
                <w:sz w:val="18"/>
                <w:szCs w:val="18"/>
              </w:rPr>
            </w:pPr>
            <w:r>
              <w:rPr>
                <w:rFonts w:ascii="Century Gothic"/>
                <w:w w:val="99"/>
                <w:sz w:val="18"/>
              </w:rPr>
              <w:t>0</w:t>
            </w:r>
            <w:r>
              <w:rPr>
                <w:rFonts w:ascii="Century Gothic"/>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8"/>
              <w:jc w:val="right"/>
              <w:rPr>
                <w:rFonts w:ascii="Century Gothic" w:hAnsi="Century Gothic" w:cs="Century Gothic" w:eastAsia="Century Gothic" w:hint="default"/>
                <w:sz w:val="18"/>
                <w:szCs w:val="18"/>
              </w:rPr>
            </w:pPr>
            <w:r>
              <w:rPr>
                <w:rFonts w:ascii="Century Gothic"/>
                <w:spacing w:val="-1"/>
                <w:sz w:val="18"/>
              </w:rPr>
              <w:t>487,673,315</w:t>
            </w:r>
            <w:r>
              <w:rPr>
                <w:rFonts w:ascii="Century Gothic"/>
                <w:sz w:val="18"/>
              </w:rPr>
            </w:r>
          </w:p>
        </w:tc>
        <w:tc>
          <w:tcPr>
            <w:tcW w:w="5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25"/>
              <w:jc w:val="right"/>
              <w:rPr>
                <w:rFonts w:ascii="Century Gothic" w:hAnsi="Century Gothic" w:cs="Century Gothic" w:eastAsia="Century Gothic" w:hint="default"/>
                <w:sz w:val="18"/>
                <w:szCs w:val="18"/>
              </w:rPr>
            </w:pPr>
            <w:r>
              <w:rPr>
                <w:rFonts w:ascii="Century Gothic"/>
                <w:spacing w:val="-1"/>
                <w:sz w:val="18"/>
              </w:rPr>
              <w:t>99.99</w:t>
            </w:r>
          </w:p>
        </w:tc>
      </w:tr>
      <w:tr>
        <w:trPr>
          <w:trHeight w:val="408"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Century Gothic" w:hAnsi="Century Gothic" w:cs="Century Gothic" w:eastAsia="Century Gothic" w:hint="default"/>
                <w:spacing w:val="45"/>
                <w:sz w:val="21"/>
                <w:szCs w:val="21"/>
              </w:rPr>
              <w:t> </w:t>
            </w:r>
            <w:r>
              <w:rPr>
                <w:rFonts w:ascii="宋体" w:hAnsi="宋体" w:cs="宋体" w:eastAsia="宋体" w:hint="default"/>
                <w:sz w:val="21"/>
                <w:szCs w:val="21"/>
              </w:rPr>
              <w:t>境内上市的外资股</w:t>
            </w:r>
          </w:p>
        </w:tc>
        <w:tc>
          <w:tcPr>
            <w:tcW w:w="90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nil" w:sz="6" w:space="0" w:color="auto"/>
            </w:tcBorders>
          </w:tcPr>
          <w:p>
            <w:pPr/>
          </w:p>
        </w:tc>
      </w:tr>
      <w:tr>
        <w:trPr>
          <w:trHeight w:val="408"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45"/>
                <w:sz w:val="21"/>
                <w:szCs w:val="21"/>
              </w:rPr>
              <w:t> </w:t>
            </w:r>
            <w:r>
              <w:rPr>
                <w:rFonts w:ascii="宋体" w:hAnsi="宋体" w:cs="宋体" w:eastAsia="宋体" w:hint="default"/>
                <w:sz w:val="21"/>
                <w:szCs w:val="21"/>
              </w:rPr>
              <w:t>境外上市的外资股</w:t>
            </w:r>
          </w:p>
        </w:tc>
        <w:tc>
          <w:tcPr>
            <w:tcW w:w="90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nil" w:sz="6" w:space="0" w:color="auto"/>
            </w:tcBorders>
          </w:tcPr>
          <w:p>
            <w:pPr/>
          </w:p>
        </w:tc>
      </w:tr>
      <w:tr>
        <w:trPr>
          <w:trHeight w:val="408"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43" w:right="0"/>
              <w:jc w:val="left"/>
              <w:rPr>
                <w:rFonts w:ascii="宋体" w:hAnsi="宋体" w:cs="宋体" w:eastAsia="宋体" w:hint="default"/>
                <w:sz w:val="21"/>
                <w:szCs w:val="21"/>
              </w:rPr>
            </w:pPr>
            <w:r>
              <w:rPr>
                <w:rFonts w:ascii="Century Gothic" w:hAnsi="Century Gothic" w:cs="Century Gothic" w:eastAsia="Century Gothic" w:hint="default"/>
                <w:sz w:val="21"/>
                <w:szCs w:val="21"/>
              </w:rPr>
              <w:t>4.</w:t>
            </w:r>
            <w:r>
              <w:rPr>
                <w:rFonts w:ascii="Century Gothic" w:hAnsi="Century Gothic" w:cs="Century Gothic" w:eastAsia="Century Gothic" w:hint="default"/>
                <w:spacing w:val="44"/>
                <w:sz w:val="21"/>
                <w:szCs w:val="21"/>
              </w:rPr>
              <w:t> </w:t>
            </w:r>
            <w:r>
              <w:rPr>
                <w:rFonts w:ascii="宋体" w:hAnsi="宋体" w:cs="宋体" w:eastAsia="宋体" w:hint="default"/>
                <w:sz w:val="21"/>
                <w:szCs w:val="21"/>
              </w:rPr>
              <w:t>其他</w:t>
            </w:r>
          </w:p>
        </w:tc>
        <w:tc>
          <w:tcPr>
            <w:tcW w:w="901"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664"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
        </w:tc>
        <w:tc>
          <w:tcPr>
            <w:tcW w:w="565"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right="23"/>
              <w:jc w:val="right"/>
              <w:rPr>
                <w:rFonts w:ascii="宋体" w:hAnsi="宋体" w:cs="宋体" w:eastAsia="宋体" w:hint="default"/>
                <w:sz w:val="21"/>
                <w:szCs w:val="21"/>
              </w:rPr>
            </w:pPr>
            <w:r>
              <w:rPr>
                <w:rFonts w:ascii="宋体" w:hAnsi="宋体" w:cs="宋体" w:eastAsia="宋体" w:hint="default"/>
                <w:sz w:val="21"/>
                <w:szCs w:val="21"/>
              </w:rPr>
              <w:t>无限售条件股份合计</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20"/>
              <w:jc w:val="right"/>
              <w:rPr>
                <w:rFonts w:ascii="Century Gothic" w:hAnsi="Century Gothic" w:cs="Century Gothic" w:eastAsia="Century Gothic" w:hint="default"/>
                <w:sz w:val="18"/>
                <w:szCs w:val="18"/>
              </w:rPr>
            </w:pPr>
            <w:r>
              <w:rPr>
                <w:rFonts w:ascii="Century Gothic"/>
                <w:spacing w:val="-1"/>
                <w:sz w:val="18"/>
              </w:rPr>
              <w:t>412,085,8</w:t>
            </w:r>
            <w:r>
              <w:rPr>
                <w:rFonts w:ascii="Century Gothic"/>
                <w:sz w:val="18"/>
              </w:rPr>
            </w:r>
          </w:p>
          <w:p>
            <w:pPr>
              <w:pStyle w:val="TableParagraph"/>
              <w:spacing w:line="240" w:lineRule="auto"/>
              <w:ind w:right="18"/>
              <w:jc w:val="right"/>
              <w:rPr>
                <w:rFonts w:ascii="Century Gothic" w:hAnsi="Century Gothic" w:cs="Century Gothic" w:eastAsia="Century Gothic" w:hint="default"/>
                <w:sz w:val="18"/>
                <w:szCs w:val="18"/>
              </w:rPr>
            </w:pPr>
            <w:r>
              <w:rPr>
                <w:rFonts w:ascii="Century Gothic"/>
                <w:spacing w:val="-1"/>
                <w:w w:val="95"/>
                <w:sz w:val="18"/>
              </w:rPr>
              <w:t>25</w:t>
            </w:r>
            <w:r>
              <w:rPr>
                <w:rFonts w:ascii="Century Gothic"/>
                <w:sz w:val="18"/>
              </w:rPr>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8"/>
              <w:jc w:val="right"/>
              <w:rPr>
                <w:rFonts w:ascii="Century Gothic" w:hAnsi="Century Gothic" w:cs="Century Gothic" w:eastAsia="Century Gothic" w:hint="default"/>
                <w:sz w:val="18"/>
                <w:szCs w:val="18"/>
              </w:rPr>
            </w:pPr>
            <w:r>
              <w:rPr>
                <w:rFonts w:ascii="Century Gothic"/>
                <w:spacing w:val="-1"/>
                <w:sz w:val="18"/>
              </w:rPr>
              <w:t>84.49</w:t>
            </w:r>
          </w:p>
        </w:tc>
        <w:tc>
          <w:tcPr>
            <w:tcW w:w="664" w:type="dxa"/>
            <w:tcBorders>
              <w:top w:val="single" w:sz="6" w:space="0" w:color="000000"/>
              <w:left w:val="single" w:sz="6" w:space="0" w:color="000000"/>
              <w:bottom w:val="single" w:sz="6" w:space="0" w:color="000000"/>
              <w:right w:val="single" w:sz="6" w:space="0" w:color="000000"/>
            </w:tcBorders>
          </w:tcPr>
          <w:p>
            <w:pPr/>
          </w:p>
        </w:tc>
        <w:tc>
          <w:tcPr>
            <w:tcW w:w="384" w:type="dxa"/>
            <w:tcBorders>
              <w:top w:val="single" w:sz="6" w:space="0" w:color="000000"/>
              <w:left w:val="single" w:sz="6" w:space="0" w:color="000000"/>
              <w:bottom w:val="single" w:sz="6" w:space="0" w:color="000000"/>
              <w:right w:val="single" w:sz="6" w:space="0" w:color="000000"/>
            </w:tcBorders>
          </w:tcPr>
          <w:p>
            <w:pPr/>
          </w:p>
        </w:tc>
        <w:tc>
          <w:tcPr>
            <w:tcW w:w="613"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9"/>
              <w:jc w:val="right"/>
              <w:rPr>
                <w:rFonts w:ascii="Century Gothic" w:hAnsi="Century Gothic" w:cs="Century Gothic" w:eastAsia="Century Gothic" w:hint="default"/>
                <w:sz w:val="18"/>
                <w:szCs w:val="18"/>
              </w:rPr>
            </w:pPr>
            <w:r>
              <w:rPr>
                <w:rFonts w:ascii="Century Gothic"/>
                <w:spacing w:val="-1"/>
                <w:sz w:val="18"/>
              </w:rPr>
              <w:t>75,587,49</w:t>
            </w:r>
            <w:r>
              <w:rPr>
                <w:rFonts w:ascii="Century Gothic"/>
                <w:sz w:val="18"/>
              </w:rPr>
            </w:r>
          </w:p>
          <w:p>
            <w:pPr>
              <w:pStyle w:val="TableParagraph"/>
              <w:spacing w:line="240" w:lineRule="auto"/>
              <w:ind w:right="18"/>
              <w:jc w:val="right"/>
              <w:rPr>
                <w:rFonts w:ascii="Century Gothic" w:hAnsi="Century Gothic" w:cs="Century Gothic" w:eastAsia="Century Gothic" w:hint="default"/>
                <w:sz w:val="18"/>
                <w:szCs w:val="18"/>
              </w:rPr>
            </w:pPr>
            <w:r>
              <w:rPr>
                <w:rFonts w:ascii="Century Gothic"/>
                <w:w w:val="99"/>
                <w:sz w:val="18"/>
              </w:rPr>
              <w:t>0</w:t>
            </w:r>
            <w:r>
              <w:rPr>
                <w:rFonts w:ascii="Century Gothic"/>
                <w:sz w:val="18"/>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19"/>
              <w:jc w:val="right"/>
              <w:rPr>
                <w:rFonts w:ascii="Century Gothic" w:hAnsi="Century Gothic" w:cs="Century Gothic" w:eastAsia="Century Gothic" w:hint="default"/>
                <w:sz w:val="18"/>
                <w:szCs w:val="18"/>
              </w:rPr>
            </w:pPr>
            <w:r>
              <w:rPr>
                <w:rFonts w:ascii="Century Gothic"/>
                <w:spacing w:val="-1"/>
                <w:sz w:val="18"/>
              </w:rPr>
              <w:t>75,587,49</w:t>
            </w:r>
            <w:r>
              <w:rPr>
                <w:rFonts w:ascii="Century Gothic"/>
                <w:sz w:val="18"/>
              </w:rPr>
            </w:r>
          </w:p>
          <w:p>
            <w:pPr>
              <w:pStyle w:val="TableParagraph"/>
              <w:spacing w:line="240" w:lineRule="auto"/>
              <w:ind w:right="18"/>
              <w:jc w:val="right"/>
              <w:rPr>
                <w:rFonts w:ascii="Century Gothic" w:hAnsi="Century Gothic" w:cs="Century Gothic" w:eastAsia="Century Gothic" w:hint="default"/>
                <w:sz w:val="18"/>
                <w:szCs w:val="18"/>
              </w:rPr>
            </w:pPr>
            <w:r>
              <w:rPr>
                <w:rFonts w:ascii="Century Gothic"/>
                <w:w w:val="99"/>
                <w:sz w:val="18"/>
              </w:rPr>
              <w:t>0</w:t>
            </w:r>
            <w:r>
              <w:rPr>
                <w:rFonts w:ascii="Century Gothic"/>
                <w:sz w:val="18"/>
              </w:rPr>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8"/>
              <w:jc w:val="right"/>
              <w:rPr>
                <w:rFonts w:ascii="Century Gothic" w:hAnsi="Century Gothic" w:cs="Century Gothic" w:eastAsia="Century Gothic" w:hint="default"/>
                <w:sz w:val="18"/>
                <w:szCs w:val="18"/>
              </w:rPr>
            </w:pPr>
            <w:r>
              <w:rPr>
                <w:rFonts w:ascii="Century Gothic"/>
                <w:spacing w:val="-1"/>
                <w:sz w:val="18"/>
              </w:rPr>
              <w:t>487,673,315</w:t>
            </w:r>
            <w:r>
              <w:rPr>
                <w:rFonts w:ascii="Century Gothic"/>
                <w:sz w:val="18"/>
              </w:rPr>
            </w:r>
          </w:p>
        </w:tc>
        <w:tc>
          <w:tcPr>
            <w:tcW w:w="5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25"/>
              <w:jc w:val="right"/>
              <w:rPr>
                <w:rFonts w:ascii="Century Gothic" w:hAnsi="Century Gothic" w:cs="Century Gothic" w:eastAsia="Century Gothic" w:hint="default"/>
                <w:sz w:val="18"/>
                <w:szCs w:val="18"/>
              </w:rPr>
            </w:pPr>
            <w:r>
              <w:rPr>
                <w:rFonts w:ascii="Century Gothic"/>
                <w:spacing w:val="-1"/>
                <w:sz w:val="18"/>
              </w:rPr>
              <w:t>99.99</w:t>
            </w:r>
          </w:p>
        </w:tc>
      </w:tr>
      <w:tr>
        <w:trPr>
          <w:trHeight w:val="464" w:hRule="exact"/>
        </w:trPr>
        <w:tc>
          <w:tcPr>
            <w:tcW w:w="217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1"/>
              <w:ind w:left="674"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9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1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487,731,9</w:t>
            </w:r>
            <w:r>
              <w:rPr>
                <w:rFonts w:ascii="Century Gothic"/>
                <w:b/>
                <w:w w:val="95"/>
                <w:sz w:val="18"/>
              </w:rPr>
            </w:r>
            <w:r>
              <w:rPr>
                <w:rFonts w:ascii="Century Gothic"/>
                <w:sz w:val="18"/>
              </w:rPr>
            </w:r>
          </w:p>
          <w:p>
            <w:pPr>
              <w:pStyle w:val="TableParagraph"/>
              <w:spacing w:line="240" w:lineRule="auto"/>
              <w:ind w:right="18"/>
              <w:jc w:val="right"/>
              <w:rPr>
                <w:rFonts w:ascii="Century Gothic" w:hAnsi="Century Gothic" w:cs="Century Gothic" w:eastAsia="Century Gothic" w:hint="default"/>
                <w:sz w:val="18"/>
                <w:szCs w:val="18"/>
              </w:rPr>
            </w:pPr>
            <w:r>
              <w:rPr>
                <w:rFonts w:ascii="Century Gothic"/>
                <w:b/>
                <w:w w:val="95"/>
                <w:sz w:val="18"/>
              </w:rPr>
              <w:t>95</w:t>
            </w:r>
            <w:r>
              <w:rPr>
                <w:rFonts w:ascii="Century Gothic"/>
                <w:sz w:val="18"/>
              </w:rPr>
            </w:r>
          </w:p>
        </w:tc>
        <w:tc>
          <w:tcPr>
            <w:tcW w:w="6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1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100.00</w:t>
            </w:r>
            <w:r>
              <w:rPr>
                <w:rFonts w:ascii="Century Gothic"/>
                <w:b/>
                <w:w w:val="95"/>
                <w:sz w:val="18"/>
              </w:rPr>
            </w:r>
            <w:r>
              <w:rPr>
                <w:rFonts w:ascii="Century Gothic"/>
                <w:sz w:val="18"/>
              </w:rPr>
            </w:r>
          </w:p>
        </w:tc>
        <w:tc>
          <w:tcPr>
            <w:tcW w:w="664" w:type="dxa"/>
            <w:tcBorders>
              <w:top w:val="single" w:sz="6" w:space="0" w:color="000000"/>
              <w:left w:val="single" w:sz="6" w:space="0" w:color="000000"/>
              <w:bottom w:val="single" w:sz="12" w:space="0" w:color="000000"/>
              <w:right w:val="single" w:sz="6" w:space="0" w:color="000000"/>
            </w:tcBorders>
          </w:tcPr>
          <w:p>
            <w:pPr/>
          </w:p>
        </w:tc>
        <w:tc>
          <w:tcPr>
            <w:tcW w:w="384" w:type="dxa"/>
            <w:tcBorders>
              <w:top w:val="single" w:sz="6" w:space="0" w:color="000000"/>
              <w:left w:val="single" w:sz="6" w:space="0" w:color="000000"/>
              <w:bottom w:val="single" w:sz="12" w:space="0" w:color="000000"/>
              <w:right w:val="single" w:sz="6" w:space="0" w:color="000000"/>
            </w:tcBorders>
          </w:tcPr>
          <w:p>
            <w:pPr/>
          </w:p>
        </w:tc>
        <w:tc>
          <w:tcPr>
            <w:tcW w:w="613" w:type="dxa"/>
            <w:tcBorders>
              <w:top w:val="single" w:sz="6" w:space="0" w:color="000000"/>
              <w:left w:val="single" w:sz="6" w:space="0" w:color="000000"/>
              <w:bottom w:val="single" w:sz="12" w:space="0" w:color="000000"/>
              <w:right w:val="single" w:sz="6" w:space="0" w:color="000000"/>
            </w:tcBorders>
          </w:tcPr>
          <w:p>
            <w:pPr/>
          </w:p>
        </w:tc>
        <w:tc>
          <w:tcPr>
            <w:tcW w:w="900" w:type="dxa"/>
            <w:tcBorders>
              <w:top w:val="single" w:sz="6" w:space="0" w:color="000000"/>
              <w:left w:val="single" w:sz="6" w:space="0" w:color="000000"/>
              <w:bottom w:val="single" w:sz="12" w:space="0" w:color="000000"/>
              <w:right w:val="single" w:sz="6" w:space="0" w:color="000000"/>
            </w:tcBorders>
          </w:tcPr>
          <w:p>
            <w:pPr/>
          </w:p>
        </w:tc>
        <w:tc>
          <w:tcPr>
            <w:tcW w:w="900" w:type="dxa"/>
            <w:tcBorders>
              <w:top w:val="single" w:sz="6" w:space="0" w:color="000000"/>
              <w:left w:val="single" w:sz="6" w:space="0" w:color="000000"/>
              <w:bottom w:val="single" w:sz="12" w:space="0" w:color="000000"/>
              <w:right w:val="single" w:sz="6" w:space="0" w:color="000000"/>
            </w:tcBorders>
          </w:tcPr>
          <w:p>
            <w:pPr/>
          </w:p>
        </w:tc>
        <w:tc>
          <w:tcPr>
            <w:tcW w:w="10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1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487,731,995</w:t>
            </w:r>
            <w:r>
              <w:rPr>
                <w:rFonts w:ascii="Century Gothic"/>
                <w:b/>
                <w:w w:val="95"/>
                <w:sz w:val="18"/>
              </w:rPr>
            </w:r>
            <w:r>
              <w:rPr>
                <w:rFonts w:ascii="Century Gothic"/>
                <w:sz w:val="18"/>
              </w:rPr>
            </w:r>
          </w:p>
        </w:tc>
        <w:tc>
          <w:tcPr>
            <w:tcW w:w="5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
              <w:ind w:right="25"/>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100.0</w:t>
            </w:r>
            <w:r>
              <w:rPr>
                <w:rFonts w:ascii="Century Gothic"/>
                <w:b/>
                <w:w w:val="95"/>
                <w:sz w:val="18"/>
              </w:rPr>
            </w:r>
            <w:r>
              <w:rPr>
                <w:rFonts w:ascii="Century Gothic"/>
                <w:sz w:val="18"/>
              </w:rPr>
            </w:r>
          </w:p>
          <w:p>
            <w:pPr>
              <w:pStyle w:val="TableParagraph"/>
              <w:spacing w:line="240" w:lineRule="auto"/>
              <w:ind w:right="25"/>
              <w:jc w:val="right"/>
              <w:rPr>
                <w:rFonts w:ascii="Century Gothic" w:hAnsi="Century Gothic" w:cs="Century Gothic" w:eastAsia="Century Gothic" w:hint="default"/>
                <w:sz w:val="18"/>
                <w:szCs w:val="18"/>
              </w:rPr>
            </w:pPr>
            <w:r>
              <w:rPr>
                <w:rFonts w:ascii="Century Gothic"/>
                <w:b/>
                <w:w w:val="99"/>
                <w:sz w:val="18"/>
              </w:rPr>
              <w:t>0</w:t>
            </w:r>
            <w:r>
              <w:rPr>
                <w:rFonts w:ascii="Century Gothic"/>
                <w:sz w:val="18"/>
              </w:rPr>
            </w:r>
          </w:p>
        </w:tc>
      </w:tr>
    </w:tbl>
    <w:p>
      <w:pPr>
        <w:pStyle w:val="BodyText"/>
        <w:spacing w:line="357" w:lineRule="auto" w:before="94"/>
        <w:ind w:right="0" w:firstLine="420"/>
        <w:jc w:val="left"/>
      </w:pPr>
      <w:r>
        <w:rPr>
          <w:spacing w:val="-2"/>
        </w:rPr>
        <w:t>注：有限售条件股份本年减少、无限售条件股份本年增加，系本年有限售条件股份限售期结束转</w:t>
      </w:r>
      <w:r>
        <w:rPr/>
        <w:t> 为无限售条件股份。</w:t>
      </w:r>
    </w:p>
    <w:p>
      <w:pPr>
        <w:pStyle w:val="BodyText"/>
        <w:spacing w:line="336" w:lineRule="auto" w:before="31"/>
        <w:ind w:right="0" w:firstLine="420"/>
        <w:jc w:val="left"/>
      </w:pPr>
      <w:r>
        <w:rPr/>
        <w:t>截至</w:t>
      </w:r>
      <w:r>
        <w:rPr>
          <w:spacing w:val="-60"/>
        </w:rPr>
        <w:t> </w:t>
      </w:r>
      <w:r>
        <w:rPr>
          <w:rFonts w:ascii="Century Gothic" w:hAnsi="Century Gothic" w:cs="Century Gothic" w:eastAsia="Century Gothic" w:hint="default"/>
        </w:rPr>
        <w:t>2009</w:t>
      </w:r>
      <w:r>
        <w:rPr>
          <w:rFonts w:ascii="Century Gothic" w:hAnsi="Century Gothic" w:cs="Century Gothic" w:eastAsia="Century Gothic" w:hint="default"/>
          <w:spacing w:val="-14"/>
        </w:rPr>
        <w:t> </w:t>
      </w:r>
      <w:r>
        <w:rPr/>
        <w:t>年</w:t>
      </w:r>
      <w:r>
        <w:rPr>
          <w:spacing w:val="-60"/>
        </w:rPr>
        <w:t> </w:t>
      </w:r>
      <w:r>
        <w:rPr>
          <w:rFonts w:ascii="Century Gothic" w:hAnsi="Century Gothic" w:cs="Century Gothic" w:eastAsia="Century Gothic" w:hint="default"/>
        </w:rPr>
        <w:t>12</w:t>
      </w:r>
      <w:r>
        <w:rPr>
          <w:rFonts w:ascii="Century Gothic" w:hAnsi="Century Gothic" w:cs="Century Gothic" w:eastAsia="Century Gothic" w:hint="default"/>
          <w:spacing w:val="-13"/>
        </w:rPr>
        <w:t> </w:t>
      </w:r>
      <w:r>
        <w:rPr/>
        <w:t>月</w:t>
      </w:r>
      <w:r>
        <w:rPr>
          <w:spacing w:val="-60"/>
        </w:rPr>
        <w:t> </w:t>
      </w:r>
      <w:r>
        <w:rPr>
          <w:rFonts w:ascii="Century Gothic" w:hAnsi="Century Gothic" w:cs="Century Gothic" w:eastAsia="Century Gothic" w:hint="default"/>
        </w:rPr>
        <w:t>31</w:t>
      </w:r>
      <w:r>
        <w:rPr>
          <w:rFonts w:ascii="Century Gothic" w:hAnsi="Century Gothic" w:cs="Century Gothic" w:eastAsia="Century Gothic" w:hint="default"/>
          <w:spacing w:val="-14"/>
        </w:rPr>
        <w:t> </w:t>
      </w:r>
      <w:r>
        <w:rPr/>
        <w:t>日，华立集团股份有限公司持有</w:t>
      </w:r>
      <w:r>
        <w:rPr>
          <w:spacing w:val="-60"/>
        </w:rPr>
        <w:t> </w:t>
      </w:r>
      <w:r>
        <w:rPr>
          <w:rFonts w:ascii="Century Gothic" w:hAnsi="Century Gothic" w:cs="Century Gothic" w:eastAsia="Century Gothic" w:hint="default"/>
        </w:rPr>
        <w:t>114,690,754</w:t>
      </w:r>
      <w:r>
        <w:rPr>
          <w:rFonts w:ascii="Century Gothic" w:hAnsi="Century Gothic" w:cs="Century Gothic" w:eastAsia="Century Gothic" w:hint="default"/>
          <w:spacing w:val="-13"/>
        </w:rPr>
        <w:t> </w:t>
      </w:r>
      <w:r>
        <w:rPr/>
        <w:t>股无限售条件流通股，占股 本的</w:t>
      </w:r>
      <w:r>
        <w:rPr>
          <w:spacing w:val="-55"/>
        </w:rPr>
        <w:t> </w:t>
      </w:r>
      <w:r>
        <w:rPr>
          <w:rFonts w:ascii="Century Gothic" w:hAnsi="Century Gothic" w:cs="Century Gothic" w:eastAsia="Century Gothic" w:hint="default"/>
        </w:rPr>
        <w:t>23.52%</w:t>
      </w:r>
      <w:r>
        <w:rPr/>
        <w:t>。</w:t>
      </w:r>
    </w:p>
    <w:p>
      <w:pPr>
        <w:tabs>
          <w:tab w:pos="1838" w:val="left" w:leader="none"/>
        </w:tabs>
        <w:spacing w:line="357" w:lineRule="auto" w:before="17"/>
        <w:ind w:left="558" w:right="6155" w:firstLine="0"/>
        <w:jc w:val="left"/>
        <w:rPr>
          <w:rFonts w:ascii="宋体" w:hAnsi="宋体" w:cs="宋体" w:eastAsia="宋体" w:hint="default"/>
          <w:sz w:val="21"/>
          <w:szCs w:val="21"/>
        </w:rPr>
      </w:pPr>
      <w:r>
        <w:rPr>
          <w:rFonts w:ascii="宋体" w:hAnsi="宋体" w:cs="宋体" w:eastAsia="宋体" w:hint="default"/>
          <w:b/>
          <w:bCs/>
          <w:w w:val="95"/>
          <w:sz w:val="21"/>
          <w:szCs w:val="21"/>
        </w:rPr>
        <w:t>（三十一）</w:t>
        <w:tab/>
      </w:r>
      <w:r>
        <w:rPr>
          <w:rFonts w:ascii="宋体" w:hAnsi="宋体" w:cs="宋体" w:eastAsia="宋体" w:hint="default"/>
          <w:b/>
          <w:bCs/>
          <w:sz w:val="21"/>
          <w:szCs w:val="21"/>
        </w:rPr>
        <w:t>资本公积</w:t>
      </w:r>
      <w:r>
        <w:rPr>
          <w:rFonts w:ascii="宋体" w:hAnsi="宋体" w:cs="宋体" w:eastAsia="宋体" w:hint="default"/>
          <w:b/>
          <w:bCs/>
          <w:w w:val="99"/>
          <w:sz w:val="21"/>
          <w:szCs w:val="21"/>
        </w:rPr>
        <w:t> </w:t>
      </w:r>
      <w:r>
        <w:rPr>
          <w:rFonts w:ascii="宋体" w:hAnsi="宋体" w:cs="宋体" w:eastAsia="宋体" w:hint="default"/>
          <w:sz w:val="21"/>
          <w:szCs w:val="21"/>
        </w:rPr>
        <w:t>本年资本公积变动情况如下：</w:t>
      </w:r>
    </w:p>
    <w:p>
      <w:pPr>
        <w:spacing w:line="240" w:lineRule="auto" w:before="0"/>
        <w:rPr>
          <w:rFonts w:ascii="宋体" w:hAnsi="宋体" w:cs="宋体" w:eastAsia="宋体" w:hint="default"/>
          <w:sz w:val="5"/>
          <w:szCs w:val="5"/>
        </w:rPr>
      </w:pPr>
    </w:p>
    <w:tbl>
      <w:tblPr>
        <w:tblW w:w="0" w:type="auto"/>
        <w:jc w:val="left"/>
        <w:tblInd w:w="281" w:type="dxa"/>
        <w:tblLayout w:type="fixed"/>
        <w:tblCellMar>
          <w:top w:w="0" w:type="dxa"/>
          <w:left w:w="0" w:type="dxa"/>
          <w:bottom w:w="0" w:type="dxa"/>
          <w:right w:w="0" w:type="dxa"/>
        </w:tblCellMar>
        <w:tblLook w:val="01E0"/>
      </w:tblPr>
      <w:tblGrid>
        <w:gridCol w:w="2773"/>
        <w:gridCol w:w="1810"/>
        <w:gridCol w:w="1318"/>
        <w:gridCol w:w="1367"/>
        <w:gridCol w:w="1591"/>
      </w:tblGrid>
      <w:tr>
        <w:trPr>
          <w:trHeight w:val="334" w:hRule="exact"/>
        </w:trPr>
        <w:tc>
          <w:tcPr>
            <w:tcW w:w="2773"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right="1160"/>
              <w:jc w:val="right"/>
              <w:rPr>
                <w:rFonts w:ascii="宋体" w:hAnsi="宋体" w:cs="宋体" w:eastAsia="宋体" w:hint="default"/>
                <w:sz w:val="21"/>
                <w:szCs w:val="21"/>
              </w:rPr>
            </w:pPr>
            <w:r>
              <w:rPr>
                <w:rFonts w:ascii="宋体" w:hAnsi="宋体" w:cs="宋体" w:eastAsia="宋体" w:hint="default"/>
                <w:sz w:val="21"/>
                <w:szCs w:val="21"/>
              </w:rPr>
              <w:t>项目</w:t>
            </w:r>
          </w:p>
        </w:tc>
        <w:tc>
          <w:tcPr>
            <w:tcW w:w="181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6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318"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26"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50"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91"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left="158"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6" w:hRule="exact"/>
        </w:trPr>
        <w:tc>
          <w:tcPr>
            <w:tcW w:w="2773"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21,464,667.47</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4"/>
              <w:jc w:val="right"/>
              <w:rPr>
                <w:rFonts w:ascii="Century Gothic" w:hAnsi="Century Gothic" w:cs="Century Gothic" w:eastAsia="Century Gothic" w:hint="default"/>
                <w:sz w:val="21"/>
                <w:szCs w:val="21"/>
              </w:rPr>
            </w:pPr>
            <w:r>
              <w:rPr>
                <w:rFonts w:ascii="Century Gothic"/>
                <w:spacing w:val="-1"/>
                <w:sz w:val="21"/>
              </w:rPr>
              <w:t>21,464,667.47</w:t>
            </w:r>
          </w:p>
        </w:tc>
      </w:tr>
      <w:tr>
        <w:trPr>
          <w:trHeight w:val="328" w:hRule="exact"/>
        </w:trPr>
        <w:tc>
          <w:tcPr>
            <w:tcW w:w="2773"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1"/>
              <w:jc w:val="right"/>
              <w:rPr>
                <w:rFonts w:ascii="Century Gothic" w:hAnsi="Century Gothic" w:cs="Century Gothic" w:eastAsia="Century Gothic" w:hint="default"/>
                <w:sz w:val="21"/>
                <w:szCs w:val="21"/>
              </w:rPr>
            </w:pPr>
            <w:r>
              <w:rPr>
                <w:rFonts w:ascii="Century Gothic"/>
                <w:spacing w:val="-1"/>
                <w:sz w:val="21"/>
              </w:rPr>
              <w:t>9,149,973.75</w:t>
            </w:r>
          </w:p>
        </w:tc>
        <w:tc>
          <w:tcPr>
            <w:tcW w:w="1318"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9,149,973.75</w:t>
            </w:r>
          </w:p>
        </w:tc>
      </w:tr>
      <w:tr>
        <w:trPr>
          <w:trHeight w:val="334" w:hRule="exact"/>
        </w:trPr>
        <w:tc>
          <w:tcPr>
            <w:tcW w:w="2773" w:type="dxa"/>
            <w:tcBorders>
              <w:top w:val="single" w:sz="6" w:space="0" w:color="000000"/>
              <w:left w:val="nil" w:sz="6" w:space="0" w:color="auto"/>
              <w:bottom w:val="single" w:sz="12" w:space="0" w:color="000000"/>
              <w:right w:val="single" w:sz="6" w:space="0" w:color="000000"/>
            </w:tcBorders>
          </w:tcPr>
          <w:p>
            <w:pPr>
              <w:pStyle w:val="TableParagraph"/>
              <w:spacing w:line="261" w:lineRule="exact"/>
              <w:ind w:right="1160"/>
              <w:jc w:val="right"/>
              <w:rPr>
                <w:rFonts w:ascii="宋体" w:hAnsi="宋体" w:cs="宋体" w:eastAsia="宋体" w:hint="default"/>
                <w:sz w:val="21"/>
                <w:szCs w:val="21"/>
              </w:rPr>
            </w:pPr>
            <w:r>
              <w:rPr>
                <w:rFonts w:ascii="宋体" w:hAnsi="宋体" w:cs="宋体" w:eastAsia="宋体" w:hint="default"/>
                <w:sz w:val="21"/>
                <w:szCs w:val="21"/>
              </w:rPr>
              <w:t>合计</w:t>
            </w:r>
          </w:p>
        </w:tc>
        <w:tc>
          <w:tcPr>
            <w:tcW w:w="18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30,614,641.22</w:t>
            </w:r>
            <w:r>
              <w:rPr>
                <w:rFonts w:ascii="Century Gothic"/>
                <w:b/>
                <w:w w:val="95"/>
                <w:sz w:val="21"/>
              </w:rPr>
            </w:r>
            <w:r>
              <w:rPr>
                <w:rFonts w:ascii="Century Gothic"/>
                <w:sz w:val="21"/>
              </w:rPr>
            </w:r>
          </w:p>
        </w:tc>
        <w:tc>
          <w:tcPr>
            <w:tcW w:w="1318" w:type="dxa"/>
            <w:tcBorders>
              <w:top w:val="single" w:sz="6" w:space="0" w:color="000000"/>
              <w:left w:val="single" w:sz="6" w:space="0" w:color="000000"/>
              <w:bottom w:val="single" w:sz="12" w:space="0" w:color="000000"/>
              <w:right w:val="single" w:sz="6" w:space="0" w:color="000000"/>
            </w:tcBorders>
          </w:tcPr>
          <w:p>
            <w:pPr/>
          </w:p>
        </w:tc>
        <w:tc>
          <w:tcPr>
            <w:tcW w:w="1367" w:type="dxa"/>
            <w:tcBorders>
              <w:top w:val="single" w:sz="6" w:space="0" w:color="000000"/>
              <w:left w:val="single" w:sz="6" w:space="0" w:color="000000"/>
              <w:bottom w:val="single" w:sz="12" w:space="0" w:color="000000"/>
              <w:right w:val="single" w:sz="6" w:space="0" w:color="000000"/>
            </w:tcBorders>
          </w:tcPr>
          <w:p>
            <w:pPr/>
          </w:p>
        </w:tc>
        <w:tc>
          <w:tcPr>
            <w:tcW w:w="159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6"/>
              <w:ind w:right="104"/>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30,614,641.22</w:t>
            </w:r>
            <w:r>
              <w:rPr>
                <w:rFonts w:ascii="Century Gothic"/>
                <w:b/>
                <w:w w:val="95"/>
                <w:sz w:val="21"/>
              </w:rPr>
            </w:r>
            <w:r>
              <w:rPr>
                <w:rFonts w:ascii="Century Gothic"/>
                <w:sz w:val="21"/>
              </w:rPr>
            </w:r>
          </w:p>
        </w:tc>
      </w:tr>
    </w:tbl>
    <w:p>
      <w:pPr>
        <w:tabs>
          <w:tab w:pos="1838" w:val="left" w:leader="none"/>
        </w:tabs>
        <w:spacing w:line="357" w:lineRule="auto" w:before="86"/>
        <w:ind w:left="558" w:right="6155" w:firstLine="0"/>
        <w:jc w:val="left"/>
        <w:rPr>
          <w:rFonts w:ascii="宋体" w:hAnsi="宋体" w:cs="宋体" w:eastAsia="宋体" w:hint="default"/>
          <w:sz w:val="21"/>
          <w:szCs w:val="21"/>
        </w:rPr>
      </w:pPr>
      <w:r>
        <w:rPr>
          <w:rFonts w:ascii="宋体" w:hAnsi="宋体" w:cs="宋体" w:eastAsia="宋体" w:hint="default"/>
          <w:b/>
          <w:bCs/>
          <w:w w:val="95"/>
          <w:sz w:val="21"/>
          <w:szCs w:val="21"/>
        </w:rPr>
        <w:t>（三十二）</w:t>
        <w:tab/>
      </w:r>
      <w:r>
        <w:rPr>
          <w:rFonts w:ascii="宋体" w:hAnsi="宋体" w:cs="宋体" w:eastAsia="宋体" w:hint="default"/>
          <w:b/>
          <w:bCs/>
          <w:sz w:val="21"/>
          <w:szCs w:val="21"/>
        </w:rPr>
        <w:t>盈余公积</w:t>
      </w:r>
      <w:r>
        <w:rPr>
          <w:rFonts w:ascii="宋体" w:hAnsi="宋体" w:cs="宋体" w:eastAsia="宋体" w:hint="default"/>
          <w:b/>
          <w:bCs/>
          <w:w w:val="99"/>
          <w:sz w:val="21"/>
          <w:szCs w:val="21"/>
        </w:rPr>
        <w:t> </w:t>
      </w:r>
      <w:r>
        <w:rPr>
          <w:rFonts w:ascii="宋体" w:hAnsi="宋体" w:cs="宋体" w:eastAsia="宋体" w:hint="default"/>
          <w:sz w:val="21"/>
          <w:szCs w:val="21"/>
        </w:rPr>
        <w:t>本年盈余公积变动情况如下：</w:t>
      </w:r>
    </w:p>
    <w:p>
      <w:pPr>
        <w:spacing w:line="240" w:lineRule="auto" w:before="0"/>
        <w:rPr>
          <w:rFonts w:ascii="宋体" w:hAnsi="宋体" w:cs="宋体" w:eastAsia="宋体" w:hint="default"/>
          <w:sz w:val="5"/>
          <w:szCs w:val="5"/>
        </w:rPr>
      </w:pPr>
    </w:p>
    <w:tbl>
      <w:tblPr>
        <w:tblW w:w="0" w:type="auto"/>
        <w:jc w:val="left"/>
        <w:tblInd w:w="281" w:type="dxa"/>
        <w:tblLayout w:type="fixed"/>
        <w:tblCellMar>
          <w:top w:w="0" w:type="dxa"/>
          <w:left w:w="0" w:type="dxa"/>
          <w:bottom w:w="0" w:type="dxa"/>
          <w:right w:w="0" w:type="dxa"/>
        </w:tblCellMar>
        <w:tblLook w:val="01E0"/>
      </w:tblPr>
      <w:tblGrid>
        <w:gridCol w:w="2363"/>
        <w:gridCol w:w="2201"/>
        <w:gridCol w:w="1417"/>
        <w:gridCol w:w="1309"/>
        <w:gridCol w:w="1568"/>
      </w:tblGrid>
      <w:tr>
        <w:trPr>
          <w:trHeight w:val="334" w:hRule="exact"/>
        </w:trPr>
        <w:tc>
          <w:tcPr>
            <w:tcW w:w="2363"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01"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46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76"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309"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68"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6" w:hRule="exact"/>
        </w:trPr>
        <w:tc>
          <w:tcPr>
            <w:tcW w:w="2363"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40,657,199.52</w:t>
            </w:r>
          </w:p>
        </w:tc>
        <w:tc>
          <w:tcPr>
            <w:tcW w:w="1417" w:type="dxa"/>
            <w:tcBorders>
              <w:top w:val="single" w:sz="6" w:space="0" w:color="000000"/>
              <w:left w:val="single" w:sz="6" w:space="0" w:color="000000"/>
              <w:bottom w:val="single" w:sz="6" w:space="0" w:color="000000"/>
              <w:right w:val="single" w:sz="6" w:space="0" w:color="000000"/>
            </w:tcBorders>
          </w:tcPr>
          <w:p>
            <w:pPr/>
          </w:p>
        </w:tc>
        <w:tc>
          <w:tcPr>
            <w:tcW w:w="1309"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left="7" w:right="0"/>
              <w:jc w:val="center"/>
              <w:rPr>
                <w:rFonts w:ascii="Century Gothic" w:hAnsi="Century Gothic" w:cs="Century Gothic" w:eastAsia="Century Gothic" w:hint="default"/>
                <w:sz w:val="21"/>
                <w:szCs w:val="21"/>
              </w:rPr>
            </w:pPr>
            <w:r>
              <w:rPr>
                <w:rFonts w:ascii="Century Gothic"/>
                <w:sz w:val="21"/>
              </w:rPr>
              <w:t>40,657,199.52</w:t>
            </w:r>
          </w:p>
        </w:tc>
      </w:tr>
      <w:tr>
        <w:trPr>
          <w:trHeight w:val="387" w:hRule="exact"/>
        </w:trPr>
        <w:tc>
          <w:tcPr>
            <w:tcW w:w="2363" w:type="dxa"/>
            <w:tcBorders>
              <w:top w:val="single" w:sz="6" w:space="0" w:color="000000"/>
              <w:left w:val="nil" w:sz="6" w:space="0" w:color="auto"/>
              <w:bottom w:val="single" w:sz="12" w:space="0" w:color="000000"/>
              <w:right w:val="single" w:sz="6" w:space="0" w:color="000000"/>
            </w:tcBorders>
          </w:tcPr>
          <w:p>
            <w:pPr>
              <w:pStyle w:val="TableParagraph"/>
              <w:spacing w:line="323" w:lineRule="exact"/>
              <w:ind w:left="20" w:right="0"/>
              <w:jc w:val="center"/>
              <w:rPr>
                <w:rFonts w:ascii="宋体" w:hAnsi="宋体" w:cs="宋体" w:eastAsia="宋体" w:hint="default"/>
                <w:sz w:val="28"/>
                <w:szCs w:val="28"/>
              </w:rPr>
            </w:pPr>
            <w:r>
              <w:rPr>
                <w:rFonts w:ascii="宋体" w:hAnsi="宋体" w:cs="宋体" w:eastAsia="宋体" w:hint="default"/>
                <w:sz w:val="28"/>
                <w:szCs w:val="28"/>
              </w:rPr>
              <w:t>合计</w:t>
            </w:r>
          </w:p>
        </w:tc>
        <w:tc>
          <w:tcPr>
            <w:tcW w:w="22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40,657,199.52</w:t>
            </w:r>
            <w:r>
              <w:rPr>
                <w:rFonts w:ascii="Century Gothic"/>
                <w:b/>
                <w:w w:val="95"/>
                <w:sz w:val="21"/>
              </w:rPr>
            </w:r>
            <w:r>
              <w:rPr>
                <w:rFonts w:ascii="Century Gothic"/>
                <w:sz w:val="21"/>
              </w:rPr>
            </w:r>
          </w:p>
        </w:tc>
        <w:tc>
          <w:tcPr>
            <w:tcW w:w="1417" w:type="dxa"/>
            <w:tcBorders>
              <w:top w:val="single" w:sz="6" w:space="0" w:color="000000"/>
              <w:left w:val="single" w:sz="6" w:space="0" w:color="000000"/>
              <w:bottom w:val="single" w:sz="12" w:space="0" w:color="000000"/>
              <w:right w:val="single" w:sz="6" w:space="0" w:color="000000"/>
            </w:tcBorders>
          </w:tcPr>
          <w:p>
            <w:pPr/>
          </w:p>
        </w:tc>
        <w:tc>
          <w:tcPr>
            <w:tcW w:w="1309" w:type="dxa"/>
            <w:tcBorders>
              <w:top w:val="single" w:sz="6" w:space="0" w:color="000000"/>
              <w:left w:val="single" w:sz="6" w:space="0" w:color="000000"/>
              <w:bottom w:val="single" w:sz="12" w:space="0" w:color="000000"/>
              <w:right w:val="single" w:sz="6" w:space="0" w:color="000000"/>
            </w:tcBorders>
          </w:tcPr>
          <w:p>
            <w:pPr/>
          </w:p>
        </w:tc>
        <w:tc>
          <w:tcPr>
            <w:tcW w:w="15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2"/>
              <w:ind w:right="5"/>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40,657,199.52</w:t>
            </w:r>
            <w:r>
              <w:rPr>
                <w:rFonts w:ascii="Century Gothic"/>
                <w:b/>
                <w:sz w:val="21"/>
              </w:rPr>
            </w:r>
            <w:r>
              <w:rPr>
                <w:rFonts w:ascii="Century Gothic"/>
                <w:sz w:val="21"/>
              </w:rPr>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76"/>
        <w:ind w:left="4577" w:right="4555" w:firstLine="0"/>
        <w:jc w:val="center"/>
        <w:rPr>
          <w:rFonts w:ascii="Times New Roman" w:hAnsi="Times New Roman" w:cs="Times New Roman" w:eastAsia="Times New Roman" w:hint="default"/>
          <w:sz w:val="18"/>
          <w:szCs w:val="18"/>
        </w:rPr>
      </w:pPr>
      <w:r>
        <w:rPr>
          <w:rFonts w:ascii="Times New Roman"/>
          <w:sz w:val="18"/>
        </w:rPr>
        <w:t>84</w:t>
      </w:r>
    </w:p>
    <w:p>
      <w:pPr>
        <w:spacing w:after="0"/>
        <w:jc w:val="center"/>
        <w:rPr>
          <w:rFonts w:ascii="Times New Roman" w:hAnsi="Times New Roman" w:cs="Times New Roman" w:eastAsia="Times New Roman" w:hint="default"/>
          <w:sz w:val="18"/>
          <w:szCs w:val="18"/>
        </w:rPr>
        <w:sectPr>
          <w:pgSz w:w="11910" w:h="16840"/>
          <w:pgMar w:top="780" w:bottom="280" w:left="1160" w:right="130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pgSz w:w="11910" w:h="16840"/>
          <w:pgMar w:top="780" w:bottom="280" w:left="1280" w:right="1320"/>
        </w:sectPr>
      </w:pPr>
    </w:p>
    <w:p>
      <w:pPr>
        <w:spacing w:line="240" w:lineRule="auto" w:before="0"/>
        <w:rPr>
          <w:rFonts w:ascii="Times New Roman" w:hAnsi="Times New Roman" w:cs="Times New Roman" w:eastAsia="Times New Roman" w:hint="default"/>
          <w:sz w:val="20"/>
          <w:szCs w:val="20"/>
        </w:rPr>
      </w:pPr>
    </w:p>
    <w:p>
      <w:pPr>
        <w:tabs>
          <w:tab w:pos="1838" w:val="left" w:leader="none"/>
        </w:tabs>
        <w:spacing w:line="357" w:lineRule="auto" w:before="125"/>
        <w:ind w:left="558" w:right="0" w:firstLine="0"/>
        <w:jc w:val="left"/>
        <w:rPr>
          <w:rFonts w:ascii="宋体" w:hAnsi="宋体" w:cs="宋体" w:eastAsia="宋体" w:hint="default"/>
          <w:sz w:val="21"/>
          <w:szCs w:val="21"/>
        </w:rPr>
      </w:pPr>
      <w:r>
        <w:rPr/>
        <w:pict>
          <v:shape style="position:absolute;margin-left:70.860001pt;margin-top:-21.44602pt;width:84.0pt;height:23.94pt;mso-position-horizontal-relative:page;mso-position-vertical-relative:paragraph;z-index:5704" type="#_x0000_t75" stroked="false">
            <v:imagedata r:id="rId13" o:title=""/>
          </v:shape>
        </w:pict>
      </w:r>
      <w:r>
        <w:rPr/>
        <w:pict>
          <v:group style="position:absolute;margin-left:69.419998pt;margin-top:6.873994pt;width:444.5pt;height:.1pt;mso-position-horizontal-relative:page;mso-position-vertical-relative:paragraph;z-index:-703864" coordorigin="1388,137" coordsize="8890,2">
            <v:shape style="position:absolute;left:1388;top:137;width:8890;height:2" coordorigin="1388,137" coordsize="8890,0" path="m1388,137l10278,137e" filled="false" stroked="true" strokeweight=".71997pt" strokecolor="#000000">
              <v:path arrowok="t"/>
            </v:shape>
            <w10:wrap type="none"/>
          </v:group>
        </w:pict>
      </w:r>
      <w:r>
        <w:rPr>
          <w:rFonts w:ascii="宋体" w:hAnsi="宋体" w:cs="宋体" w:eastAsia="宋体" w:hint="default"/>
          <w:b/>
          <w:bCs/>
          <w:w w:val="95"/>
          <w:sz w:val="21"/>
          <w:szCs w:val="21"/>
        </w:rPr>
        <w:t>（三十三）</w:t>
        <w:tab/>
      </w:r>
      <w:r>
        <w:rPr>
          <w:rFonts w:ascii="宋体" w:hAnsi="宋体" w:cs="宋体" w:eastAsia="宋体" w:hint="default"/>
          <w:b/>
          <w:bCs/>
          <w:sz w:val="21"/>
          <w:szCs w:val="21"/>
        </w:rPr>
        <w:t>未分配利润</w:t>
      </w:r>
      <w:r>
        <w:rPr>
          <w:rFonts w:ascii="宋体" w:hAnsi="宋体" w:cs="宋体" w:eastAsia="宋体" w:hint="default"/>
          <w:b/>
          <w:bCs/>
          <w:w w:val="99"/>
          <w:sz w:val="21"/>
          <w:szCs w:val="21"/>
        </w:rPr>
        <w:t> </w:t>
      </w:r>
      <w:r>
        <w:rPr>
          <w:rFonts w:ascii="宋体" w:hAnsi="宋体" w:cs="宋体" w:eastAsia="宋体" w:hint="default"/>
          <w:sz w:val="21"/>
          <w:szCs w:val="21"/>
        </w:rPr>
        <w:t>未分配利润增减变动情况如下：</w:t>
      </w:r>
    </w:p>
    <w:p>
      <w:pPr>
        <w:pStyle w:val="Heading4"/>
        <w:tabs>
          <w:tab w:pos="3808" w:val="left" w:leader="none"/>
        </w:tabs>
        <w:spacing w:line="240" w:lineRule="auto"/>
        <w:ind w:left="76" w:right="0"/>
        <w:jc w:val="left"/>
        <w:rPr>
          <w:b w:val="0"/>
          <w:bCs w:val="0"/>
        </w:rPr>
      </w:pPr>
      <w:r>
        <w:rPr>
          <w:b w:val="0"/>
          <w:bCs w:val="0"/>
        </w:rPr>
        <w:br w:type="column"/>
      </w:r>
      <w:r>
        <w:rPr/>
        <w:t>2009</w:t>
      </w:r>
      <w:r>
        <w:rPr>
          <w:spacing w:val="-63"/>
        </w:rPr>
        <w:t> </w:t>
      </w:r>
      <w:r>
        <w:rPr/>
        <w:t>年年度报告正文</w:t>
        <w:tab/>
        <w:t>证券代码</w:t>
      </w:r>
      <w:r>
        <w:rPr>
          <w:spacing w:val="-62"/>
        </w:rPr>
        <w:t> </w:t>
      </w:r>
      <w:r>
        <w:rPr/>
        <w:t>000607</w:t>
      </w:r>
      <w:r>
        <w:rPr>
          <w:b w:val="0"/>
          <w:bCs w:val="0"/>
        </w:rPr>
      </w:r>
    </w:p>
    <w:p>
      <w:pPr>
        <w:spacing w:after="0" w:line="240" w:lineRule="auto"/>
        <w:jc w:val="left"/>
        <w:sectPr>
          <w:type w:val="continuous"/>
          <w:pgSz w:w="11910" w:h="16840"/>
          <w:pgMar w:top="780" w:bottom="280" w:left="1280" w:right="1320"/>
          <w:cols w:num="2" w:equalWidth="0">
            <w:col w:w="3499" w:space="40"/>
            <w:col w:w="5771"/>
          </w:cols>
        </w:sectPr>
      </w:pPr>
    </w:p>
    <w:p>
      <w:pPr>
        <w:spacing w:line="240" w:lineRule="auto" w:before="0"/>
        <w:rPr>
          <w:rFonts w:ascii="黑体" w:hAnsi="黑体" w:cs="黑体" w:eastAsia="黑体" w:hint="default"/>
          <w:b/>
          <w:bCs/>
          <w:sz w:val="5"/>
          <w:szCs w:val="5"/>
        </w:rPr>
      </w:pPr>
    </w:p>
    <w:tbl>
      <w:tblPr>
        <w:tblW w:w="0" w:type="auto"/>
        <w:jc w:val="left"/>
        <w:tblInd w:w="281" w:type="dxa"/>
        <w:tblLayout w:type="fixed"/>
        <w:tblCellMar>
          <w:top w:w="0" w:type="dxa"/>
          <w:left w:w="0" w:type="dxa"/>
          <w:bottom w:w="0" w:type="dxa"/>
          <w:right w:w="0" w:type="dxa"/>
        </w:tblCellMar>
        <w:tblLook w:val="01E0"/>
      </w:tblPr>
      <w:tblGrid>
        <w:gridCol w:w="4208"/>
        <w:gridCol w:w="2177"/>
        <w:gridCol w:w="2473"/>
      </w:tblGrid>
      <w:tr>
        <w:trPr>
          <w:trHeight w:val="334" w:hRule="exact"/>
        </w:trPr>
        <w:tc>
          <w:tcPr>
            <w:tcW w:w="4208"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77"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473"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right="5"/>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32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上年年末未分配利润</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14,783,864.52</w:t>
            </w:r>
          </w:p>
        </w:tc>
        <w:tc>
          <w:tcPr>
            <w:tcW w:w="24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10,097,331.21</w:t>
            </w:r>
          </w:p>
        </w:tc>
      </w:tr>
      <w:tr>
        <w:trPr>
          <w:trHeight w:val="32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227" w:right="0"/>
              <w:jc w:val="left"/>
              <w:rPr>
                <w:rFonts w:ascii="宋体" w:hAnsi="宋体" w:cs="宋体" w:eastAsia="宋体" w:hint="default"/>
                <w:sz w:val="21"/>
                <w:szCs w:val="21"/>
              </w:rPr>
            </w:pPr>
            <w:r>
              <w:rPr>
                <w:rFonts w:ascii="宋体" w:hAnsi="宋体" w:cs="宋体" w:eastAsia="宋体" w:hint="default"/>
                <w:sz w:val="21"/>
                <w:szCs w:val="21"/>
              </w:rPr>
              <w:t>加：年初未分配利润调整数（调减“</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2177"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本年年初未分配利润</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14,783,864.52</w:t>
            </w:r>
          </w:p>
        </w:tc>
        <w:tc>
          <w:tcPr>
            <w:tcW w:w="24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10,097,331.21</w:t>
            </w:r>
          </w:p>
        </w:tc>
      </w:tr>
      <w:tr>
        <w:trPr>
          <w:trHeight w:val="32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227" w:right="0"/>
              <w:jc w:val="left"/>
              <w:rPr>
                <w:rFonts w:ascii="宋体" w:hAnsi="宋体" w:cs="宋体" w:eastAsia="宋体" w:hint="default"/>
                <w:sz w:val="21"/>
                <w:szCs w:val="21"/>
              </w:rPr>
            </w:pPr>
            <w:r>
              <w:rPr>
                <w:rFonts w:ascii="宋体" w:hAnsi="宋体" w:cs="宋体" w:eastAsia="宋体" w:hint="default"/>
                <w:sz w:val="21"/>
                <w:szCs w:val="21"/>
              </w:rPr>
              <w:t>加：本年归属于母公司所有者的净利润</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9"/>
              <w:jc w:val="right"/>
              <w:rPr>
                <w:rFonts w:ascii="Century Gothic" w:hAnsi="Century Gothic" w:cs="Century Gothic" w:eastAsia="Century Gothic" w:hint="default"/>
                <w:sz w:val="21"/>
                <w:szCs w:val="21"/>
              </w:rPr>
            </w:pPr>
            <w:r>
              <w:rPr>
                <w:rFonts w:ascii="Century Gothic"/>
                <w:spacing w:val="-1"/>
                <w:sz w:val="21"/>
              </w:rPr>
              <w:t>-82,890,070.59</w:t>
            </w:r>
            <w:r>
              <w:rPr>
                <w:rFonts w:ascii="Century Gothic"/>
                <w:sz w:val="21"/>
              </w:rPr>
            </w:r>
          </w:p>
        </w:tc>
        <w:tc>
          <w:tcPr>
            <w:tcW w:w="24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7"/>
              <w:jc w:val="right"/>
              <w:rPr>
                <w:rFonts w:ascii="Century Gothic" w:hAnsi="Century Gothic" w:cs="Century Gothic" w:eastAsia="Century Gothic" w:hint="default"/>
                <w:sz w:val="21"/>
                <w:szCs w:val="21"/>
              </w:rPr>
            </w:pPr>
            <w:r>
              <w:rPr>
                <w:rFonts w:ascii="Century Gothic"/>
                <w:spacing w:val="-1"/>
                <w:sz w:val="21"/>
              </w:rPr>
              <w:t>4,717,562.55</w:t>
            </w:r>
          </w:p>
        </w:tc>
      </w:tr>
      <w:tr>
        <w:trPr>
          <w:trHeight w:val="32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22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77"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647"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177"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645"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177"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64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77"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645"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177" w:type="dxa"/>
            <w:tcBorders>
              <w:top w:val="single" w:sz="6" w:space="0" w:color="000000"/>
              <w:left w:val="single" w:sz="6" w:space="0" w:color="000000"/>
              <w:bottom w:val="single" w:sz="6" w:space="0" w:color="000000"/>
              <w:right w:val="single" w:sz="6" w:space="0" w:color="000000"/>
            </w:tcBorders>
          </w:tcPr>
          <w:p>
            <w:pPr/>
          </w:p>
        </w:tc>
        <w:tc>
          <w:tcPr>
            <w:tcW w:w="2473"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4208" w:type="dxa"/>
            <w:tcBorders>
              <w:top w:val="single" w:sz="6" w:space="0" w:color="000000"/>
              <w:left w:val="nil" w:sz="6" w:space="0" w:color="auto"/>
              <w:bottom w:val="single" w:sz="6" w:space="0" w:color="000000"/>
              <w:right w:val="single" w:sz="6" w:space="0" w:color="000000"/>
            </w:tcBorders>
          </w:tcPr>
          <w:p>
            <w:pPr>
              <w:pStyle w:val="TableParagraph"/>
              <w:spacing w:line="261" w:lineRule="exact"/>
              <w:ind w:left="645" w:right="0"/>
              <w:jc w:val="left"/>
              <w:rPr>
                <w:rFonts w:ascii="宋体" w:hAnsi="宋体" w:cs="宋体" w:eastAsia="宋体" w:hint="default"/>
                <w:sz w:val="21"/>
                <w:szCs w:val="21"/>
              </w:rPr>
            </w:pPr>
            <w:r>
              <w:rPr>
                <w:rFonts w:ascii="宋体" w:hAnsi="宋体" w:cs="宋体" w:eastAsia="宋体" w:hint="default"/>
                <w:sz w:val="21"/>
                <w:szCs w:val="21"/>
              </w:rPr>
              <w:t>提取职工奖励及福利基金</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9"/>
              <w:jc w:val="right"/>
              <w:rPr>
                <w:rFonts w:ascii="Century Gothic" w:hAnsi="Century Gothic" w:cs="Century Gothic" w:eastAsia="Century Gothic" w:hint="default"/>
                <w:sz w:val="21"/>
                <w:szCs w:val="21"/>
              </w:rPr>
            </w:pPr>
            <w:r>
              <w:rPr>
                <w:rFonts w:ascii="Century Gothic"/>
                <w:spacing w:val="-1"/>
                <w:sz w:val="21"/>
              </w:rPr>
              <w:t>19,234.09</w:t>
            </w:r>
          </w:p>
        </w:tc>
        <w:tc>
          <w:tcPr>
            <w:tcW w:w="247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31,029.24</w:t>
            </w:r>
          </w:p>
        </w:tc>
      </w:tr>
      <w:tr>
        <w:trPr>
          <w:trHeight w:val="334" w:hRule="exact"/>
        </w:trPr>
        <w:tc>
          <w:tcPr>
            <w:tcW w:w="4208" w:type="dxa"/>
            <w:tcBorders>
              <w:top w:val="single" w:sz="6" w:space="0" w:color="000000"/>
              <w:left w:val="nil" w:sz="6" w:space="0" w:color="auto"/>
              <w:bottom w:val="single" w:sz="12" w:space="0" w:color="000000"/>
              <w:right w:val="single" w:sz="6"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1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9"/>
              <w:jc w:val="right"/>
              <w:rPr>
                <w:rFonts w:ascii="Century Gothic" w:hAnsi="Century Gothic" w:cs="Century Gothic" w:eastAsia="Century Gothic" w:hint="default"/>
                <w:sz w:val="21"/>
                <w:szCs w:val="21"/>
              </w:rPr>
            </w:pPr>
            <w:r>
              <w:rPr>
                <w:rFonts w:ascii="Century Gothic"/>
                <w:spacing w:val="-1"/>
                <w:sz w:val="21"/>
              </w:rPr>
              <w:t>-68,125,440.16</w:t>
            </w:r>
            <w:r>
              <w:rPr>
                <w:rFonts w:ascii="Century Gothic"/>
                <w:sz w:val="21"/>
              </w:rPr>
            </w:r>
          </w:p>
        </w:tc>
        <w:tc>
          <w:tcPr>
            <w:tcW w:w="247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14,783,864.52</w:t>
            </w:r>
          </w:p>
        </w:tc>
      </w:tr>
    </w:tbl>
    <w:p>
      <w:pPr>
        <w:pStyle w:val="Heading4"/>
        <w:tabs>
          <w:tab w:pos="1838" w:val="left" w:leader="none"/>
        </w:tabs>
        <w:spacing w:line="240" w:lineRule="auto" w:before="86"/>
        <w:ind w:right="0"/>
        <w:jc w:val="left"/>
        <w:rPr>
          <w:rFonts w:ascii="宋体" w:hAnsi="宋体" w:cs="宋体" w:eastAsia="宋体" w:hint="default"/>
          <w:b w:val="0"/>
          <w:bCs w:val="0"/>
        </w:rPr>
      </w:pPr>
      <w:r>
        <w:rPr>
          <w:rFonts w:ascii="宋体" w:hAnsi="宋体" w:cs="宋体" w:eastAsia="宋体" w:hint="default"/>
          <w:w w:val="95"/>
        </w:rPr>
        <w:t>（三十四）</w:t>
        <w:tab/>
      </w:r>
      <w:r>
        <w:rPr>
          <w:rFonts w:ascii="宋体" w:hAnsi="宋体" w:cs="宋体" w:eastAsia="宋体" w:hint="default"/>
        </w:rPr>
        <w:t>营业收入、营业成本</w:t>
      </w:r>
      <w:r>
        <w:rPr>
          <w:rFonts w:ascii="宋体" w:hAnsi="宋体" w:cs="宋体" w:eastAsia="宋体" w:hint="default"/>
          <w:b w:val="0"/>
          <w:bCs w:val="0"/>
        </w:rPr>
      </w:r>
    </w:p>
    <w:p>
      <w:pPr>
        <w:pStyle w:val="BodyText"/>
        <w:spacing w:line="240" w:lineRule="auto" w:before="134"/>
        <w:ind w:left="558" w:right="0"/>
        <w:jc w:val="left"/>
      </w:pPr>
      <w:r>
        <w:rPr/>
        <w:t>（</w:t>
      </w:r>
      <w:r>
        <w:rPr>
          <w:rFonts w:ascii="Century Gothic" w:hAnsi="Century Gothic" w:cs="Century Gothic" w:eastAsia="Century Gothic" w:hint="default"/>
        </w:rPr>
        <w:t>1</w:t>
      </w:r>
      <w:r>
        <w:rPr/>
        <w:t>）营业收入、营业成本明细如下：</w:t>
      </w:r>
    </w:p>
    <w:p>
      <w:pPr>
        <w:spacing w:line="240" w:lineRule="auto" w:before="9"/>
        <w:rPr>
          <w:rFonts w:ascii="宋体" w:hAnsi="宋体" w:cs="宋体" w:eastAsia="宋体" w:hint="default"/>
          <w:sz w:val="11"/>
          <w:szCs w:val="11"/>
        </w:rPr>
      </w:pPr>
    </w:p>
    <w:tbl>
      <w:tblPr>
        <w:tblW w:w="0" w:type="auto"/>
        <w:jc w:val="left"/>
        <w:tblInd w:w="281" w:type="dxa"/>
        <w:tblLayout w:type="fixed"/>
        <w:tblCellMar>
          <w:top w:w="0" w:type="dxa"/>
          <w:left w:w="0" w:type="dxa"/>
          <w:bottom w:w="0" w:type="dxa"/>
          <w:right w:w="0" w:type="dxa"/>
        </w:tblCellMar>
        <w:tblLook w:val="01E0"/>
      </w:tblPr>
      <w:tblGrid>
        <w:gridCol w:w="4121"/>
        <w:gridCol w:w="2369"/>
        <w:gridCol w:w="2369"/>
      </w:tblGrid>
      <w:tr>
        <w:trPr>
          <w:trHeight w:val="305"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tabs>
                <w:tab w:pos="543" w:val="left" w:leader="none"/>
              </w:tabs>
              <w:spacing w:line="247"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65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left="65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99"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1,955,611,259.51</w:t>
            </w:r>
            <w:r>
              <w:rPr>
                <w:rFonts w:ascii="Century Gothic"/>
                <w:b/>
                <w:w w:val="95"/>
                <w:sz w:val="21"/>
              </w:rPr>
            </w:r>
            <w:r>
              <w:rPr>
                <w:rFonts w:ascii="Century Gothic"/>
                <w:sz w:val="21"/>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2,862,342,584.17</w:t>
            </w:r>
            <w:r>
              <w:rPr>
                <w:rFonts w:ascii="Century Gothic"/>
                <w:b/>
                <w:w w:val="95"/>
                <w:sz w:val="21"/>
              </w:rPr>
            </w:r>
            <w:r>
              <w:rPr>
                <w:rFonts w:ascii="Century Gothic"/>
                <w:sz w:val="21"/>
              </w:rPr>
            </w:r>
          </w:p>
        </w:tc>
      </w:tr>
      <w:tr>
        <w:trPr>
          <w:trHeight w:val="300"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1,870,198,501.31</w:t>
            </w:r>
            <w:r>
              <w:rPr>
                <w:rFonts w:ascii="Century Gothic"/>
                <w:sz w:val="21"/>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2,765,054,421.48</w:t>
            </w:r>
            <w:r>
              <w:rPr>
                <w:rFonts w:ascii="Century Gothic"/>
                <w:sz w:val="21"/>
              </w:rPr>
            </w:r>
          </w:p>
        </w:tc>
      </w:tr>
      <w:tr>
        <w:trPr>
          <w:trHeight w:val="299"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96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85,412,758.20</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97,288,162.69</w:t>
            </w:r>
          </w:p>
        </w:tc>
      </w:tr>
      <w:tr>
        <w:trPr>
          <w:trHeight w:val="299"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1,476,103,245.76</w:t>
            </w:r>
            <w:r>
              <w:rPr>
                <w:rFonts w:ascii="Century Gothic"/>
                <w:b/>
                <w:w w:val="95"/>
                <w:sz w:val="21"/>
              </w:rPr>
            </w:r>
            <w:r>
              <w:rPr>
                <w:rFonts w:ascii="Century Gothic"/>
                <w:sz w:val="21"/>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2,447,070,148.98</w:t>
            </w:r>
            <w:r>
              <w:rPr>
                <w:rFonts w:ascii="Century Gothic"/>
                <w:b/>
                <w:w w:val="95"/>
                <w:sz w:val="21"/>
              </w:rPr>
            </w:r>
            <w:r>
              <w:rPr>
                <w:rFonts w:ascii="Century Gothic"/>
                <w:sz w:val="21"/>
              </w:rPr>
            </w:r>
          </w:p>
        </w:tc>
      </w:tr>
      <w:tr>
        <w:trPr>
          <w:trHeight w:val="299"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332"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1,407,856,809.95</w:t>
            </w:r>
            <w:r>
              <w:rPr>
                <w:rFonts w:ascii="Century Gothic"/>
                <w:sz w:val="21"/>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2,366,616,921.19</w:t>
            </w:r>
            <w:r>
              <w:rPr>
                <w:rFonts w:ascii="Century Gothic"/>
                <w:sz w:val="21"/>
              </w:rPr>
            </w:r>
          </w:p>
        </w:tc>
      </w:tr>
      <w:tr>
        <w:trPr>
          <w:trHeight w:val="307"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47" w:lineRule="exact"/>
              <w:ind w:left="962"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68,246,435.81</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80,453,227.79</w:t>
            </w:r>
          </w:p>
        </w:tc>
      </w:tr>
    </w:tbl>
    <w:p>
      <w:pPr>
        <w:pStyle w:val="BodyText"/>
        <w:spacing w:line="240" w:lineRule="auto" w:before="86"/>
        <w:ind w:left="558" w:right="0"/>
        <w:jc w:val="left"/>
      </w:pPr>
      <w:r>
        <w:rPr/>
        <w:t>（</w:t>
      </w:r>
      <w:r>
        <w:rPr>
          <w:rFonts w:ascii="Century Gothic" w:hAnsi="Century Gothic" w:cs="Century Gothic" w:eastAsia="Century Gothic" w:hint="default"/>
        </w:rPr>
        <w:t>2</w:t>
      </w:r>
      <w:r>
        <w:rPr/>
        <w:t>）主营业务按行业类别列示如下：</w:t>
      </w:r>
    </w:p>
    <w:p>
      <w:pPr>
        <w:spacing w:line="240" w:lineRule="auto" w:before="8"/>
        <w:rPr>
          <w:rFonts w:ascii="宋体" w:hAnsi="宋体" w:cs="宋体" w:eastAsia="宋体" w:hint="default"/>
          <w:sz w:val="11"/>
          <w:szCs w:val="11"/>
        </w:rPr>
      </w:pPr>
    </w:p>
    <w:tbl>
      <w:tblPr>
        <w:tblW w:w="0" w:type="auto"/>
        <w:jc w:val="left"/>
        <w:tblInd w:w="281" w:type="dxa"/>
        <w:tblLayout w:type="fixed"/>
        <w:tblCellMar>
          <w:top w:w="0" w:type="dxa"/>
          <w:left w:w="0" w:type="dxa"/>
          <w:bottom w:w="0" w:type="dxa"/>
          <w:right w:w="0" w:type="dxa"/>
        </w:tblCellMar>
        <w:tblLook w:val="01E0"/>
      </w:tblPr>
      <w:tblGrid>
        <w:gridCol w:w="1406"/>
        <w:gridCol w:w="1864"/>
        <w:gridCol w:w="1862"/>
        <w:gridCol w:w="1864"/>
        <w:gridCol w:w="1862"/>
      </w:tblGrid>
      <w:tr>
        <w:trPr>
          <w:trHeight w:val="307" w:hRule="exact"/>
        </w:trPr>
        <w:tc>
          <w:tcPr>
            <w:tcW w:w="1406" w:type="dxa"/>
            <w:vMerge w:val="restart"/>
            <w:tcBorders>
              <w:top w:val="single" w:sz="12" w:space="0" w:color="000000"/>
              <w:left w:val="nil" w:sz="6" w:space="0" w:color="auto"/>
              <w:right w:val="single" w:sz="6" w:space="0" w:color="000000"/>
            </w:tcBorders>
          </w:tcPr>
          <w:p>
            <w:pPr>
              <w:pStyle w:val="TableParagraph"/>
              <w:spacing w:line="240" w:lineRule="auto" w:before="106"/>
              <w:ind w:left="29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726" w:type="dxa"/>
            <w:gridSpan w:val="2"/>
            <w:tcBorders>
              <w:top w:val="single" w:sz="12" w:space="0" w:color="000000"/>
              <w:left w:val="single" w:sz="6" w:space="0" w:color="000000"/>
              <w:bottom w:val="single" w:sz="6" w:space="0" w:color="000000"/>
              <w:right w:val="nil" w:sz="6" w:space="0" w:color="auto"/>
            </w:tcBorders>
          </w:tcPr>
          <w:p>
            <w:pPr>
              <w:pStyle w:val="TableParagraph"/>
              <w:spacing w:line="247" w:lineRule="exact"/>
              <w:ind w:right="154"/>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99" w:hRule="exact"/>
        </w:trPr>
        <w:tc>
          <w:tcPr>
            <w:tcW w:w="1406" w:type="dxa"/>
            <w:vMerge/>
            <w:tcBorders>
              <w:left w:val="nil" w:sz="6" w:space="0" w:color="auto"/>
              <w:bottom w:val="single" w:sz="6" w:space="0" w:color="000000"/>
              <w:right w:val="single" w:sz="6" w:space="0" w:color="000000"/>
            </w:tcBorders>
          </w:tcPr>
          <w:p>
            <w:pP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62" w:hRule="exact"/>
        </w:trPr>
        <w:tc>
          <w:tcPr>
            <w:tcW w:w="140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电力仪器仪</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表销售</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1,012,021,882.68</w:t>
            </w:r>
            <w:r>
              <w:rPr>
                <w:rFonts w:ascii="Century Gothic"/>
                <w:sz w:val="21"/>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7"/>
              <w:jc w:val="right"/>
              <w:rPr>
                <w:rFonts w:ascii="Century Gothic" w:hAnsi="Century Gothic" w:cs="Century Gothic" w:eastAsia="Century Gothic" w:hint="default"/>
                <w:sz w:val="21"/>
                <w:szCs w:val="21"/>
              </w:rPr>
            </w:pPr>
            <w:r>
              <w:rPr>
                <w:rFonts w:ascii="Century Gothic"/>
                <w:spacing w:val="-1"/>
                <w:sz w:val="21"/>
              </w:rPr>
              <w:t>657,857,927.47</w:t>
            </w:r>
            <w:r>
              <w:rPr>
                <w:rFonts w:ascii="Century Gothic"/>
                <w:sz w:val="21"/>
              </w:rPr>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1"/>
                <w:sz w:val="21"/>
              </w:rPr>
              <w:t>847,067,881.27</w:t>
            </w:r>
            <w:r>
              <w:rPr>
                <w:rFonts w:ascii="Century Gothic"/>
                <w:sz w:val="21"/>
              </w:rPr>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5"/>
              <w:jc w:val="right"/>
              <w:rPr>
                <w:rFonts w:ascii="Century Gothic" w:hAnsi="Century Gothic" w:cs="Century Gothic" w:eastAsia="Century Gothic" w:hint="default"/>
                <w:sz w:val="21"/>
                <w:szCs w:val="21"/>
              </w:rPr>
            </w:pPr>
            <w:r>
              <w:rPr>
                <w:rFonts w:ascii="Century Gothic"/>
                <w:spacing w:val="-1"/>
                <w:sz w:val="21"/>
              </w:rPr>
              <w:t>592,538,829.74</w:t>
            </w:r>
            <w:r>
              <w:rPr>
                <w:rFonts w:ascii="Century Gothic"/>
                <w:sz w:val="21"/>
              </w:rPr>
            </w:r>
          </w:p>
        </w:tc>
      </w:tr>
      <w:tr>
        <w:trPr>
          <w:trHeight w:val="834" w:hRule="exact"/>
        </w:trPr>
        <w:tc>
          <w:tcPr>
            <w:tcW w:w="140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青蒿素及其</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40" w:lineRule="auto"/>
              <w:ind w:left="122" w:right="68"/>
              <w:jc w:val="left"/>
              <w:rPr>
                <w:rFonts w:ascii="宋体" w:hAnsi="宋体" w:cs="宋体" w:eastAsia="宋体" w:hint="default"/>
                <w:sz w:val="21"/>
                <w:szCs w:val="21"/>
              </w:rPr>
            </w:pPr>
            <w:r>
              <w:rPr>
                <w:rFonts w:ascii="宋体" w:hAnsi="宋体" w:cs="宋体" w:eastAsia="宋体" w:hint="default"/>
                <w:spacing w:val="24"/>
                <w:sz w:val="21"/>
                <w:szCs w:val="21"/>
              </w:rPr>
              <w:t>相关产品销</w:t>
            </w:r>
            <w:r>
              <w:rPr>
                <w:rFonts w:ascii="宋体" w:hAnsi="宋体" w:cs="宋体" w:eastAsia="宋体" w:hint="default"/>
                <w:spacing w:val="-101"/>
                <w:sz w:val="21"/>
                <w:szCs w:val="21"/>
              </w:rPr>
              <w:t> </w:t>
            </w:r>
            <w:r>
              <w:rPr>
                <w:rFonts w:ascii="宋体" w:hAnsi="宋体" w:cs="宋体" w:eastAsia="宋体" w:hint="default"/>
                <w:sz w:val="21"/>
                <w:szCs w:val="21"/>
              </w:rPr>
              <w:t>售</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96,910,246.87</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Century Gothic" w:hAnsi="Century Gothic" w:cs="Century Gothic" w:eastAsia="Century Gothic" w:hint="default"/>
                <w:sz w:val="21"/>
                <w:szCs w:val="21"/>
              </w:rPr>
            </w:pPr>
            <w:r>
              <w:rPr>
                <w:rFonts w:ascii="Century Gothic"/>
                <w:spacing w:val="-1"/>
                <w:sz w:val="21"/>
              </w:rPr>
              <w:t>65,238,529.30</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142,309,443.28</w:t>
            </w:r>
            <w:r>
              <w:rPr>
                <w:rFonts w:ascii="Century Gothic"/>
                <w:sz w:val="21"/>
              </w:rPr>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entury Gothic" w:hAnsi="Century Gothic" w:cs="Century Gothic" w:eastAsia="Century Gothic" w:hint="default"/>
                <w:sz w:val="21"/>
                <w:szCs w:val="21"/>
              </w:rPr>
            </w:pPr>
            <w:r>
              <w:rPr>
                <w:rFonts w:ascii="Century Gothic"/>
                <w:spacing w:val="-1"/>
                <w:sz w:val="21"/>
              </w:rPr>
              <w:t>107,857,245.28</w:t>
            </w:r>
            <w:r>
              <w:rPr>
                <w:rFonts w:ascii="Century Gothic"/>
                <w:sz w:val="21"/>
              </w:rPr>
            </w:r>
          </w:p>
        </w:tc>
      </w:tr>
      <w:tr>
        <w:trPr>
          <w:trHeight w:val="560" w:hRule="exact"/>
        </w:trPr>
        <w:tc>
          <w:tcPr>
            <w:tcW w:w="140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燃气表、水热</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表销售</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13,035,932.44</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1"/>
                <w:sz w:val="21"/>
              </w:rPr>
              <w:t>9,175,559.88</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9,170,064.92</w:t>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6,217,366.98</w:t>
            </w:r>
          </w:p>
        </w:tc>
      </w:tr>
      <w:tr>
        <w:trPr>
          <w:trHeight w:val="834" w:hRule="exact"/>
        </w:trPr>
        <w:tc>
          <w:tcPr>
            <w:tcW w:w="140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紫杉醇及其</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2" w:lineRule="exact" w:before="27"/>
              <w:ind w:left="122" w:right="68"/>
              <w:jc w:val="left"/>
              <w:rPr>
                <w:rFonts w:ascii="宋体" w:hAnsi="宋体" w:cs="宋体" w:eastAsia="宋体" w:hint="default"/>
                <w:sz w:val="21"/>
                <w:szCs w:val="21"/>
              </w:rPr>
            </w:pPr>
            <w:r>
              <w:rPr>
                <w:rFonts w:ascii="宋体" w:hAnsi="宋体" w:cs="宋体" w:eastAsia="宋体" w:hint="default"/>
                <w:spacing w:val="24"/>
                <w:sz w:val="21"/>
                <w:szCs w:val="21"/>
              </w:rPr>
              <w:t>相关产品销</w:t>
            </w:r>
            <w:r>
              <w:rPr>
                <w:rFonts w:ascii="宋体" w:hAnsi="宋体" w:cs="宋体" w:eastAsia="宋体" w:hint="default"/>
                <w:spacing w:val="-101"/>
                <w:sz w:val="21"/>
                <w:szCs w:val="21"/>
              </w:rPr>
              <w:t> </w:t>
            </w:r>
            <w:r>
              <w:rPr>
                <w:rFonts w:ascii="宋体" w:hAnsi="宋体" w:cs="宋体" w:eastAsia="宋体" w:hint="default"/>
                <w:sz w:val="21"/>
                <w:szCs w:val="21"/>
              </w:rPr>
              <w:t>售</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16,738,093.54</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7"/>
              <w:jc w:val="right"/>
              <w:rPr>
                <w:rFonts w:ascii="Century Gothic" w:hAnsi="Century Gothic" w:cs="Century Gothic" w:eastAsia="Century Gothic" w:hint="default"/>
                <w:sz w:val="21"/>
                <w:szCs w:val="21"/>
              </w:rPr>
            </w:pPr>
            <w:r>
              <w:rPr>
                <w:rFonts w:ascii="Century Gothic"/>
                <w:spacing w:val="-1"/>
                <w:sz w:val="21"/>
              </w:rPr>
              <w:t>12,384,996.93</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14,392,155.85</w:t>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5"/>
              <w:jc w:val="right"/>
              <w:rPr>
                <w:rFonts w:ascii="Century Gothic" w:hAnsi="Century Gothic" w:cs="Century Gothic" w:eastAsia="Century Gothic" w:hint="default"/>
                <w:sz w:val="21"/>
                <w:szCs w:val="21"/>
              </w:rPr>
            </w:pPr>
            <w:r>
              <w:rPr>
                <w:rFonts w:ascii="Century Gothic"/>
                <w:spacing w:val="-1"/>
                <w:sz w:val="21"/>
              </w:rPr>
              <w:t>10,734,737.44</w:t>
            </w:r>
          </w:p>
        </w:tc>
      </w:tr>
      <w:tr>
        <w:trPr>
          <w:trHeight w:val="562" w:hRule="exact"/>
        </w:trPr>
        <w:tc>
          <w:tcPr>
            <w:tcW w:w="140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药品批发销</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售</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1"/>
                <w:sz w:val="21"/>
              </w:rPr>
              <w:t>638,461,037.31</w:t>
            </w:r>
            <w:r>
              <w:rPr>
                <w:rFonts w:ascii="Century Gothic"/>
                <w:sz w:val="21"/>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597,035,582.31</w:t>
            </w:r>
            <w:r>
              <w:rPr>
                <w:rFonts w:ascii="Century Gothic"/>
                <w:sz w:val="21"/>
              </w:rPr>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1,677,080,030.62</w:t>
            </w:r>
            <w:r>
              <w:rPr>
                <w:rFonts w:ascii="Century Gothic"/>
                <w:sz w:val="21"/>
              </w:rPr>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5"/>
              <w:jc w:val="right"/>
              <w:rPr>
                <w:rFonts w:ascii="Century Gothic" w:hAnsi="Century Gothic" w:cs="Century Gothic" w:eastAsia="Century Gothic" w:hint="default"/>
                <w:sz w:val="21"/>
                <w:szCs w:val="21"/>
              </w:rPr>
            </w:pPr>
            <w:r>
              <w:rPr>
                <w:rFonts w:ascii="Century Gothic"/>
                <w:spacing w:val="-1"/>
                <w:sz w:val="21"/>
              </w:rPr>
              <w:t>1,592,705,417.70</w:t>
            </w:r>
            <w:r>
              <w:rPr>
                <w:rFonts w:ascii="Century Gothic"/>
                <w:sz w:val="21"/>
              </w:rPr>
            </w:r>
          </w:p>
        </w:tc>
      </w:tr>
      <w:tr>
        <w:trPr>
          <w:trHeight w:val="560" w:hRule="exact"/>
        </w:trPr>
        <w:tc>
          <w:tcPr>
            <w:tcW w:w="140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其他药品销</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售</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91,411,282.48</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7"/>
              <w:jc w:val="right"/>
              <w:rPr>
                <w:rFonts w:ascii="Century Gothic" w:hAnsi="Century Gothic" w:cs="Century Gothic" w:eastAsia="Century Gothic" w:hint="default"/>
                <w:sz w:val="21"/>
                <w:szCs w:val="21"/>
              </w:rPr>
            </w:pPr>
            <w:r>
              <w:rPr>
                <w:rFonts w:ascii="Century Gothic"/>
                <w:spacing w:val="-1"/>
                <w:sz w:val="21"/>
              </w:rPr>
              <w:t>65,545,243.22</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71,033,449.12</w:t>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5"/>
              <w:jc w:val="right"/>
              <w:rPr>
                <w:rFonts w:ascii="Century Gothic" w:hAnsi="Century Gothic" w:cs="Century Gothic" w:eastAsia="Century Gothic" w:hint="default"/>
                <w:sz w:val="21"/>
                <w:szCs w:val="21"/>
              </w:rPr>
            </w:pPr>
            <w:r>
              <w:rPr>
                <w:rFonts w:ascii="Century Gothic"/>
                <w:spacing w:val="-1"/>
                <w:sz w:val="21"/>
              </w:rPr>
              <w:t>52,426,387.09</w:t>
            </w:r>
          </w:p>
        </w:tc>
      </w:tr>
      <w:tr>
        <w:trPr>
          <w:trHeight w:val="562" w:hRule="exact"/>
        </w:trPr>
        <w:tc>
          <w:tcPr>
            <w:tcW w:w="140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4"/>
                <w:sz w:val="21"/>
                <w:szCs w:val="21"/>
              </w:rPr>
              <w:t>工业大麻相</w:t>
            </w:r>
            <w:r>
              <w:rPr>
                <w:rFonts w:ascii="宋体" w:hAnsi="宋体" w:cs="宋体" w:eastAsia="宋体" w:hint="default"/>
                <w:spacing w:val="-7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关产品销售</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1,620,025.99</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7"/>
              <w:jc w:val="right"/>
              <w:rPr>
                <w:rFonts w:ascii="Century Gothic" w:hAnsi="Century Gothic" w:cs="Century Gothic" w:eastAsia="Century Gothic" w:hint="default"/>
                <w:sz w:val="21"/>
                <w:szCs w:val="21"/>
              </w:rPr>
            </w:pPr>
            <w:r>
              <w:rPr>
                <w:rFonts w:ascii="Century Gothic"/>
                <w:spacing w:val="-1"/>
                <w:sz w:val="21"/>
              </w:rPr>
              <w:t>618,970.84</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4,001,396.42</w:t>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4,136,936.96</w:t>
            </w:r>
          </w:p>
        </w:tc>
      </w:tr>
      <w:tr>
        <w:trPr>
          <w:trHeight w:val="307" w:hRule="exact"/>
        </w:trPr>
        <w:tc>
          <w:tcPr>
            <w:tcW w:w="1406" w:type="dxa"/>
            <w:tcBorders>
              <w:top w:val="single" w:sz="6" w:space="0" w:color="000000"/>
              <w:left w:val="nil" w:sz="6" w:space="0" w:color="auto"/>
              <w:bottom w:val="single" w:sz="12" w:space="0" w:color="000000"/>
              <w:right w:val="single" w:sz="6" w:space="0" w:color="000000"/>
            </w:tcBorders>
          </w:tcPr>
          <w:p>
            <w:pPr>
              <w:pStyle w:val="TableParagraph"/>
              <w:tabs>
                <w:tab w:pos="814" w:val="left" w:leader="none"/>
              </w:tabs>
              <w:spacing w:line="247" w:lineRule="exact"/>
              <w:ind w:left="39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1,870,198,501.31</w:t>
            </w:r>
            <w:r>
              <w:rPr>
                <w:rFonts w:ascii="Century Gothic"/>
                <w:b/>
                <w:w w:val="95"/>
                <w:sz w:val="21"/>
              </w:rPr>
            </w:r>
            <w:r>
              <w:rPr>
                <w:rFonts w:ascii="Century Gothic"/>
                <w:sz w:val="21"/>
              </w:rPr>
            </w:r>
          </w:p>
        </w:tc>
        <w:tc>
          <w:tcPr>
            <w:tcW w:w="18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7"/>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1,407,856,809.95</w:t>
            </w:r>
            <w:r>
              <w:rPr>
                <w:rFonts w:ascii="Century Gothic"/>
                <w:b/>
                <w:w w:val="95"/>
                <w:sz w:val="21"/>
              </w:rPr>
            </w:r>
            <w:r>
              <w:rPr>
                <w:rFonts w:ascii="Century Gothic"/>
                <w:sz w:val="21"/>
              </w:rPr>
            </w:r>
          </w:p>
        </w:tc>
        <w:tc>
          <w:tcPr>
            <w:tcW w:w="1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2,765,054,421.48</w:t>
            </w:r>
            <w:r>
              <w:rPr>
                <w:rFonts w:ascii="Century Gothic"/>
                <w:b/>
                <w:w w:val="95"/>
                <w:sz w:val="21"/>
              </w:rPr>
            </w:r>
            <w:r>
              <w:rPr>
                <w:rFonts w:ascii="Century Gothic"/>
                <w:sz w:val="21"/>
              </w:rPr>
            </w:r>
          </w:p>
        </w:tc>
        <w:tc>
          <w:tcPr>
            <w:tcW w:w="18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4"/>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2,366,616,921.19</w:t>
            </w:r>
            <w:r>
              <w:rPr>
                <w:rFonts w:ascii="Century Gothic"/>
                <w:b/>
                <w:w w:val="95"/>
                <w:sz w:val="21"/>
              </w:rPr>
            </w:r>
            <w:r>
              <w:rPr>
                <w:rFonts w:ascii="Century Gothic"/>
                <w:sz w:val="21"/>
              </w:rPr>
            </w:r>
          </w:p>
        </w:tc>
      </w:tr>
    </w:tbl>
    <w:p>
      <w:pPr>
        <w:spacing w:line="240" w:lineRule="auto" w:before="13"/>
        <w:rPr>
          <w:rFonts w:ascii="宋体" w:hAnsi="宋体" w:cs="宋体" w:eastAsia="宋体" w:hint="default"/>
          <w:sz w:val="20"/>
          <w:szCs w:val="20"/>
        </w:rPr>
      </w:pPr>
    </w:p>
    <w:p>
      <w:pPr>
        <w:spacing w:before="76"/>
        <w:ind w:left="482" w:right="320" w:firstLine="0"/>
        <w:jc w:val="center"/>
        <w:rPr>
          <w:rFonts w:ascii="Times New Roman" w:hAnsi="Times New Roman" w:cs="Times New Roman" w:eastAsia="Times New Roman" w:hint="default"/>
          <w:sz w:val="18"/>
          <w:szCs w:val="18"/>
        </w:rPr>
      </w:pPr>
      <w:r>
        <w:rPr>
          <w:rFonts w:ascii="Times New Roman"/>
          <w:sz w:val="18"/>
        </w:rPr>
        <w:t>85</w:t>
      </w:r>
    </w:p>
    <w:p>
      <w:pPr>
        <w:spacing w:after="0"/>
        <w:jc w:val="center"/>
        <w:rPr>
          <w:rFonts w:ascii="Times New Roman" w:hAnsi="Times New Roman" w:cs="Times New Roman" w:eastAsia="Times New Roman" w:hint="default"/>
          <w:sz w:val="18"/>
          <w:szCs w:val="18"/>
        </w:rPr>
        <w:sectPr>
          <w:type w:val="continuous"/>
          <w:pgSz w:w="11910" w:h="16840"/>
          <w:pgMar w:top="780" w:bottom="280" w:left="1280" w:right="132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5776"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0"/>
        <w:ind w:left="558" w:right="0"/>
        <w:jc w:val="left"/>
      </w:pPr>
      <w:r>
        <w:rPr/>
        <w:t>（</w:t>
      </w:r>
      <w:r>
        <w:rPr>
          <w:rFonts w:ascii="Century Gothic" w:hAnsi="Century Gothic" w:cs="Century Gothic" w:eastAsia="Century Gothic" w:hint="default"/>
        </w:rPr>
        <w:t>3</w:t>
      </w:r>
      <w:r>
        <w:rPr/>
        <w:t>）主营业务按地区分项列示如下：</w:t>
      </w:r>
    </w:p>
    <w:p>
      <w:pPr>
        <w:spacing w:line="240" w:lineRule="auto" w:before="10"/>
        <w:rPr>
          <w:rFonts w:ascii="宋体" w:hAnsi="宋体" w:cs="宋体" w:eastAsia="宋体" w:hint="default"/>
          <w:sz w:val="20"/>
          <w:szCs w:val="20"/>
        </w:rPr>
      </w:pPr>
    </w:p>
    <w:tbl>
      <w:tblPr>
        <w:tblW w:w="0" w:type="auto"/>
        <w:jc w:val="left"/>
        <w:tblInd w:w="281" w:type="dxa"/>
        <w:tblLayout w:type="fixed"/>
        <w:tblCellMar>
          <w:top w:w="0" w:type="dxa"/>
          <w:left w:w="0" w:type="dxa"/>
          <w:bottom w:w="0" w:type="dxa"/>
          <w:right w:w="0" w:type="dxa"/>
        </w:tblCellMar>
        <w:tblLook w:val="01E0"/>
      </w:tblPr>
      <w:tblGrid>
        <w:gridCol w:w="1406"/>
        <w:gridCol w:w="1864"/>
        <w:gridCol w:w="1862"/>
        <w:gridCol w:w="1864"/>
        <w:gridCol w:w="1862"/>
      </w:tblGrid>
      <w:tr>
        <w:trPr>
          <w:trHeight w:val="307" w:hRule="exact"/>
        </w:trPr>
        <w:tc>
          <w:tcPr>
            <w:tcW w:w="1406" w:type="dxa"/>
            <w:vMerge w:val="restart"/>
            <w:tcBorders>
              <w:top w:val="single" w:sz="12" w:space="0" w:color="000000"/>
              <w:left w:val="nil" w:sz="6" w:space="0" w:color="auto"/>
              <w:right w:val="single" w:sz="6" w:space="0" w:color="000000"/>
            </w:tcBorders>
          </w:tcPr>
          <w:p>
            <w:pPr>
              <w:pStyle w:val="TableParagraph"/>
              <w:spacing w:line="240" w:lineRule="auto" w:before="106"/>
              <w:ind w:left="29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2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726" w:type="dxa"/>
            <w:gridSpan w:val="2"/>
            <w:tcBorders>
              <w:top w:val="single" w:sz="12" w:space="0" w:color="000000"/>
              <w:left w:val="single" w:sz="6" w:space="0" w:color="000000"/>
              <w:bottom w:val="single" w:sz="6" w:space="0" w:color="000000"/>
              <w:right w:val="nil" w:sz="6" w:space="0" w:color="auto"/>
            </w:tcBorders>
          </w:tcPr>
          <w:p>
            <w:pPr>
              <w:pStyle w:val="TableParagraph"/>
              <w:spacing w:line="247" w:lineRule="exact"/>
              <w:ind w:right="154"/>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99" w:hRule="exact"/>
        </w:trPr>
        <w:tc>
          <w:tcPr>
            <w:tcW w:w="1406" w:type="dxa"/>
            <w:vMerge/>
            <w:tcBorders>
              <w:left w:val="nil" w:sz="6" w:space="0" w:color="auto"/>
              <w:bottom w:val="single" w:sz="6" w:space="0" w:color="000000"/>
              <w:right w:val="single" w:sz="6" w:space="0" w:color="000000"/>
            </w:tcBorders>
          </w:tcPr>
          <w:p>
            <w:pP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99" w:hRule="exact"/>
        </w:trPr>
        <w:tc>
          <w:tcPr>
            <w:tcW w:w="140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176,540,086.35</w:t>
            </w:r>
            <w:r>
              <w:rPr>
                <w:rFonts w:ascii="Century Gothic"/>
                <w:sz w:val="21"/>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113,446,468.67</w:t>
            </w:r>
            <w:r>
              <w:rPr>
                <w:rFonts w:ascii="Century Gothic"/>
                <w:sz w:val="21"/>
              </w:rPr>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154,678,303.68</w:t>
            </w:r>
            <w:r>
              <w:rPr>
                <w:rFonts w:ascii="Century Gothic"/>
                <w:sz w:val="21"/>
              </w:rPr>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5"/>
              <w:jc w:val="right"/>
              <w:rPr>
                <w:rFonts w:ascii="Century Gothic" w:hAnsi="Century Gothic" w:cs="Century Gothic" w:eastAsia="Century Gothic" w:hint="default"/>
                <w:sz w:val="21"/>
                <w:szCs w:val="21"/>
              </w:rPr>
            </w:pPr>
            <w:r>
              <w:rPr>
                <w:rFonts w:ascii="Century Gothic"/>
                <w:spacing w:val="-1"/>
                <w:sz w:val="21"/>
              </w:rPr>
              <w:t>109,913,308.38</w:t>
            </w:r>
            <w:r>
              <w:rPr>
                <w:rFonts w:ascii="Century Gothic"/>
                <w:sz w:val="21"/>
              </w:rPr>
            </w:r>
          </w:p>
        </w:tc>
      </w:tr>
      <w:tr>
        <w:trPr>
          <w:trHeight w:val="299" w:hRule="exact"/>
        </w:trPr>
        <w:tc>
          <w:tcPr>
            <w:tcW w:w="140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477,014,430.95</w:t>
            </w:r>
            <w:r>
              <w:rPr>
                <w:rFonts w:ascii="Century Gothic"/>
                <w:sz w:val="21"/>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328,385,534.72</w:t>
            </w:r>
            <w:r>
              <w:rPr>
                <w:rFonts w:ascii="Century Gothic"/>
                <w:sz w:val="21"/>
              </w:rPr>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609,733,354.40</w:t>
            </w:r>
            <w:r>
              <w:rPr>
                <w:rFonts w:ascii="Century Gothic"/>
                <w:sz w:val="21"/>
              </w:rPr>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5"/>
              <w:jc w:val="right"/>
              <w:rPr>
                <w:rFonts w:ascii="Century Gothic" w:hAnsi="Century Gothic" w:cs="Century Gothic" w:eastAsia="Century Gothic" w:hint="default"/>
                <w:sz w:val="21"/>
                <w:szCs w:val="21"/>
              </w:rPr>
            </w:pPr>
            <w:r>
              <w:rPr>
                <w:rFonts w:ascii="Century Gothic"/>
                <w:spacing w:val="-1"/>
                <w:sz w:val="21"/>
              </w:rPr>
              <w:t>519,223,819.32</w:t>
            </w:r>
            <w:r>
              <w:rPr>
                <w:rFonts w:ascii="Century Gothic"/>
                <w:sz w:val="21"/>
              </w:rPr>
            </w:r>
          </w:p>
        </w:tc>
      </w:tr>
      <w:tr>
        <w:trPr>
          <w:trHeight w:val="300" w:hRule="exact"/>
        </w:trPr>
        <w:tc>
          <w:tcPr>
            <w:tcW w:w="140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551,694,324.46</w:t>
            </w:r>
            <w:r>
              <w:rPr>
                <w:rFonts w:ascii="Century Gothic"/>
                <w:sz w:val="21"/>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507,895,471.59</w:t>
            </w:r>
            <w:r>
              <w:rPr>
                <w:rFonts w:ascii="Century Gothic"/>
                <w:sz w:val="21"/>
              </w:rPr>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539,917,865.54</w:t>
            </w:r>
            <w:r>
              <w:rPr>
                <w:rFonts w:ascii="Century Gothic"/>
                <w:sz w:val="21"/>
              </w:rPr>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5"/>
              <w:jc w:val="right"/>
              <w:rPr>
                <w:rFonts w:ascii="Century Gothic" w:hAnsi="Century Gothic" w:cs="Century Gothic" w:eastAsia="Century Gothic" w:hint="default"/>
                <w:sz w:val="21"/>
                <w:szCs w:val="21"/>
              </w:rPr>
            </w:pPr>
            <w:r>
              <w:rPr>
                <w:rFonts w:ascii="Century Gothic"/>
                <w:spacing w:val="-1"/>
                <w:sz w:val="21"/>
              </w:rPr>
              <w:t>507,292,524.95</w:t>
            </w:r>
            <w:r>
              <w:rPr>
                <w:rFonts w:ascii="Century Gothic"/>
                <w:sz w:val="21"/>
              </w:rPr>
            </w:r>
          </w:p>
        </w:tc>
      </w:tr>
      <w:tr>
        <w:trPr>
          <w:trHeight w:val="299" w:hRule="exact"/>
        </w:trPr>
        <w:tc>
          <w:tcPr>
            <w:tcW w:w="140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244,440,833.74</w:t>
            </w:r>
            <w:r>
              <w:rPr>
                <w:rFonts w:ascii="Century Gothic"/>
                <w:sz w:val="21"/>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184,610,444.76</w:t>
            </w:r>
            <w:r>
              <w:rPr>
                <w:rFonts w:ascii="Century Gothic"/>
                <w:sz w:val="21"/>
              </w:rPr>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948,422,869.62</w:t>
            </w:r>
            <w:r>
              <w:rPr>
                <w:rFonts w:ascii="Century Gothic"/>
                <w:sz w:val="21"/>
              </w:rPr>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5"/>
              <w:jc w:val="right"/>
              <w:rPr>
                <w:rFonts w:ascii="Century Gothic" w:hAnsi="Century Gothic" w:cs="Century Gothic" w:eastAsia="Century Gothic" w:hint="default"/>
                <w:sz w:val="21"/>
                <w:szCs w:val="21"/>
              </w:rPr>
            </w:pPr>
            <w:r>
              <w:rPr>
                <w:rFonts w:ascii="Century Gothic"/>
                <w:spacing w:val="-1"/>
                <w:sz w:val="21"/>
              </w:rPr>
              <w:t>855,087,872.29</w:t>
            </w:r>
            <w:r>
              <w:rPr>
                <w:rFonts w:ascii="Century Gothic"/>
                <w:sz w:val="21"/>
              </w:rPr>
            </w:r>
          </w:p>
        </w:tc>
      </w:tr>
      <w:tr>
        <w:trPr>
          <w:trHeight w:val="299" w:hRule="exact"/>
        </w:trPr>
        <w:tc>
          <w:tcPr>
            <w:tcW w:w="140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133,875,539.22</w:t>
            </w:r>
            <w:r>
              <w:rPr>
                <w:rFonts w:ascii="Century Gothic"/>
                <w:sz w:val="21"/>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Century Gothic" w:hAnsi="Century Gothic" w:cs="Century Gothic" w:eastAsia="Century Gothic" w:hint="default"/>
                <w:sz w:val="21"/>
                <w:szCs w:val="21"/>
              </w:rPr>
            </w:pPr>
            <w:r>
              <w:rPr>
                <w:rFonts w:ascii="Century Gothic"/>
                <w:spacing w:val="-1"/>
                <w:sz w:val="21"/>
              </w:rPr>
              <w:t>85,204,973.97</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127,814,112.01</w:t>
            </w:r>
            <w:r>
              <w:rPr>
                <w:rFonts w:ascii="Century Gothic"/>
                <w:sz w:val="21"/>
              </w:rPr>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4"/>
              <w:jc w:val="right"/>
              <w:rPr>
                <w:rFonts w:ascii="Century Gothic" w:hAnsi="Century Gothic" w:cs="Century Gothic" w:eastAsia="Century Gothic" w:hint="default"/>
                <w:sz w:val="21"/>
                <w:szCs w:val="21"/>
              </w:rPr>
            </w:pPr>
            <w:r>
              <w:rPr>
                <w:rFonts w:ascii="Century Gothic"/>
                <w:spacing w:val="-1"/>
                <w:sz w:val="21"/>
              </w:rPr>
              <w:t>95,954,233.25</w:t>
            </w:r>
          </w:p>
        </w:tc>
      </w:tr>
      <w:tr>
        <w:trPr>
          <w:trHeight w:val="299" w:hRule="exact"/>
        </w:trPr>
        <w:tc>
          <w:tcPr>
            <w:tcW w:w="140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59,809,826.59</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Century Gothic" w:hAnsi="Century Gothic" w:cs="Century Gothic" w:eastAsia="Century Gothic" w:hint="default"/>
                <w:sz w:val="21"/>
                <w:szCs w:val="21"/>
              </w:rPr>
            </w:pPr>
            <w:r>
              <w:rPr>
                <w:rFonts w:ascii="Century Gothic"/>
                <w:spacing w:val="-1"/>
                <w:sz w:val="21"/>
              </w:rPr>
              <w:t>38,046,518.22</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82,663,307.74</w:t>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4"/>
              <w:jc w:val="right"/>
              <w:rPr>
                <w:rFonts w:ascii="Century Gothic" w:hAnsi="Century Gothic" w:cs="Century Gothic" w:eastAsia="Century Gothic" w:hint="default"/>
                <w:sz w:val="21"/>
                <w:szCs w:val="21"/>
              </w:rPr>
            </w:pPr>
            <w:r>
              <w:rPr>
                <w:rFonts w:ascii="Century Gothic"/>
                <w:spacing w:val="-1"/>
                <w:sz w:val="21"/>
              </w:rPr>
              <w:t>59,009,719.39</w:t>
            </w:r>
          </w:p>
        </w:tc>
      </w:tr>
      <w:tr>
        <w:trPr>
          <w:trHeight w:val="299" w:hRule="exact"/>
        </w:trPr>
        <w:tc>
          <w:tcPr>
            <w:tcW w:w="140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54,686,926.56</w:t>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Century Gothic" w:hAnsi="Century Gothic" w:cs="Century Gothic" w:eastAsia="Century Gothic" w:hint="default"/>
                <w:sz w:val="21"/>
                <w:szCs w:val="21"/>
              </w:rPr>
            </w:pPr>
            <w:r>
              <w:rPr>
                <w:rFonts w:ascii="Century Gothic"/>
                <w:spacing w:val="-1"/>
                <w:sz w:val="21"/>
              </w:rPr>
              <w:t>35,044,673.55</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62,754,345.50</w:t>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4"/>
              <w:jc w:val="right"/>
              <w:rPr>
                <w:rFonts w:ascii="Century Gothic" w:hAnsi="Century Gothic" w:cs="Century Gothic" w:eastAsia="Century Gothic" w:hint="default"/>
                <w:sz w:val="21"/>
                <w:szCs w:val="21"/>
              </w:rPr>
            </w:pPr>
            <w:r>
              <w:rPr>
                <w:rFonts w:ascii="Century Gothic"/>
                <w:spacing w:val="-1"/>
                <w:sz w:val="21"/>
              </w:rPr>
              <w:t>44,621,666.54</w:t>
            </w:r>
          </w:p>
        </w:tc>
      </w:tr>
      <w:tr>
        <w:trPr>
          <w:trHeight w:val="299" w:hRule="exact"/>
        </w:trPr>
        <w:tc>
          <w:tcPr>
            <w:tcW w:w="140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172,136,533.44</w:t>
            </w:r>
            <w:r>
              <w:rPr>
                <w:rFonts w:ascii="Century Gothic"/>
                <w:sz w:val="21"/>
              </w:rPr>
            </w:r>
          </w:p>
        </w:tc>
        <w:tc>
          <w:tcPr>
            <w:tcW w:w="1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115,222,724.47</w:t>
            </w:r>
            <w:r>
              <w:rPr>
                <w:rFonts w:ascii="Century Gothic"/>
                <w:sz w:val="21"/>
              </w:rPr>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239,070,262.99</w:t>
            </w:r>
            <w:r>
              <w:rPr>
                <w:rFonts w:ascii="Century Gothic"/>
                <w:sz w:val="21"/>
              </w:rPr>
            </w:r>
          </w:p>
        </w:tc>
        <w:tc>
          <w:tcPr>
            <w:tcW w:w="18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5"/>
              <w:jc w:val="right"/>
              <w:rPr>
                <w:rFonts w:ascii="Century Gothic" w:hAnsi="Century Gothic" w:cs="Century Gothic" w:eastAsia="Century Gothic" w:hint="default"/>
                <w:sz w:val="21"/>
                <w:szCs w:val="21"/>
              </w:rPr>
            </w:pPr>
            <w:r>
              <w:rPr>
                <w:rFonts w:ascii="Century Gothic"/>
                <w:spacing w:val="-1"/>
                <w:sz w:val="21"/>
              </w:rPr>
              <w:t>175,513,777.07</w:t>
            </w:r>
            <w:r>
              <w:rPr>
                <w:rFonts w:ascii="Century Gothic"/>
                <w:sz w:val="21"/>
              </w:rPr>
            </w:r>
          </w:p>
        </w:tc>
      </w:tr>
      <w:tr>
        <w:trPr>
          <w:trHeight w:val="308" w:hRule="exact"/>
        </w:trPr>
        <w:tc>
          <w:tcPr>
            <w:tcW w:w="1406" w:type="dxa"/>
            <w:tcBorders>
              <w:top w:val="single" w:sz="6" w:space="0" w:color="000000"/>
              <w:left w:val="nil" w:sz="6" w:space="0" w:color="auto"/>
              <w:bottom w:val="single" w:sz="12" w:space="0" w:color="000000"/>
              <w:right w:val="single" w:sz="6" w:space="0" w:color="000000"/>
            </w:tcBorders>
          </w:tcPr>
          <w:p>
            <w:pPr>
              <w:pStyle w:val="TableParagraph"/>
              <w:tabs>
                <w:tab w:pos="815" w:val="left" w:leader="none"/>
              </w:tabs>
              <w:spacing w:line="242" w:lineRule="exact"/>
              <w:ind w:left="39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1,870,198,501.31</w:t>
            </w:r>
            <w:r>
              <w:rPr>
                <w:rFonts w:ascii="Century Gothic"/>
                <w:b/>
                <w:w w:val="95"/>
                <w:sz w:val="21"/>
              </w:rPr>
            </w:r>
            <w:r>
              <w:rPr>
                <w:rFonts w:ascii="Century Gothic"/>
                <w:sz w:val="21"/>
              </w:rPr>
            </w:r>
          </w:p>
        </w:tc>
        <w:tc>
          <w:tcPr>
            <w:tcW w:w="18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7"/>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1,407,856,809.95</w:t>
            </w:r>
            <w:r>
              <w:rPr>
                <w:rFonts w:ascii="Century Gothic"/>
                <w:b/>
                <w:w w:val="95"/>
                <w:sz w:val="21"/>
              </w:rPr>
            </w:r>
            <w:r>
              <w:rPr>
                <w:rFonts w:ascii="Century Gothic"/>
                <w:sz w:val="21"/>
              </w:rPr>
            </w:r>
          </w:p>
        </w:tc>
        <w:tc>
          <w:tcPr>
            <w:tcW w:w="18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2,765,054,421.48</w:t>
            </w:r>
            <w:r>
              <w:rPr>
                <w:rFonts w:ascii="Century Gothic"/>
                <w:b/>
                <w:w w:val="95"/>
                <w:sz w:val="21"/>
              </w:rPr>
            </w:r>
            <w:r>
              <w:rPr>
                <w:rFonts w:ascii="Century Gothic"/>
                <w:sz w:val="21"/>
              </w:rPr>
            </w:r>
          </w:p>
        </w:tc>
        <w:tc>
          <w:tcPr>
            <w:tcW w:w="18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2,366,616,921.19</w:t>
            </w:r>
            <w:r>
              <w:rPr>
                <w:rFonts w:ascii="Century Gothic"/>
                <w:b/>
                <w:w w:val="95"/>
                <w:sz w:val="21"/>
              </w:rPr>
            </w:r>
            <w:r>
              <w:rPr>
                <w:rFonts w:ascii="Century Gothic"/>
                <w:sz w:val="21"/>
              </w:rPr>
            </w:r>
          </w:p>
        </w:tc>
      </w:tr>
    </w:tbl>
    <w:p>
      <w:pPr>
        <w:pStyle w:val="BodyText"/>
        <w:spacing w:line="240" w:lineRule="auto" w:before="86"/>
        <w:ind w:left="558" w:right="0"/>
        <w:jc w:val="left"/>
      </w:pPr>
      <w:r>
        <w:rPr/>
        <w:t>（</w:t>
      </w:r>
      <w:r>
        <w:rPr>
          <w:rFonts w:ascii="Century Gothic" w:hAnsi="Century Gothic" w:cs="Century Gothic" w:eastAsia="Century Gothic" w:hint="default"/>
        </w:rPr>
        <w:t>4</w:t>
      </w:r>
      <w:r>
        <w:rPr/>
        <w:t>）公司前五名客户营业收入情况</w:t>
      </w:r>
    </w:p>
    <w:p>
      <w:pPr>
        <w:spacing w:line="240" w:lineRule="auto" w:before="10"/>
        <w:rPr>
          <w:rFonts w:ascii="宋体" w:hAnsi="宋体" w:cs="宋体" w:eastAsia="宋体" w:hint="default"/>
          <w:sz w:val="20"/>
          <w:szCs w:val="20"/>
        </w:rPr>
      </w:pPr>
    </w:p>
    <w:tbl>
      <w:tblPr>
        <w:tblW w:w="0" w:type="auto"/>
        <w:jc w:val="left"/>
        <w:tblInd w:w="281" w:type="dxa"/>
        <w:tblLayout w:type="fixed"/>
        <w:tblCellMar>
          <w:top w:w="0" w:type="dxa"/>
          <w:left w:w="0" w:type="dxa"/>
          <w:bottom w:w="0" w:type="dxa"/>
          <w:right w:w="0" w:type="dxa"/>
        </w:tblCellMar>
        <w:tblLook w:val="01E0"/>
      </w:tblPr>
      <w:tblGrid>
        <w:gridCol w:w="3436"/>
        <w:gridCol w:w="2480"/>
        <w:gridCol w:w="2942"/>
      </w:tblGrid>
      <w:tr>
        <w:trPr>
          <w:trHeight w:val="362" w:hRule="exact"/>
        </w:trPr>
        <w:tc>
          <w:tcPr>
            <w:tcW w:w="3436"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48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70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2"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355" w:hRule="exact"/>
        </w:trPr>
        <w:tc>
          <w:tcPr>
            <w:tcW w:w="343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华立集团（泰国）电气有限公司</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38,099,930.22</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4"/>
              <w:jc w:val="right"/>
              <w:rPr>
                <w:rFonts w:ascii="Century Gothic" w:hAnsi="Century Gothic" w:cs="Century Gothic" w:eastAsia="Century Gothic" w:hint="default"/>
                <w:sz w:val="21"/>
                <w:szCs w:val="21"/>
              </w:rPr>
            </w:pPr>
            <w:r>
              <w:rPr>
                <w:rFonts w:ascii="Century Gothic"/>
                <w:spacing w:val="-1"/>
                <w:sz w:val="21"/>
              </w:rPr>
              <w:t>1.95</w:t>
            </w:r>
          </w:p>
        </w:tc>
      </w:tr>
      <w:tr>
        <w:trPr>
          <w:trHeight w:val="355" w:hRule="exact"/>
        </w:trPr>
        <w:tc>
          <w:tcPr>
            <w:tcW w:w="343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湖北鄂能物资有限责任公司</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30,928,856.41</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4"/>
              <w:jc w:val="right"/>
              <w:rPr>
                <w:rFonts w:ascii="Century Gothic" w:hAnsi="Century Gothic" w:cs="Century Gothic" w:eastAsia="Century Gothic" w:hint="default"/>
                <w:sz w:val="21"/>
                <w:szCs w:val="21"/>
              </w:rPr>
            </w:pPr>
            <w:r>
              <w:rPr>
                <w:rFonts w:ascii="Century Gothic"/>
                <w:spacing w:val="-1"/>
                <w:sz w:val="21"/>
              </w:rPr>
              <w:t>1.58</w:t>
            </w:r>
          </w:p>
        </w:tc>
      </w:tr>
      <w:tr>
        <w:trPr>
          <w:trHeight w:val="355" w:hRule="exact"/>
        </w:trPr>
        <w:tc>
          <w:tcPr>
            <w:tcW w:w="343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广州市楷创照明电器有限公司</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18,451,365.38</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4"/>
              <w:jc w:val="right"/>
              <w:rPr>
                <w:rFonts w:ascii="Century Gothic" w:hAnsi="Century Gothic" w:cs="Century Gothic" w:eastAsia="Century Gothic" w:hint="default"/>
                <w:sz w:val="21"/>
                <w:szCs w:val="21"/>
              </w:rPr>
            </w:pPr>
            <w:r>
              <w:rPr>
                <w:rFonts w:ascii="Century Gothic"/>
                <w:spacing w:val="-1"/>
                <w:sz w:val="21"/>
              </w:rPr>
              <w:t>0.94</w:t>
            </w:r>
          </w:p>
        </w:tc>
      </w:tr>
      <w:tr>
        <w:trPr>
          <w:trHeight w:val="354" w:hRule="exact"/>
        </w:trPr>
        <w:tc>
          <w:tcPr>
            <w:tcW w:w="343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牡丹江电业局</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16,599,982.91</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4"/>
              <w:jc w:val="right"/>
              <w:rPr>
                <w:rFonts w:ascii="Century Gothic" w:hAnsi="Century Gothic" w:cs="Century Gothic" w:eastAsia="Century Gothic" w:hint="default"/>
                <w:sz w:val="21"/>
                <w:szCs w:val="21"/>
              </w:rPr>
            </w:pPr>
            <w:r>
              <w:rPr>
                <w:rFonts w:ascii="Century Gothic"/>
                <w:spacing w:val="-1"/>
                <w:sz w:val="21"/>
              </w:rPr>
              <w:t>0.85</w:t>
            </w:r>
          </w:p>
        </w:tc>
      </w:tr>
      <w:tr>
        <w:trPr>
          <w:trHeight w:val="355" w:hRule="exact"/>
        </w:trPr>
        <w:tc>
          <w:tcPr>
            <w:tcW w:w="3436"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新疆新能物资集团有限责任公司</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15,765,788.89</w:t>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4"/>
              <w:jc w:val="right"/>
              <w:rPr>
                <w:rFonts w:ascii="Century Gothic" w:hAnsi="Century Gothic" w:cs="Century Gothic" w:eastAsia="Century Gothic" w:hint="default"/>
                <w:sz w:val="21"/>
                <w:szCs w:val="21"/>
              </w:rPr>
            </w:pPr>
            <w:r>
              <w:rPr>
                <w:rFonts w:ascii="Century Gothic"/>
                <w:spacing w:val="-1"/>
                <w:sz w:val="21"/>
              </w:rPr>
              <w:t>0.81</w:t>
            </w:r>
          </w:p>
        </w:tc>
      </w:tr>
      <w:tr>
        <w:trPr>
          <w:trHeight w:val="363" w:hRule="exact"/>
        </w:trPr>
        <w:tc>
          <w:tcPr>
            <w:tcW w:w="3436" w:type="dxa"/>
            <w:tcBorders>
              <w:top w:val="single" w:sz="6" w:space="0" w:color="000000"/>
              <w:left w:val="nil" w:sz="6" w:space="0" w:color="auto"/>
              <w:bottom w:val="single" w:sz="12" w:space="0" w:color="000000"/>
              <w:right w:val="single" w:sz="6" w:space="0" w:color="000000"/>
            </w:tcBorders>
          </w:tcPr>
          <w:p>
            <w:pPr>
              <w:pStyle w:val="TableParagraph"/>
              <w:tabs>
                <w:tab w:pos="441" w:val="left" w:leader="none"/>
              </w:tabs>
              <w:spacing w:line="24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48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119,845,923.81</w:t>
            </w:r>
            <w:r>
              <w:rPr>
                <w:rFonts w:ascii="Century Gothic"/>
                <w:b/>
                <w:w w:val="95"/>
                <w:sz w:val="21"/>
              </w:rPr>
            </w:r>
            <w:r>
              <w:rPr>
                <w:rFonts w:ascii="Century Gothic"/>
                <w:sz w:val="21"/>
              </w:rPr>
            </w:r>
          </w:p>
        </w:tc>
        <w:tc>
          <w:tcPr>
            <w:tcW w:w="29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104"/>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6.13</w:t>
            </w:r>
            <w:r>
              <w:rPr>
                <w:rFonts w:ascii="Century Gothic"/>
                <w:b/>
                <w:w w:val="95"/>
                <w:sz w:val="21"/>
              </w:rPr>
            </w:r>
            <w:r>
              <w:rPr>
                <w:rFonts w:ascii="Century Gothic"/>
                <w:sz w:val="21"/>
              </w:rPr>
            </w:r>
          </w:p>
        </w:tc>
      </w:tr>
    </w:tbl>
    <w:p>
      <w:pPr>
        <w:spacing w:line="240" w:lineRule="auto" w:before="1"/>
        <w:rPr>
          <w:rFonts w:ascii="宋体" w:hAnsi="宋体" w:cs="宋体" w:eastAsia="宋体" w:hint="default"/>
          <w:sz w:val="13"/>
          <w:szCs w:val="13"/>
        </w:rPr>
      </w:pPr>
    </w:p>
    <w:p>
      <w:pPr>
        <w:pStyle w:val="Heading4"/>
        <w:tabs>
          <w:tab w:pos="1838"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（三十五）</w:t>
        <w:tab/>
      </w:r>
      <w:r>
        <w:rPr>
          <w:rFonts w:ascii="宋体" w:hAnsi="宋体" w:cs="宋体" w:eastAsia="宋体" w:hint="default"/>
        </w:rPr>
        <w:t>营业税金及附加</w:t>
      </w:r>
      <w:r>
        <w:rPr>
          <w:rFonts w:ascii="宋体" w:hAnsi="宋体" w:cs="宋体" w:eastAsia="宋体" w:hint="default"/>
          <w:b w:val="0"/>
          <w:bCs w:val="0"/>
        </w:rPr>
      </w:r>
    </w:p>
    <w:p>
      <w:pPr>
        <w:spacing w:line="240" w:lineRule="auto" w:before="6"/>
        <w:rPr>
          <w:rFonts w:ascii="宋体" w:hAnsi="宋体" w:cs="宋体" w:eastAsia="宋体" w:hint="default"/>
          <w:b/>
          <w:bCs/>
          <w:sz w:val="17"/>
          <w:szCs w:val="17"/>
        </w:rPr>
      </w:pPr>
    </w:p>
    <w:tbl>
      <w:tblPr>
        <w:tblW w:w="0" w:type="auto"/>
        <w:jc w:val="left"/>
        <w:tblInd w:w="281" w:type="dxa"/>
        <w:tblLayout w:type="fixed"/>
        <w:tblCellMar>
          <w:top w:w="0" w:type="dxa"/>
          <w:left w:w="0" w:type="dxa"/>
          <w:bottom w:w="0" w:type="dxa"/>
          <w:right w:w="0" w:type="dxa"/>
        </w:tblCellMar>
        <w:tblLook w:val="01E0"/>
      </w:tblPr>
      <w:tblGrid>
        <w:gridCol w:w="2062"/>
        <w:gridCol w:w="2322"/>
        <w:gridCol w:w="2269"/>
        <w:gridCol w:w="2206"/>
      </w:tblGrid>
      <w:tr>
        <w:trPr>
          <w:trHeight w:val="363" w:hRule="exact"/>
        </w:trPr>
        <w:tc>
          <w:tcPr>
            <w:tcW w:w="2062"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税 种</w:t>
            </w:r>
          </w:p>
        </w:tc>
        <w:tc>
          <w:tcPr>
            <w:tcW w:w="2322"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62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269"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602"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206"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355"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623,915.56</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915,586.05</w:t>
            </w:r>
          </w:p>
        </w:tc>
        <w:tc>
          <w:tcPr>
            <w:tcW w:w="220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4"/>
              <w:jc w:val="center"/>
              <w:rPr>
                <w:rFonts w:ascii="Century Gothic" w:hAnsi="Century Gothic" w:cs="Century Gothic" w:eastAsia="Century Gothic" w:hint="default"/>
                <w:sz w:val="21"/>
                <w:szCs w:val="21"/>
              </w:rPr>
            </w:pPr>
            <w:r>
              <w:rPr>
                <w:rFonts w:ascii="宋体" w:hAnsi="宋体" w:cs="宋体" w:eastAsia="宋体" w:hint="default"/>
                <w:sz w:val="21"/>
                <w:szCs w:val="21"/>
              </w:rPr>
              <w:t>应纳营业税收入的</w:t>
            </w:r>
            <w:r>
              <w:rPr>
                <w:rFonts w:ascii="宋体" w:hAnsi="宋体" w:cs="宋体" w:eastAsia="宋体" w:hint="default"/>
                <w:spacing w:val="-75"/>
                <w:sz w:val="21"/>
                <w:szCs w:val="21"/>
              </w:rPr>
              <w:t> </w:t>
            </w:r>
            <w:r>
              <w:rPr>
                <w:rFonts w:ascii="Century Gothic" w:hAnsi="Century Gothic" w:cs="Century Gothic" w:eastAsia="Century Gothic" w:hint="default"/>
                <w:sz w:val="21"/>
                <w:szCs w:val="21"/>
              </w:rPr>
              <w:t>5%</w:t>
            </w:r>
          </w:p>
        </w:tc>
      </w:tr>
      <w:tr>
        <w:trPr>
          <w:trHeight w:val="354"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6,838,707.70</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5,027,683.50</w:t>
            </w:r>
          </w:p>
        </w:tc>
        <w:tc>
          <w:tcPr>
            <w:tcW w:w="220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5"/>
              <w:jc w:val="center"/>
              <w:rPr>
                <w:rFonts w:ascii="Century Gothic" w:hAnsi="Century Gothic" w:cs="Century Gothic" w:eastAsia="Century Gothic" w:hint="default"/>
                <w:sz w:val="21"/>
                <w:szCs w:val="21"/>
              </w:rPr>
            </w:pPr>
            <w:r>
              <w:rPr>
                <w:rFonts w:ascii="宋体" w:hAnsi="宋体" w:cs="宋体" w:eastAsia="宋体" w:hint="default"/>
                <w:sz w:val="21"/>
                <w:szCs w:val="21"/>
              </w:rPr>
              <w:t>流转税的</w:t>
            </w:r>
            <w:r>
              <w:rPr>
                <w:rFonts w:ascii="宋体" w:hAnsi="宋体" w:cs="宋体" w:eastAsia="宋体" w:hint="default"/>
                <w:spacing w:val="-54"/>
                <w:sz w:val="21"/>
                <w:szCs w:val="21"/>
              </w:rPr>
              <w:t> </w:t>
            </w:r>
            <w:r>
              <w:rPr>
                <w:rFonts w:ascii="Century Gothic" w:hAnsi="Century Gothic" w:cs="Century Gothic" w:eastAsia="Century Gothic" w:hint="default"/>
                <w:sz w:val="21"/>
                <w:szCs w:val="21"/>
              </w:rPr>
              <w:t>7%</w:t>
            </w:r>
            <w:r>
              <w:rPr>
                <w:rFonts w:ascii="宋体" w:hAnsi="宋体" w:cs="宋体" w:eastAsia="宋体" w:hint="default"/>
                <w:sz w:val="21"/>
                <w:szCs w:val="21"/>
              </w:rPr>
              <w:t>或</w:t>
            </w:r>
            <w:r>
              <w:rPr>
                <w:rFonts w:ascii="宋体" w:hAnsi="宋体" w:cs="宋体" w:eastAsia="宋体" w:hint="default"/>
                <w:spacing w:val="-54"/>
                <w:sz w:val="21"/>
                <w:szCs w:val="21"/>
              </w:rPr>
              <w:t> </w:t>
            </w:r>
            <w:r>
              <w:rPr>
                <w:rFonts w:ascii="Century Gothic" w:hAnsi="Century Gothic" w:cs="Century Gothic" w:eastAsia="Century Gothic" w:hint="default"/>
                <w:sz w:val="21"/>
                <w:szCs w:val="21"/>
              </w:rPr>
              <w:t>5%</w:t>
            </w:r>
          </w:p>
        </w:tc>
      </w:tr>
      <w:tr>
        <w:trPr>
          <w:trHeight w:val="355"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4,527,269.19</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3,099,643.31</w:t>
            </w:r>
          </w:p>
        </w:tc>
        <w:tc>
          <w:tcPr>
            <w:tcW w:w="2206"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5"/>
              <w:jc w:val="center"/>
              <w:rPr>
                <w:rFonts w:ascii="Century Gothic" w:hAnsi="Century Gothic" w:cs="Century Gothic" w:eastAsia="Century Gothic" w:hint="default"/>
                <w:sz w:val="21"/>
                <w:szCs w:val="21"/>
              </w:rPr>
            </w:pPr>
            <w:r>
              <w:rPr>
                <w:rFonts w:ascii="宋体" w:hAnsi="宋体" w:cs="宋体" w:eastAsia="宋体" w:hint="default"/>
                <w:sz w:val="21"/>
                <w:szCs w:val="21"/>
              </w:rPr>
              <w:t>流转税的</w:t>
            </w:r>
            <w:r>
              <w:rPr>
                <w:rFonts w:ascii="宋体" w:hAnsi="宋体" w:cs="宋体" w:eastAsia="宋体" w:hint="default"/>
                <w:spacing w:val="-54"/>
                <w:sz w:val="21"/>
                <w:szCs w:val="21"/>
              </w:rPr>
              <w:t> </w:t>
            </w:r>
            <w:r>
              <w:rPr>
                <w:rFonts w:ascii="Century Gothic" w:hAnsi="Century Gothic" w:cs="Century Gothic" w:eastAsia="Century Gothic" w:hint="default"/>
                <w:sz w:val="21"/>
                <w:szCs w:val="21"/>
              </w:rPr>
              <w:t>4%</w:t>
            </w:r>
            <w:r>
              <w:rPr>
                <w:rFonts w:ascii="宋体" w:hAnsi="宋体" w:cs="宋体" w:eastAsia="宋体" w:hint="default"/>
                <w:sz w:val="21"/>
                <w:szCs w:val="21"/>
              </w:rPr>
              <w:t>或</w:t>
            </w:r>
            <w:r>
              <w:rPr>
                <w:rFonts w:ascii="宋体" w:hAnsi="宋体" w:cs="宋体" w:eastAsia="宋体" w:hint="default"/>
                <w:spacing w:val="-54"/>
                <w:sz w:val="21"/>
                <w:szCs w:val="21"/>
              </w:rPr>
              <w:t> </w:t>
            </w:r>
            <w:r>
              <w:rPr>
                <w:rFonts w:ascii="Century Gothic" w:hAnsi="Century Gothic" w:cs="Century Gothic" w:eastAsia="Century Gothic" w:hint="default"/>
                <w:sz w:val="21"/>
                <w:szCs w:val="21"/>
              </w:rPr>
              <w:t>3%</w:t>
            </w:r>
          </w:p>
        </w:tc>
      </w:tr>
      <w:tr>
        <w:trPr>
          <w:trHeight w:val="355" w:hRule="exact"/>
        </w:trPr>
        <w:tc>
          <w:tcPr>
            <w:tcW w:w="2062" w:type="dxa"/>
            <w:tcBorders>
              <w:top w:val="single" w:sz="6" w:space="0" w:color="000000"/>
              <w:left w:val="nil" w:sz="6" w:space="0" w:color="auto"/>
              <w:bottom w:val="single" w:sz="6" w:space="0" w:color="000000"/>
              <w:right w:val="single" w:sz="6" w:space="0" w:color="000000"/>
            </w:tcBorders>
          </w:tcPr>
          <w:p>
            <w:pPr>
              <w:pStyle w:val="TableParagraph"/>
              <w:tabs>
                <w:tab w:pos="543" w:val="left" w:leader="none"/>
              </w:tabs>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其</w:t>
              <w:tab/>
              <w:t>他</w:t>
            </w:r>
          </w:p>
        </w:tc>
        <w:tc>
          <w:tcPr>
            <w:tcW w:w="2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3,000.00</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35,766.65</w:t>
            </w:r>
          </w:p>
        </w:tc>
        <w:tc>
          <w:tcPr>
            <w:tcW w:w="2206" w:type="dxa"/>
            <w:tcBorders>
              <w:top w:val="single" w:sz="6" w:space="0" w:color="000000"/>
              <w:left w:val="single" w:sz="6" w:space="0" w:color="000000"/>
              <w:bottom w:val="single" w:sz="6" w:space="0" w:color="000000"/>
              <w:right w:val="nil" w:sz="6" w:space="0" w:color="auto"/>
            </w:tcBorders>
          </w:tcPr>
          <w:p>
            <w:pPr/>
          </w:p>
        </w:tc>
      </w:tr>
      <w:tr>
        <w:trPr>
          <w:trHeight w:val="387" w:hRule="exact"/>
        </w:trPr>
        <w:tc>
          <w:tcPr>
            <w:tcW w:w="2062" w:type="dxa"/>
            <w:tcBorders>
              <w:top w:val="single" w:sz="6" w:space="0" w:color="000000"/>
              <w:left w:val="nil" w:sz="6" w:space="0" w:color="auto"/>
              <w:bottom w:val="single" w:sz="12" w:space="0" w:color="000000"/>
              <w:right w:val="single" w:sz="6" w:space="0" w:color="000000"/>
            </w:tcBorders>
          </w:tcPr>
          <w:p>
            <w:pPr>
              <w:pStyle w:val="TableParagraph"/>
              <w:tabs>
                <w:tab w:pos="1178" w:val="left" w:leader="none"/>
              </w:tabs>
              <w:spacing w:line="323" w:lineRule="exact"/>
              <w:ind w:left="617" w:right="0"/>
              <w:jc w:val="left"/>
              <w:rPr>
                <w:rFonts w:ascii="宋体" w:hAnsi="宋体" w:cs="宋体" w:eastAsia="宋体" w:hint="default"/>
                <w:sz w:val="28"/>
                <w:szCs w:val="28"/>
              </w:rPr>
            </w:pPr>
            <w:r>
              <w:rPr>
                <w:rFonts w:ascii="宋体" w:hAnsi="宋体" w:cs="宋体" w:eastAsia="宋体" w:hint="default"/>
                <w:w w:val="95"/>
                <w:sz w:val="28"/>
                <w:szCs w:val="28"/>
              </w:rPr>
              <w:t>合</w:t>
              <w:tab/>
            </w:r>
            <w:r>
              <w:rPr>
                <w:rFonts w:ascii="宋体" w:hAnsi="宋体" w:cs="宋体" w:eastAsia="宋体" w:hint="default"/>
                <w:sz w:val="28"/>
                <w:szCs w:val="28"/>
              </w:rPr>
              <w:t>计</w:t>
            </w:r>
          </w:p>
        </w:tc>
        <w:tc>
          <w:tcPr>
            <w:tcW w:w="23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11,992,892.45</w:t>
            </w:r>
            <w:r>
              <w:rPr>
                <w:rFonts w:ascii="Century Gothic"/>
                <w:b/>
                <w:w w:val="95"/>
                <w:sz w:val="21"/>
              </w:rPr>
            </w:r>
            <w:r>
              <w:rPr>
                <w:rFonts w:ascii="Century Gothic"/>
                <w:sz w:val="21"/>
              </w:rPr>
            </w:r>
          </w:p>
        </w:tc>
        <w:tc>
          <w:tcPr>
            <w:tcW w:w="22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9,078,679.51</w:t>
            </w:r>
            <w:r>
              <w:rPr>
                <w:rFonts w:ascii="Century Gothic"/>
                <w:b/>
                <w:w w:val="95"/>
                <w:sz w:val="21"/>
              </w:rPr>
            </w:r>
            <w:r>
              <w:rPr>
                <w:rFonts w:ascii="Century Gothic"/>
                <w:sz w:val="21"/>
              </w:rPr>
            </w:r>
          </w:p>
        </w:tc>
        <w:tc>
          <w:tcPr>
            <w:tcW w:w="2206" w:type="dxa"/>
            <w:tcBorders>
              <w:top w:val="single" w:sz="6" w:space="0" w:color="000000"/>
              <w:left w:val="single" w:sz="6" w:space="0" w:color="000000"/>
              <w:bottom w:val="single" w:sz="12" w:space="0" w:color="000000"/>
              <w:right w:val="nil" w:sz="6" w:space="0" w:color="auto"/>
            </w:tcBorders>
          </w:tcPr>
          <w:p>
            <w:pPr/>
          </w:p>
        </w:tc>
      </w:tr>
    </w:tbl>
    <w:p>
      <w:pPr>
        <w:pStyle w:val="Heading4"/>
        <w:tabs>
          <w:tab w:pos="1838" w:val="left" w:leader="none"/>
        </w:tabs>
        <w:spacing w:line="240" w:lineRule="auto" w:before="86"/>
        <w:ind w:right="0"/>
        <w:jc w:val="left"/>
        <w:rPr>
          <w:rFonts w:ascii="宋体" w:hAnsi="宋体" w:cs="宋体" w:eastAsia="宋体" w:hint="default"/>
          <w:b w:val="0"/>
          <w:bCs w:val="0"/>
        </w:rPr>
      </w:pPr>
      <w:r>
        <w:rPr>
          <w:rFonts w:ascii="宋体" w:hAnsi="宋体" w:cs="宋体" w:eastAsia="宋体" w:hint="default"/>
          <w:w w:val="95"/>
        </w:rPr>
        <w:t>（三十六）</w:t>
        <w:tab/>
      </w:r>
      <w:r>
        <w:rPr>
          <w:rFonts w:ascii="宋体" w:hAnsi="宋体" w:cs="宋体" w:eastAsia="宋体" w:hint="default"/>
        </w:rPr>
        <w:t>投资收益</w:t>
      </w:r>
      <w:r>
        <w:rPr>
          <w:rFonts w:ascii="宋体" w:hAnsi="宋体" w:cs="宋体" w:eastAsia="宋体" w:hint="default"/>
          <w:b w:val="0"/>
          <w:bCs w:val="0"/>
        </w:rPr>
      </w:r>
    </w:p>
    <w:p>
      <w:pPr>
        <w:pStyle w:val="BodyText"/>
        <w:spacing w:line="240" w:lineRule="auto" w:before="134"/>
        <w:ind w:left="558" w:right="0"/>
        <w:jc w:val="left"/>
      </w:pPr>
      <w:r>
        <w:rPr/>
        <w:t>（</w:t>
      </w:r>
      <w:r>
        <w:rPr>
          <w:rFonts w:ascii="Century Gothic" w:hAnsi="Century Gothic" w:cs="Century Gothic" w:eastAsia="Century Gothic" w:hint="default"/>
        </w:rPr>
        <w:t>1</w:t>
      </w:r>
      <w:r>
        <w:rPr/>
        <w:t>）投资收益按来源列示如下：</w:t>
      </w:r>
    </w:p>
    <w:p>
      <w:pPr>
        <w:spacing w:line="240" w:lineRule="auto" w:before="8"/>
        <w:rPr>
          <w:rFonts w:ascii="宋体" w:hAnsi="宋体" w:cs="宋体" w:eastAsia="宋体" w:hint="default"/>
          <w:sz w:val="11"/>
          <w:szCs w:val="11"/>
        </w:rPr>
      </w:pPr>
    </w:p>
    <w:tbl>
      <w:tblPr>
        <w:tblW w:w="0" w:type="auto"/>
        <w:jc w:val="left"/>
        <w:tblInd w:w="281" w:type="dxa"/>
        <w:tblLayout w:type="fixed"/>
        <w:tblCellMar>
          <w:top w:w="0" w:type="dxa"/>
          <w:left w:w="0" w:type="dxa"/>
          <w:bottom w:w="0" w:type="dxa"/>
          <w:right w:w="0" w:type="dxa"/>
        </w:tblCellMar>
        <w:tblLook w:val="01E0"/>
      </w:tblPr>
      <w:tblGrid>
        <w:gridCol w:w="3458"/>
        <w:gridCol w:w="2458"/>
        <w:gridCol w:w="2942"/>
      </w:tblGrid>
      <w:tr>
        <w:trPr>
          <w:trHeight w:val="416" w:hRule="exact"/>
        </w:trPr>
        <w:tc>
          <w:tcPr>
            <w:tcW w:w="34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6"/>
              <w:ind w:left="790"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69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6"/>
              <w:ind w:left="93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color w:val="323232"/>
                <w:spacing w:val="-1"/>
                <w:sz w:val="21"/>
              </w:rPr>
              <w:t>4,632,032.71</w:t>
            </w:r>
            <w:r>
              <w:rPr>
                <w:rFonts w:ascii="Century Gothic"/>
                <w:spacing w:val="-1"/>
                <w:sz w:val="21"/>
              </w:rPr>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5"/>
              <w:jc w:val="right"/>
              <w:rPr>
                <w:rFonts w:ascii="Century Gothic" w:hAnsi="Century Gothic" w:cs="Century Gothic" w:eastAsia="Century Gothic" w:hint="default"/>
                <w:sz w:val="21"/>
                <w:szCs w:val="21"/>
              </w:rPr>
            </w:pPr>
            <w:r>
              <w:rPr>
                <w:rFonts w:ascii="Century Gothic"/>
                <w:color w:val="323232"/>
                <w:spacing w:val="-1"/>
                <w:sz w:val="21"/>
              </w:rPr>
              <w:t>999,880.31</w:t>
            </w:r>
            <w:r>
              <w:rPr>
                <w:rFonts w:ascii="Century Gothic"/>
                <w:spacing w:val="-1"/>
                <w:sz w:val="21"/>
              </w:rPr>
            </w:r>
          </w:p>
        </w:tc>
      </w:tr>
      <w:tr>
        <w:trPr>
          <w:trHeight w:val="355"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color w:val="323232"/>
                <w:spacing w:val="-1"/>
                <w:sz w:val="21"/>
              </w:rPr>
              <w:t>-5,449,870.66</w:t>
            </w:r>
            <w:r>
              <w:rPr>
                <w:rFonts w:ascii="Century Gothic"/>
                <w:spacing w:val="-1"/>
                <w:sz w:val="21"/>
              </w:rPr>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color w:val="323232"/>
                <w:spacing w:val="-1"/>
                <w:sz w:val="21"/>
              </w:rPr>
              <w:t>1,836,850.07</w:t>
            </w:r>
            <w:r>
              <w:rPr>
                <w:rFonts w:ascii="Century Gothic"/>
                <w:spacing w:val="-1"/>
                <w:sz w:val="21"/>
              </w:rPr>
            </w:r>
          </w:p>
        </w:tc>
      </w:tr>
      <w:tr>
        <w:trPr>
          <w:trHeight w:val="354"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其他投资收益</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color w:val="323232"/>
                <w:spacing w:val="-1"/>
                <w:sz w:val="21"/>
              </w:rPr>
              <w:t>52,000.00</w:t>
            </w:r>
            <w:r>
              <w:rPr>
                <w:rFonts w:ascii="Century Gothic"/>
                <w:spacing w:val="-1"/>
                <w:sz w:val="21"/>
              </w:rPr>
            </w:r>
          </w:p>
        </w:tc>
        <w:tc>
          <w:tcPr>
            <w:tcW w:w="2942" w:type="dxa"/>
            <w:tcBorders>
              <w:top w:val="single" w:sz="6" w:space="0" w:color="000000"/>
              <w:left w:val="single" w:sz="6" w:space="0" w:color="000000"/>
              <w:bottom w:val="single" w:sz="6" w:space="0" w:color="000000"/>
              <w:right w:val="nil" w:sz="6" w:space="0" w:color="auto"/>
            </w:tcBorders>
          </w:tcPr>
          <w:p>
            <w:pPr/>
          </w:p>
        </w:tc>
      </w:tr>
      <w:tr>
        <w:trPr>
          <w:trHeight w:val="416" w:hRule="exact"/>
        </w:trPr>
        <w:tc>
          <w:tcPr>
            <w:tcW w:w="3458" w:type="dxa"/>
            <w:tcBorders>
              <w:top w:val="single" w:sz="6" w:space="0" w:color="000000"/>
              <w:left w:val="nil" w:sz="6" w:space="0" w:color="auto"/>
              <w:bottom w:val="single" w:sz="12" w:space="0" w:color="000000"/>
              <w:right w:val="single" w:sz="6" w:space="0" w:color="000000"/>
            </w:tcBorders>
          </w:tcPr>
          <w:p>
            <w:pPr>
              <w:pStyle w:val="TableParagraph"/>
              <w:tabs>
                <w:tab w:pos="440" w:val="left" w:leader="none"/>
              </w:tabs>
              <w:spacing w:line="240" w:lineRule="auto" w:before="27"/>
              <w:ind w:left="21" w:right="0"/>
              <w:jc w:val="center"/>
              <w:rPr>
                <w:rFonts w:ascii="宋体" w:hAnsi="宋体" w:cs="宋体" w:eastAsia="宋体" w:hint="default"/>
                <w:sz w:val="21"/>
                <w:szCs w:val="21"/>
              </w:rPr>
            </w:pPr>
            <w:r>
              <w:rPr>
                <w:rFonts w:ascii="宋体" w:hAnsi="宋体" w:cs="宋体" w:eastAsia="宋体" w:hint="default"/>
                <w:color w:val="212121"/>
                <w:sz w:val="21"/>
                <w:szCs w:val="21"/>
              </w:rPr>
              <w:t>合</w:t>
              <w:tab/>
              <w:t>计</w:t>
            </w:r>
            <w:r>
              <w:rPr>
                <w:rFonts w:ascii="宋体" w:hAnsi="宋体" w:cs="宋体" w:eastAsia="宋体" w:hint="default"/>
                <w:sz w:val="21"/>
                <w:szCs w:val="21"/>
              </w:rPr>
            </w:r>
          </w:p>
        </w:tc>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98"/>
              <w:jc w:val="right"/>
              <w:rPr>
                <w:rFonts w:ascii="Century Gothic" w:hAnsi="Century Gothic" w:cs="Century Gothic" w:eastAsia="Century Gothic" w:hint="default"/>
                <w:sz w:val="21"/>
                <w:szCs w:val="21"/>
              </w:rPr>
            </w:pPr>
            <w:r>
              <w:rPr>
                <w:rFonts w:ascii="Century Gothic"/>
                <w:b/>
                <w:color w:val="323232"/>
                <w:w w:val="99"/>
                <w:sz w:val="21"/>
              </w:rPr>
            </w:r>
            <w:r>
              <w:rPr>
                <w:rFonts w:ascii="Century Gothic"/>
                <w:b/>
                <w:color w:val="323232"/>
                <w:spacing w:val="-1"/>
                <w:w w:val="95"/>
                <w:sz w:val="21"/>
                <w:u w:val="single" w:color="323232"/>
              </w:rPr>
              <w:t>-765,837.95</w:t>
            </w:r>
            <w:r>
              <w:rPr>
                <w:rFonts w:ascii="Century Gothic"/>
                <w:b/>
                <w:color w:val="323232"/>
                <w:spacing w:val="-1"/>
                <w:w w:val="95"/>
                <w:sz w:val="21"/>
              </w:rPr>
            </w:r>
            <w:r>
              <w:rPr>
                <w:rFonts w:ascii="Century Gothic"/>
                <w:sz w:val="21"/>
              </w:rPr>
            </w:r>
          </w:p>
        </w:tc>
        <w:tc>
          <w:tcPr>
            <w:tcW w:w="29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7"/>
              <w:ind w:right="104"/>
              <w:jc w:val="right"/>
              <w:rPr>
                <w:rFonts w:ascii="Century Gothic" w:hAnsi="Century Gothic" w:cs="Century Gothic" w:eastAsia="Century Gothic" w:hint="default"/>
                <w:sz w:val="21"/>
                <w:szCs w:val="21"/>
              </w:rPr>
            </w:pPr>
            <w:r>
              <w:rPr>
                <w:rFonts w:ascii="Century Gothic"/>
                <w:b/>
                <w:color w:val="323232"/>
                <w:w w:val="99"/>
                <w:sz w:val="21"/>
              </w:rPr>
            </w:r>
            <w:r>
              <w:rPr>
                <w:rFonts w:ascii="Century Gothic"/>
                <w:b/>
                <w:color w:val="323232"/>
                <w:w w:val="95"/>
                <w:sz w:val="21"/>
                <w:u w:val="single" w:color="323232"/>
              </w:rPr>
              <w:t>2,836,730.38</w:t>
            </w:r>
            <w:r>
              <w:rPr>
                <w:rFonts w:ascii="Century Gothic"/>
                <w:b/>
                <w:color w:val="323232"/>
                <w:w w:val="95"/>
                <w:sz w:val="21"/>
              </w:rPr>
            </w:r>
            <w:r>
              <w:rPr>
                <w:rFonts w:ascii="Century Gothic"/>
                <w:sz w:val="21"/>
              </w:rPr>
            </w:r>
          </w:p>
        </w:tc>
      </w:tr>
    </w:tbl>
    <w:p>
      <w:pPr>
        <w:pStyle w:val="BodyText"/>
        <w:spacing w:line="240" w:lineRule="auto" w:before="86"/>
        <w:ind w:left="558" w:right="0"/>
        <w:jc w:val="left"/>
      </w:pPr>
      <w:r>
        <w:rPr/>
        <w:t>（</w:t>
      </w:r>
      <w:r>
        <w:rPr>
          <w:rFonts w:ascii="Century Gothic" w:hAnsi="Century Gothic" w:cs="Century Gothic" w:eastAsia="Century Gothic" w:hint="default"/>
        </w:rPr>
        <w:t>2</w:t>
      </w:r>
      <w:r>
        <w:rPr/>
        <w:t>）按权益法核算的长期股权投资收益：</w:t>
      </w:r>
    </w:p>
    <w:p>
      <w:pPr>
        <w:spacing w:line="240" w:lineRule="auto" w:before="11"/>
        <w:rPr>
          <w:rFonts w:ascii="宋体" w:hAnsi="宋体" w:cs="宋体" w:eastAsia="宋体" w:hint="default"/>
          <w:sz w:val="20"/>
          <w:szCs w:val="20"/>
        </w:rPr>
      </w:pPr>
    </w:p>
    <w:tbl>
      <w:tblPr>
        <w:tblW w:w="0" w:type="auto"/>
        <w:jc w:val="left"/>
        <w:tblInd w:w="173" w:type="dxa"/>
        <w:tblLayout w:type="fixed"/>
        <w:tblCellMar>
          <w:top w:w="0" w:type="dxa"/>
          <w:left w:w="0" w:type="dxa"/>
          <w:bottom w:w="0" w:type="dxa"/>
          <w:right w:w="0" w:type="dxa"/>
        </w:tblCellMar>
        <w:tblLook w:val="01E0"/>
      </w:tblPr>
      <w:tblGrid>
        <w:gridCol w:w="2822"/>
        <w:gridCol w:w="1979"/>
        <w:gridCol w:w="2010"/>
        <w:gridCol w:w="2263"/>
      </w:tblGrid>
      <w:tr>
        <w:trPr>
          <w:trHeight w:val="370" w:hRule="exact"/>
        </w:trPr>
        <w:tc>
          <w:tcPr>
            <w:tcW w:w="2822" w:type="dxa"/>
            <w:tcBorders>
              <w:top w:val="single" w:sz="12" w:space="0" w:color="000000"/>
              <w:left w:val="nil" w:sz="6" w:space="0" w:color="auto"/>
              <w:bottom w:val="single" w:sz="12" w:space="0" w:color="000000"/>
              <w:right w:val="single" w:sz="6" w:space="0" w:color="000000"/>
            </w:tcBorders>
          </w:tcPr>
          <w:p>
            <w:pPr>
              <w:pStyle w:val="TableParagraph"/>
              <w:spacing w:line="274" w:lineRule="exact"/>
              <w:ind w:left="682"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979" w:type="dxa"/>
            <w:tcBorders>
              <w:top w:val="single" w:sz="12" w:space="0" w:color="000000"/>
              <w:left w:val="single" w:sz="6" w:space="0" w:color="000000"/>
              <w:bottom w:val="single" w:sz="12" w:space="0" w:color="000000"/>
              <w:right w:val="single" w:sz="6" w:space="0" w:color="000000"/>
            </w:tcBorders>
          </w:tcPr>
          <w:p>
            <w:pPr>
              <w:pStyle w:val="TableParagraph"/>
              <w:spacing w:line="274" w:lineRule="exact"/>
              <w:ind w:left="45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10" w:type="dxa"/>
            <w:tcBorders>
              <w:top w:val="single" w:sz="12" w:space="0" w:color="000000"/>
              <w:left w:val="single" w:sz="6" w:space="0" w:color="000000"/>
              <w:bottom w:val="single" w:sz="12" w:space="0" w:color="000000"/>
              <w:right w:val="single" w:sz="6" w:space="0" w:color="000000"/>
            </w:tcBorders>
          </w:tcPr>
          <w:p>
            <w:pPr>
              <w:pStyle w:val="TableParagraph"/>
              <w:spacing w:line="274" w:lineRule="exact"/>
              <w:ind w:left="472"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263" w:type="dxa"/>
            <w:tcBorders>
              <w:top w:val="single" w:sz="12" w:space="0" w:color="000000"/>
              <w:left w:val="single" w:sz="6" w:space="0" w:color="000000"/>
              <w:bottom w:val="single" w:sz="12" w:space="0" w:color="000000"/>
              <w:right w:val="nil" w:sz="6" w:space="0" w:color="auto"/>
            </w:tcBorders>
          </w:tcPr>
          <w:p>
            <w:pPr>
              <w:pStyle w:val="TableParagraph"/>
              <w:spacing w:line="274" w:lineRule="exact"/>
              <w:ind w:left="178" w:right="0"/>
              <w:jc w:val="left"/>
              <w:rPr>
                <w:rFonts w:ascii="宋体" w:hAnsi="宋体" w:cs="宋体" w:eastAsia="宋体" w:hint="default"/>
                <w:sz w:val="21"/>
                <w:szCs w:val="21"/>
              </w:rPr>
            </w:pPr>
            <w:r>
              <w:rPr>
                <w:rFonts w:ascii="宋体" w:hAnsi="宋体" w:cs="宋体" w:eastAsia="宋体" w:hint="default"/>
                <w:sz w:val="21"/>
                <w:szCs w:val="21"/>
              </w:rPr>
              <w:t>本期比上期增减变动</w:t>
            </w:r>
          </w:p>
        </w:tc>
      </w:tr>
    </w:tbl>
    <w:p>
      <w:pPr>
        <w:spacing w:line="240" w:lineRule="auto" w:before="9"/>
        <w:rPr>
          <w:rFonts w:ascii="宋体" w:hAnsi="宋体" w:cs="宋体" w:eastAsia="宋体" w:hint="default"/>
          <w:sz w:val="16"/>
          <w:szCs w:val="16"/>
        </w:rPr>
      </w:pPr>
    </w:p>
    <w:p>
      <w:pPr>
        <w:spacing w:before="76"/>
        <w:ind w:left="4455" w:right="4393" w:firstLine="0"/>
        <w:jc w:val="center"/>
        <w:rPr>
          <w:rFonts w:ascii="Times New Roman" w:hAnsi="Times New Roman" w:cs="Times New Roman" w:eastAsia="Times New Roman" w:hint="default"/>
          <w:sz w:val="18"/>
          <w:szCs w:val="18"/>
        </w:rPr>
      </w:pPr>
      <w:r>
        <w:rPr>
          <w:rFonts w:ascii="Times New Roman"/>
          <w:sz w:val="18"/>
        </w:rPr>
        <w:t>86</w:t>
      </w:r>
    </w:p>
    <w:p>
      <w:pPr>
        <w:spacing w:after="0"/>
        <w:jc w:val="center"/>
        <w:rPr>
          <w:rFonts w:ascii="Times New Roman" w:hAnsi="Times New Roman" w:cs="Times New Roman" w:eastAsia="Times New Roman" w:hint="default"/>
          <w:sz w:val="18"/>
          <w:szCs w:val="18"/>
        </w:rPr>
        <w:sectPr>
          <w:pgSz w:w="11910" w:h="16840"/>
          <w:pgMar w:top="780" w:bottom="280" w:left="1160" w:right="134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70.860001pt;margin-top:-9.926001pt;width:84.0pt;height:23.94pt;mso-position-horizontal-relative:page;mso-position-vertical-relative:paragraph;z-index:5824"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173" w:type="dxa"/>
        <w:tblLayout w:type="fixed"/>
        <w:tblCellMar>
          <w:top w:w="0" w:type="dxa"/>
          <w:left w:w="0" w:type="dxa"/>
          <w:bottom w:w="0" w:type="dxa"/>
          <w:right w:w="0" w:type="dxa"/>
        </w:tblCellMar>
        <w:tblLook w:val="01E0"/>
      </w:tblPr>
      <w:tblGrid>
        <w:gridCol w:w="2822"/>
        <w:gridCol w:w="1979"/>
        <w:gridCol w:w="2010"/>
        <w:gridCol w:w="2263"/>
      </w:tblGrid>
      <w:tr>
        <w:trPr>
          <w:trHeight w:val="362" w:hRule="exact"/>
        </w:trPr>
        <w:tc>
          <w:tcPr>
            <w:tcW w:w="2822" w:type="dxa"/>
            <w:tcBorders>
              <w:top w:val="single" w:sz="12" w:space="0" w:color="000000"/>
              <w:left w:val="nil" w:sz="6" w:space="0" w:color="auto"/>
              <w:bottom w:val="single" w:sz="6" w:space="0" w:color="000000"/>
              <w:right w:val="single" w:sz="6" w:space="0" w:color="000000"/>
            </w:tcBorders>
          </w:tcPr>
          <w:p>
            <w:pPr/>
          </w:p>
        </w:tc>
        <w:tc>
          <w:tcPr>
            <w:tcW w:w="1979" w:type="dxa"/>
            <w:tcBorders>
              <w:top w:val="single" w:sz="12" w:space="0" w:color="000000"/>
              <w:left w:val="single" w:sz="6" w:space="0" w:color="000000"/>
              <w:bottom w:val="single" w:sz="6" w:space="0" w:color="000000"/>
              <w:right w:val="single" w:sz="6" w:space="0" w:color="000000"/>
            </w:tcBorders>
          </w:tcPr>
          <w:p>
            <w:pPr/>
          </w:p>
        </w:tc>
        <w:tc>
          <w:tcPr>
            <w:tcW w:w="2010" w:type="dxa"/>
            <w:tcBorders>
              <w:top w:val="single" w:sz="12" w:space="0" w:color="000000"/>
              <w:left w:val="single" w:sz="6" w:space="0" w:color="000000"/>
              <w:bottom w:val="single" w:sz="6" w:space="0" w:color="000000"/>
              <w:right w:val="single" w:sz="6" w:space="0" w:color="000000"/>
            </w:tcBorders>
          </w:tcPr>
          <w:p>
            <w:pPr/>
          </w:p>
        </w:tc>
        <w:tc>
          <w:tcPr>
            <w:tcW w:w="2263" w:type="dxa"/>
            <w:tcBorders>
              <w:top w:val="single" w:sz="12" w:space="0" w:color="000000"/>
              <w:left w:val="single" w:sz="6" w:space="0" w:color="000000"/>
              <w:bottom w:val="single" w:sz="6" w:space="0" w:color="000000"/>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562" w:hRule="exact"/>
        </w:trPr>
        <w:tc>
          <w:tcPr>
            <w:tcW w:w="28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安挺医药有限公司</w:t>
            </w:r>
          </w:p>
        </w:tc>
        <w:tc>
          <w:tcPr>
            <w:tcW w:w="1979" w:type="dxa"/>
            <w:tcBorders>
              <w:top w:val="single" w:sz="6" w:space="0" w:color="000000"/>
              <w:left w:val="single" w:sz="6" w:space="0" w:color="000000"/>
              <w:bottom w:val="single" w:sz="6" w:space="0" w:color="000000"/>
              <w:right w:val="single" w:sz="6" w:space="0" w:color="000000"/>
            </w:tcBorders>
          </w:tcPr>
          <w:p>
            <w:pP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1"/>
                <w:sz w:val="21"/>
              </w:rPr>
              <w:t>755,499.22</w:t>
            </w:r>
          </w:p>
        </w:tc>
        <w:tc>
          <w:tcPr>
            <w:tcW w:w="2263"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被投资单位经营情况</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变动</w:t>
            </w:r>
          </w:p>
        </w:tc>
      </w:tr>
      <w:tr>
        <w:trPr>
          <w:trHeight w:val="560" w:hRule="exact"/>
        </w:trPr>
        <w:tc>
          <w:tcPr>
            <w:tcW w:w="282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深圳华立南方电子技术有限</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4,520,383.75</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1"/>
                <w:sz w:val="21"/>
              </w:rPr>
              <w:t>131,407.19</w:t>
            </w:r>
          </w:p>
        </w:tc>
        <w:tc>
          <w:tcPr>
            <w:tcW w:w="2263"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6"/>
              <w:jc w:val="center"/>
              <w:rPr>
                <w:rFonts w:ascii="宋体" w:hAnsi="宋体" w:cs="宋体" w:eastAsia="宋体" w:hint="default"/>
                <w:sz w:val="21"/>
                <w:szCs w:val="21"/>
              </w:rPr>
            </w:pPr>
            <w:r>
              <w:rPr>
                <w:rFonts w:ascii="宋体" w:hAnsi="宋体" w:cs="宋体" w:eastAsia="宋体" w:hint="default"/>
                <w:sz w:val="21"/>
                <w:szCs w:val="21"/>
              </w:rPr>
              <w:t>被投资单位经营情况</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变动</w:t>
            </w:r>
          </w:p>
        </w:tc>
      </w:tr>
      <w:tr>
        <w:trPr>
          <w:trHeight w:val="724" w:hRule="exact"/>
        </w:trPr>
        <w:tc>
          <w:tcPr>
            <w:tcW w:w="282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黑体" w:hAnsi="黑体" w:cs="黑体" w:eastAsia="黑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淮北万华仪表有限公司</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黑体" w:hAnsi="黑体" w:cs="黑体" w:eastAsia="黑体" w:hint="default"/>
                <w:b/>
                <w:bCs/>
                <w:sz w:val="17"/>
                <w:szCs w:val="17"/>
              </w:rPr>
            </w:pPr>
          </w:p>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111,648.96</w:t>
            </w:r>
          </w:p>
        </w:tc>
        <w:tc>
          <w:tcPr>
            <w:tcW w:w="2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黑体" w:hAnsi="黑体" w:cs="黑体" w:eastAsia="黑体" w:hint="default"/>
                <w:b/>
                <w:bCs/>
                <w:sz w:val="17"/>
                <w:szCs w:val="17"/>
              </w:rPr>
            </w:pPr>
          </w:p>
          <w:p>
            <w:pPr>
              <w:pStyle w:val="TableParagraph"/>
              <w:spacing w:line="240" w:lineRule="auto"/>
              <w:ind w:right="99"/>
              <w:jc w:val="right"/>
              <w:rPr>
                <w:rFonts w:ascii="Century Gothic" w:hAnsi="Century Gothic" w:cs="Century Gothic" w:eastAsia="Century Gothic" w:hint="default"/>
                <w:sz w:val="21"/>
                <w:szCs w:val="21"/>
              </w:rPr>
            </w:pPr>
            <w:r>
              <w:rPr>
                <w:rFonts w:ascii="Century Gothic"/>
                <w:spacing w:val="-1"/>
                <w:sz w:val="21"/>
              </w:rPr>
              <w:t>112,973.90</w:t>
            </w:r>
          </w:p>
        </w:tc>
        <w:tc>
          <w:tcPr>
            <w:tcW w:w="2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7"/>
              <w:ind w:left="914" w:right="185" w:hanging="736"/>
              <w:jc w:val="left"/>
              <w:rPr>
                <w:rFonts w:ascii="宋体" w:hAnsi="宋体" w:cs="宋体" w:eastAsia="宋体" w:hint="default"/>
                <w:sz w:val="21"/>
                <w:szCs w:val="21"/>
              </w:rPr>
            </w:pPr>
            <w:r>
              <w:rPr>
                <w:rFonts w:ascii="宋体" w:hAnsi="宋体" w:cs="宋体" w:eastAsia="宋体" w:hint="default"/>
                <w:sz w:val="21"/>
                <w:szCs w:val="21"/>
              </w:rPr>
              <w:t>被投资单位经营情况 变动</w:t>
            </w:r>
          </w:p>
        </w:tc>
      </w:tr>
      <w:tr>
        <w:trPr>
          <w:trHeight w:val="477" w:hRule="exact"/>
        </w:trPr>
        <w:tc>
          <w:tcPr>
            <w:tcW w:w="2822" w:type="dxa"/>
            <w:tcBorders>
              <w:top w:val="single" w:sz="6" w:space="0" w:color="000000"/>
              <w:left w:val="nil" w:sz="6" w:space="0" w:color="auto"/>
              <w:bottom w:val="single" w:sz="12" w:space="0" w:color="000000"/>
              <w:right w:val="single" w:sz="6" w:space="0" w:color="000000"/>
            </w:tcBorders>
          </w:tcPr>
          <w:p>
            <w:pPr>
              <w:pStyle w:val="TableParagraph"/>
              <w:tabs>
                <w:tab w:pos="440" w:val="left" w:leader="none"/>
              </w:tabs>
              <w:spacing w:line="240" w:lineRule="auto" w:before="57"/>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4,632,032.71</w:t>
            </w:r>
            <w:r>
              <w:rPr>
                <w:rFonts w:ascii="Century Gothic"/>
                <w:b/>
                <w:w w:val="95"/>
                <w:sz w:val="21"/>
              </w:rPr>
            </w:r>
            <w:r>
              <w:rPr>
                <w:rFonts w:ascii="Century Gothic"/>
                <w:sz w:val="21"/>
              </w:rPr>
            </w:r>
          </w:p>
        </w:tc>
        <w:tc>
          <w:tcPr>
            <w:tcW w:w="20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999,880.31</w:t>
            </w:r>
            <w:r>
              <w:rPr>
                <w:rFonts w:ascii="Century Gothic"/>
                <w:b/>
                <w:w w:val="95"/>
                <w:sz w:val="21"/>
              </w:rPr>
            </w:r>
            <w:r>
              <w:rPr>
                <w:rFonts w:ascii="Century Gothic"/>
                <w:sz w:val="21"/>
              </w:rPr>
            </w:r>
          </w:p>
        </w:tc>
        <w:tc>
          <w:tcPr>
            <w:tcW w:w="2263" w:type="dxa"/>
            <w:tcBorders>
              <w:top w:val="single" w:sz="6" w:space="0" w:color="000000"/>
              <w:left w:val="single" w:sz="6" w:space="0" w:color="000000"/>
              <w:bottom w:val="single" w:sz="12" w:space="0" w:color="000000"/>
              <w:right w:val="nil" w:sz="6" w:space="0" w:color="auto"/>
            </w:tcBorders>
          </w:tcPr>
          <w:p>
            <w:pPr/>
          </w:p>
        </w:tc>
      </w:tr>
    </w:tbl>
    <w:p>
      <w:pPr>
        <w:pStyle w:val="BodyText"/>
        <w:spacing w:line="336" w:lineRule="auto" w:before="94"/>
        <w:ind w:left="558" w:right="4836"/>
        <w:jc w:val="left"/>
      </w:pPr>
      <w:r>
        <w:rPr/>
        <w:t>（</w:t>
      </w:r>
      <w:r>
        <w:rPr>
          <w:rFonts w:ascii="Century Gothic" w:hAnsi="Century Gothic" w:cs="Century Gothic" w:eastAsia="Century Gothic" w:hint="default"/>
        </w:rPr>
        <w:t>3</w:t>
      </w:r>
      <w:r>
        <w:rPr/>
        <w:t>）投资收益汇回的重大限制 本报告期内投资收益汇回不存在重大限制。</w:t>
      </w:r>
    </w:p>
    <w:p>
      <w:pPr>
        <w:pStyle w:val="Heading4"/>
        <w:tabs>
          <w:tab w:pos="1838" w:val="left" w:leader="none"/>
        </w:tabs>
        <w:spacing w:line="240" w:lineRule="auto" w:before="50"/>
        <w:ind w:right="0"/>
        <w:jc w:val="left"/>
        <w:rPr>
          <w:rFonts w:ascii="宋体" w:hAnsi="宋体" w:cs="宋体" w:eastAsia="宋体" w:hint="default"/>
          <w:b w:val="0"/>
          <w:bCs w:val="0"/>
        </w:rPr>
      </w:pPr>
      <w:r>
        <w:rPr>
          <w:rFonts w:ascii="宋体" w:hAnsi="宋体" w:cs="宋体" w:eastAsia="宋体" w:hint="default"/>
          <w:w w:val="95"/>
        </w:rPr>
        <w:t>（三十七）</w:t>
        <w:tab/>
      </w:r>
      <w:r>
        <w:rPr>
          <w:rFonts w:ascii="宋体" w:hAnsi="宋体" w:cs="宋体" w:eastAsia="宋体" w:hint="default"/>
        </w:rPr>
        <w:t>资产减值损失</w:t>
      </w:r>
      <w:r>
        <w:rPr>
          <w:rFonts w:ascii="宋体" w:hAnsi="宋体" w:cs="宋体" w:eastAsia="宋体" w:hint="default"/>
          <w:b w:val="0"/>
          <w:bCs w:val="0"/>
        </w:rPr>
      </w:r>
    </w:p>
    <w:p>
      <w:pPr>
        <w:spacing w:line="240" w:lineRule="auto" w:before="11"/>
        <w:rPr>
          <w:rFonts w:ascii="宋体" w:hAnsi="宋体" w:cs="宋体" w:eastAsia="宋体" w:hint="default"/>
          <w:b/>
          <w:bCs/>
          <w:sz w:val="12"/>
          <w:szCs w:val="12"/>
        </w:rPr>
      </w:pPr>
    </w:p>
    <w:tbl>
      <w:tblPr>
        <w:tblW w:w="0" w:type="auto"/>
        <w:jc w:val="left"/>
        <w:tblInd w:w="281" w:type="dxa"/>
        <w:tblLayout w:type="fixed"/>
        <w:tblCellMar>
          <w:top w:w="0" w:type="dxa"/>
          <w:left w:w="0" w:type="dxa"/>
          <w:bottom w:w="0" w:type="dxa"/>
          <w:right w:w="0" w:type="dxa"/>
        </w:tblCellMar>
        <w:tblLook w:val="01E0"/>
      </w:tblPr>
      <w:tblGrid>
        <w:gridCol w:w="4433"/>
        <w:gridCol w:w="2066"/>
        <w:gridCol w:w="2359"/>
      </w:tblGrid>
      <w:tr>
        <w:trPr>
          <w:trHeight w:val="363" w:hRule="exact"/>
        </w:trPr>
        <w:tc>
          <w:tcPr>
            <w:tcW w:w="4433"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right="1938"/>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1"/>
                <w:sz w:val="21"/>
                <w:szCs w:val="21"/>
              </w:rPr>
              <w:t> </w:t>
            </w:r>
            <w:r>
              <w:rPr>
                <w:rFonts w:ascii="宋体" w:hAnsi="宋体" w:cs="宋体" w:eastAsia="宋体" w:hint="default"/>
                <w:sz w:val="21"/>
                <w:szCs w:val="21"/>
              </w:rPr>
              <w:t>目</w:t>
            </w:r>
          </w:p>
        </w:tc>
        <w:tc>
          <w:tcPr>
            <w:tcW w:w="206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50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59"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64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47,305,449.81</w:t>
            </w:r>
          </w:p>
        </w:tc>
        <w:tc>
          <w:tcPr>
            <w:tcW w:w="23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4"/>
              <w:jc w:val="right"/>
              <w:rPr>
                <w:rFonts w:ascii="Century Gothic" w:hAnsi="Century Gothic" w:cs="Century Gothic" w:eastAsia="Century Gothic" w:hint="default"/>
                <w:sz w:val="21"/>
                <w:szCs w:val="21"/>
              </w:rPr>
            </w:pPr>
            <w:r>
              <w:rPr>
                <w:rFonts w:ascii="Century Gothic"/>
                <w:spacing w:val="-1"/>
                <w:sz w:val="21"/>
              </w:rPr>
              <w:t>-3,129,864.45</w:t>
            </w:r>
          </w:p>
        </w:tc>
      </w:tr>
      <w:tr>
        <w:trPr>
          <w:trHeight w:val="354"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1,993,582.88</w:t>
            </w:r>
          </w:p>
        </w:tc>
        <w:tc>
          <w:tcPr>
            <w:tcW w:w="23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5"/>
              <w:jc w:val="right"/>
              <w:rPr>
                <w:rFonts w:ascii="Century Gothic" w:hAnsi="Century Gothic" w:cs="Century Gothic" w:eastAsia="Century Gothic" w:hint="default"/>
                <w:sz w:val="21"/>
                <w:szCs w:val="21"/>
              </w:rPr>
            </w:pPr>
            <w:r>
              <w:rPr>
                <w:rFonts w:ascii="Century Gothic"/>
                <w:spacing w:val="-1"/>
                <w:sz w:val="21"/>
              </w:rPr>
              <w:t>-24,553,699.39</w:t>
            </w:r>
            <w:r>
              <w:rPr>
                <w:rFonts w:ascii="Century Gothic"/>
                <w:sz w:val="21"/>
              </w:rPr>
            </w:r>
          </w:p>
        </w:tc>
      </w:tr>
      <w:tr>
        <w:trPr>
          <w:trHeight w:val="355" w:hRule="exact"/>
        </w:trPr>
        <w:tc>
          <w:tcPr>
            <w:tcW w:w="443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商誉减值损失</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10,513,430.45</w:t>
            </w:r>
          </w:p>
        </w:tc>
        <w:tc>
          <w:tcPr>
            <w:tcW w:w="235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2,918,687.18</w:t>
            </w:r>
          </w:p>
        </w:tc>
      </w:tr>
      <w:tr>
        <w:trPr>
          <w:trHeight w:val="363" w:hRule="exact"/>
        </w:trPr>
        <w:tc>
          <w:tcPr>
            <w:tcW w:w="4433"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right="1991"/>
              <w:jc w:val="right"/>
              <w:rPr>
                <w:rFonts w:ascii="宋体" w:hAnsi="宋体" w:cs="宋体" w:eastAsia="宋体" w:hint="default"/>
                <w:sz w:val="21"/>
                <w:szCs w:val="21"/>
              </w:rPr>
            </w:pPr>
            <w:r>
              <w:rPr>
                <w:rFonts w:ascii="宋体" w:hAnsi="宋体" w:cs="宋体" w:eastAsia="宋体" w:hint="default"/>
                <w:sz w:val="21"/>
                <w:szCs w:val="21"/>
              </w:rPr>
              <w:t>合计</w:t>
            </w:r>
          </w:p>
        </w:tc>
        <w:tc>
          <w:tcPr>
            <w:tcW w:w="20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59,812,463.14</w:t>
            </w:r>
            <w:r>
              <w:rPr>
                <w:rFonts w:ascii="Century Gothic"/>
                <w:b/>
                <w:w w:val="95"/>
                <w:sz w:val="21"/>
              </w:rPr>
            </w:r>
            <w:r>
              <w:rPr>
                <w:rFonts w:ascii="Century Gothic"/>
                <w:sz w:val="21"/>
              </w:rPr>
            </w:r>
          </w:p>
        </w:tc>
        <w:tc>
          <w:tcPr>
            <w:tcW w:w="235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104"/>
              <w:jc w:val="right"/>
              <w:rPr>
                <w:rFonts w:ascii="Century Gothic" w:hAnsi="Century Gothic" w:cs="Century Gothic" w:eastAsia="Century Gothic" w:hint="default"/>
                <w:sz w:val="21"/>
                <w:szCs w:val="21"/>
              </w:rPr>
            </w:pPr>
            <w:r>
              <w:rPr>
                <w:rFonts w:ascii="Century Gothic"/>
                <w:b/>
                <w:w w:val="99"/>
                <w:sz w:val="21"/>
              </w:rPr>
            </w:r>
            <w:r>
              <w:rPr>
                <w:rFonts w:ascii="Century Gothic"/>
                <w:b/>
                <w:spacing w:val="-1"/>
                <w:w w:val="95"/>
                <w:sz w:val="21"/>
                <w:u w:val="single" w:color="000000"/>
              </w:rPr>
              <w:t>-24,764,876.66</w:t>
            </w:r>
            <w:r>
              <w:rPr>
                <w:rFonts w:ascii="Century Gothic"/>
                <w:b/>
                <w:spacing w:val="-1"/>
                <w:w w:val="95"/>
                <w:sz w:val="21"/>
              </w:rPr>
            </w:r>
            <w:r>
              <w:rPr>
                <w:rFonts w:ascii="Century Gothic"/>
                <w:sz w:val="21"/>
              </w:rPr>
            </w:r>
          </w:p>
        </w:tc>
      </w:tr>
    </w:tbl>
    <w:p>
      <w:pPr>
        <w:pStyle w:val="Heading4"/>
        <w:tabs>
          <w:tab w:pos="1838" w:val="left" w:leader="none"/>
        </w:tabs>
        <w:spacing w:line="240" w:lineRule="auto" w:before="26"/>
        <w:ind w:right="0"/>
        <w:jc w:val="left"/>
        <w:rPr>
          <w:rFonts w:ascii="宋体" w:hAnsi="宋体" w:cs="宋体" w:eastAsia="宋体" w:hint="default"/>
          <w:b w:val="0"/>
          <w:bCs w:val="0"/>
        </w:rPr>
      </w:pPr>
      <w:r>
        <w:rPr>
          <w:rFonts w:ascii="宋体" w:hAnsi="宋体" w:cs="宋体" w:eastAsia="宋体" w:hint="default"/>
          <w:w w:val="95"/>
        </w:rPr>
        <w:t>（三十八）</w:t>
        <w:tab/>
      </w:r>
      <w:r>
        <w:rPr>
          <w:rFonts w:ascii="宋体" w:hAnsi="宋体" w:cs="宋体" w:eastAsia="宋体" w:hint="default"/>
        </w:rPr>
        <w:t>营业外收入</w:t>
      </w:r>
      <w:r>
        <w:rPr>
          <w:rFonts w:ascii="宋体" w:hAnsi="宋体" w:cs="宋体" w:eastAsia="宋体" w:hint="default"/>
          <w:b w:val="0"/>
          <w:bCs w:val="0"/>
        </w:rPr>
      </w:r>
    </w:p>
    <w:p>
      <w:pPr>
        <w:spacing w:line="240" w:lineRule="auto" w:before="6"/>
        <w:rPr>
          <w:rFonts w:ascii="宋体" w:hAnsi="宋体" w:cs="宋体" w:eastAsia="宋体" w:hint="default"/>
          <w:b/>
          <w:bCs/>
          <w:sz w:val="17"/>
          <w:szCs w:val="17"/>
        </w:rPr>
      </w:pPr>
    </w:p>
    <w:tbl>
      <w:tblPr>
        <w:tblW w:w="0" w:type="auto"/>
        <w:jc w:val="left"/>
        <w:tblInd w:w="281" w:type="dxa"/>
        <w:tblLayout w:type="fixed"/>
        <w:tblCellMar>
          <w:top w:w="0" w:type="dxa"/>
          <w:left w:w="0" w:type="dxa"/>
          <w:bottom w:w="0" w:type="dxa"/>
          <w:right w:w="0" w:type="dxa"/>
        </w:tblCellMar>
        <w:tblLook w:val="01E0"/>
      </w:tblPr>
      <w:tblGrid>
        <w:gridCol w:w="3943"/>
        <w:gridCol w:w="2296"/>
        <w:gridCol w:w="2620"/>
      </w:tblGrid>
      <w:tr>
        <w:trPr>
          <w:trHeight w:val="363"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61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77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4"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901,588.95</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5"/>
              <w:jc w:val="right"/>
              <w:rPr>
                <w:rFonts w:ascii="Century Gothic" w:hAnsi="Century Gothic" w:cs="Century Gothic" w:eastAsia="Century Gothic" w:hint="default"/>
                <w:sz w:val="21"/>
                <w:szCs w:val="21"/>
              </w:rPr>
            </w:pPr>
            <w:r>
              <w:rPr>
                <w:rFonts w:ascii="Century Gothic"/>
                <w:spacing w:val="-1"/>
                <w:sz w:val="21"/>
              </w:rPr>
              <w:t>21,541,866.87</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10,712,681.32</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12,080,781.64</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罚款利得</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407,953.67</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603,165.01</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598,776.66</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148,063.78</w:t>
            </w:r>
          </w:p>
        </w:tc>
      </w:tr>
      <w:tr>
        <w:trPr>
          <w:trHeight w:val="363"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tabs>
                <w:tab w:pos="541"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12,621,000.60</w:t>
            </w:r>
            <w:r>
              <w:rPr>
                <w:rFonts w:ascii="Century Gothic"/>
                <w:b/>
                <w:w w:val="95"/>
                <w:sz w:val="21"/>
              </w:rPr>
            </w:r>
            <w:r>
              <w:rPr>
                <w:rFonts w:ascii="Century Gothic"/>
                <w:sz w:val="21"/>
              </w:rPr>
            </w:r>
          </w:p>
        </w:tc>
        <w:tc>
          <w:tcPr>
            <w:tcW w:w="2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34,373,877.30</w:t>
            </w:r>
            <w:r>
              <w:rPr>
                <w:rFonts w:ascii="Century Gothic"/>
                <w:b/>
                <w:w w:val="95"/>
                <w:sz w:val="21"/>
              </w:rPr>
            </w:r>
            <w:r>
              <w:rPr>
                <w:rFonts w:ascii="Century Gothic"/>
                <w:sz w:val="21"/>
              </w:rPr>
            </w:r>
          </w:p>
        </w:tc>
      </w:tr>
    </w:tbl>
    <w:p>
      <w:pPr>
        <w:pStyle w:val="BodyText"/>
        <w:spacing w:line="240" w:lineRule="auto" w:before="86"/>
        <w:ind w:left="558" w:right="0"/>
        <w:jc w:val="left"/>
      </w:pPr>
      <w:r>
        <w:rPr/>
        <w:t>政府补助明细列示如下：</w:t>
      </w:r>
    </w:p>
    <w:p>
      <w:pPr>
        <w:spacing w:line="240" w:lineRule="auto" w:before="6"/>
        <w:rPr>
          <w:rFonts w:ascii="宋体" w:hAnsi="宋体" w:cs="宋体" w:eastAsia="宋体" w:hint="default"/>
          <w:sz w:val="20"/>
          <w:szCs w:val="20"/>
        </w:rPr>
      </w:pPr>
    </w:p>
    <w:tbl>
      <w:tblPr>
        <w:tblW w:w="0" w:type="auto"/>
        <w:jc w:val="left"/>
        <w:tblInd w:w="173" w:type="dxa"/>
        <w:tblLayout w:type="fixed"/>
        <w:tblCellMar>
          <w:top w:w="0" w:type="dxa"/>
          <w:left w:w="0" w:type="dxa"/>
          <w:bottom w:w="0" w:type="dxa"/>
          <w:right w:w="0" w:type="dxa"/>
        </w:tblCellMar>
        <w:tblLook w:val="01E0"/>
      </w:tblPr>
      <w:tblGrid>
        <w:gridCol w:w="4085"/>
        <w:gridCol w:w="2339"/>
        <w:gridCol w:w="1979"/>
        <w:gridCol w:w="672"/>
      </w:tblGrid>
      <w:tr>
        <w:trPr>
          <w:trHeight w:val="363" w:hRule="exact"/>
        </w:trPr>
        <w:tc>
          <w:tcPr>
            <w:tcW w:w="4085"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39"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63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979"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457"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672"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118"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408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3,346,013.40</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3,720,248.14</w:t>
            </w:r>
          </w:p>
        </w:tc>
        <w:tc>
          <w:tcPr>
            <w:tcW w:w="672"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408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递延收益结转</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1,400,000.00</w:t>
            </w: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1,000,000.00</w:t>
            </w:r>
          </w:p>
        </w:tc>
        <w:tc>
          <w:tcPr>
            <w:tcW w:w="6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08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水利建设资金返还</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1,077,815.98</w:t>
            </w:r>
          </w:p>
        </w:tc>
        <w:tc>
          <w:tcPr>
            <w:tcW w:w="1979"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08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重大科技专项和优先主题补助经费</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850,000.00</w:t>
            </w:r>
          </w:p>
        </w:tc>
        <w:tc>
          <w:tcPr>
            <w:tcW w:w="1979"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08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省财政厅芯片开发及子系统应用补助经费</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400,000.00</w:t>
            </w:r>
          </w:p>
        </w:tc>
        <w:tc>
          <w:tcPr>
            <w:tcW w:w="1979"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08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优化机电和高新产品进出口清算资金</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400,000.00</w:t>
            </w:r>
          </w:p>
        </w:tc>
        <w:tc>
          <w:tcPr>
            <w:tcW w:w="1979"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08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中小企业市场开拓资金</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325,923.00</w:t>
            </w:r>
          </w:p>
        </w:tc>
        <w:tc>
          <w:tcPr>
            <w:tcW w:w="1979"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408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北京市商务局哌喹片儿童剂型开发经费</w:t>
            </w:r>
          </w:p>
        </w:tc>
        <w:tc>
          <w:tcPr>
            <w:tcW w:w="23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240,000.00</w:t>
            </w:r>
          </w:p>
        </w:tc>
        <w:tc>
          <w:tcPr>
            <w:tcW w:w="1979" w:type="dxa"/>
            <w:tcBorders>
              <w:top w:val="single" w:sz="6" w:space="0" w:color="000000"/>
              <w:left w:val="single" w:sz="6" w:space="0" w:color="000000"/>
              <w:bottom w:val="single" w:sz="6" w:space="0" w:color="000000"/>
              <w:right w:val="single" w:sz="6" w:space="0" w:color="000000"/>
            </w:tcBorders>
          </w:tcPr>
          <w:p>
            <w:pPr/>
          </w:p>
        </w:tc>
        <w:tc>
          <w:tcPr>
            <w:tcW w:w="6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08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标准化奖励及技改项目补助</w:t>
            </w:r>
          </w:p>
        </w:tc>
        <w:tc>
          <w:tcPr>
            <w:tcW w:w="2339"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1,784,100.00</w:t>
            </w:r>
          </w:p>
        </w:tc>
        <w:tc>
          <w:tcPr>
            <w:tcW w:w="6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08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财政贴息</w:t>
            </w:r>
          </w:p>
        </w:tc>
        <w:tc>
          <w:tcPr>
            <w:tcW w:w="2339"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1,318,800.00</w:t>
            </w:r>
          </w:p>
        </w:tc>
        <w:tc>
          <w:tcPr>
            <w:tcW w:w="67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085"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省级技术中心资助资金</w:t>
            </w:r>
          </w:p>
        </w:tc>
        <w:tc>
          <w:tcPr>
            <w:tcW w:w="2339" w:type="dxa"/>
            <w:tcBorders>
              <w:top w:val="single" w:sz="6" w:space="0" w:color="000000"/>
              <w:left w:val="single" w:sz="6" w:space="0" w:color="000000"/>
              <w:bottom w:val="single" w:sz="6" w:space="0" w:color="000000"/>
              <w:right w:val="single" w:sz="6" w:space="0" w:color="000000"/>
            </w:tcBorders>
          </w:tcPr>
          <w:p>
            <w:pPr/>
          </w:p>
        </w:tc>
        <w:tc>
          <w:tcPr>
            <w:tcW w:w="1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500,000.00</w:t>
            </w:r>
            <w:r>
              <w:rPr>
                <w:rFonts w:ascii="Century Gothic"/>
                <w:sz w:val="21"/>
              </w:rPr>
            </w:r>
          </w:p>
        </w:tc>
        <w:tc>
          <w:tcPr>
            <w:tcW w:w="672"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4085"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国家免税产品财政奖励</w:t>
            </w:r>
          </w:p>
        </w:tc>
        <w:tc>
          <w:tcPr>
            <w:tcW w:w="2339" w:type="dxa"/>
            <w:tcBorders>
              <w:top w:val="single" w:sz="6" w:space="0" w:color="000000"/>
              <w:left w:val="single" w:sz="6" w:space="0" w:color="000000"/>
              <w:bottom w:val="single" w:sz="12" w:space="0" w:color="000000"/>
              <w:right w:val="single" w:sz="6" w:space="0" w:color="000000"/>
            </w:tcBorders>
          </w:tcPr>
          <w:p>
            <w:pPr/>
          </w:p>
        </w:tc>
        <w:tc>
          <w:tcPr>
            <w:tcW w:w="19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350,000.00</w:t>
            </w:r>
            <w:r>
              <w:rPr>
                <w:rFonts w:ascii="Century Gothic"/>
                <w:sz w:val="21"/>
              </w:rPr>
            </w:r>
          </w:p>
        </w:tc>
        <w:tc>
          <w:tcPr>
            <w:tcW w:w="67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5"/>
          <w:szCs w:val="15"/>
        </w:rPr>
      </w:pPr>
    </w:p>
    <w:p>
      <w:pPr>
        <w:spacing w:before="76"/>
        <w:ind w:left="4455" w:right="4393" w:firstLine="0"/>
        <w:jc w:val="center"/>
        <w:rPr>
          <w:rFonts w:ascii="Times New Roman" w:hAnsi="Times New Roman" w:cs="Times New Roman" w:eastAsia="Times New Roman" w:hint="default"/>
          <w:sz w:val="18"/>
          <w:szCs w:val="18"/>
        </w:rPr>
      </w:pPr>
      <w:r>
        <w:rPr>
          <w:rFonts w:ascii="Times New Roman"/>
          <w:sz w:val="18"/>
        </w:rPr>
        <w:t>87</w:t>
      </w:r>
    </w:p>
    <w:p>
      <w:pPr>
        <w:spacing w:after="0"/>
        <w:jc w:val="center"/>
        <w:rPr>
          <w:rFonts w:ascii="Times New Roman" w:hAnsi="Times New Roman" w:cs="Times New Roman" w:eastAsia="Times New Roman" w:hint="default"/>
          <w:sz w:val="18"/>
          <w:szCs w:val="18"/>
        </w:rPr>
        <w:sectPr>
          <w:pgSz w:w="11910" w:h="16840"/>
          <w:pgMar w:top="780" w:bottom="280" w:left="1280" w:right="122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5872"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173" w:type="dxa"/>
        <w:tblLayout w:type="fixed"/>
        <w:tblCellMar>
          <w:top w:w="0" w:type="dxa"/>
          <w:left w:w="0" w:type="dxa"/>
          <w:bottom w:w="0" w:type="dxa"/>
          <w:right w:w="0" w:type="dxa"/>
        </w:tblCellMar>
        <w:tblLook w:val="01E0"/>
      </w:tblPr>
      <w:tblGrid>
        <w:gridCol w:w="4085"/>
        <w:gridCol w:w="2339"/>
        <w:gridCol w:w="1979"/>
        <w:gridCol w:w="672"/>
      </w:tblGrid>
      <w:tr>
        <w:trPr>
          <w:trHeight w:val="362" w:hRule="exact"/>
        </w:trPr>
        <w:tc>
          <w:tcPr>
            <w:tcW w:w="4085" w:type="dxa"/>
            <w:tcBorders>
              <w:top w:val="single" w:sz="12"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100"/>
              <w:jc w:val="right"/>
              <w:rPr>
                <w:rFonts w:ascii="Century Gothic" w:hAnsi="Century Gothic" w:cs="Century Gothic" w:eastAsia="Century Gothic" w:hint="default"/>
                <w:sz w:val="21"/>
                <w:szCs w:val="21"/>
              </w:rPr>
            </w:pPr>
            <w:r>
              <w:rPr>
                <w:rFonts w:ascii="Century Gothic"/>
                <w:spacing w:val="-1"/>
                <w:sz w:val="21"/>
              </w:rPr>
              <w:t>2,672,928.94</w:t>
            </w:r>
          </w:p>
        </w:tc>
        <w:tc>
          <w:tcPr>
            <w:tcW w:w="19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right="100"/>
              <w:jc w:val="right"/>
              <w:rPr>
                <w:rFonts w:ascii="Century Gothic" w:hAnsi="Century Gothic" w:cs="Century Gothic" w:eastAsia="Century Gothic" w:hint="default"/>
                <w:sz w:val="21"/>
                <w:szCs w:val="21"/>
              </w:rPr>
            </w:pPr>
            <w:r>
              <w:rPr>
                <w:rFonts w:ascii="Century Gothic"/>
                <w:spacing w:val="-1"/>
                <w:sz w:val="21"/>
              </w:rPr>
              <w:t>3,407,633.50</w:t>
            </w:r>
          </w:p>
        </w:tc>
        <w:tc>
          <w:tcPr>
            <w:tcW w:w="672" w:type="dxa"/>
            <w:tcBorders>
              <w:top w:val="single" w:sz="12" w:space="0" w:color="000000"/>
              <w:left w:val="single" w:sz="6" w:space="0" w:color="000000"/>
              <w:bottom w:val="single" w:sz="6" w:space="0" w:color="000000"/>
              <w:right w:val="nil" w:sz="6" w:space="0" w:color="auto"/>
            </w:tcBorders>
          </w:tcPr>
          <w:p>
            <w:pPr/>
          </w:p>
        </w:tc>
      </w:tr>
      <w:tr>
        <w:trPr>
          <w:trHeight w:val="363" w:hRule="exact"/>
        </w:trPr>
        <w:tc>
          <w:tcPr>
            <w:tcW w:w="4085" w:type="dxa"/>
            <w:tcBorders>
              <w:top w:val="single" w:sz="6" w:space="0" w:color="000000"/>
              <w:left w:val="nil" w:sz="6" w:space="0" w:color="auto"/>
              <w:bottom w:val="single" w:sz="12" w:space="0" w:color="000000"/>
              <w:right w:val="single" w:sz="6" w:space="0" w:color="000000"/>
            </w:tcBorders>
          </w:tcPr>
          <w:p>
            <w:pPr>
              <w:pStyle w:val="TableParagraph"/>
              <w:tabs>
                <w:tab w:pos="442" w:val="left" w:leader="none"/>
              </w:tabs>
              <w:spacing w:line="24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10,712,681.32</w:t>
            </w:r>
            <w:r>
              <w:rPr>
                <w:rFonts w:ascii="Century Gothic"/>
                <w:b/>
                <w:w w:val="95"/>
                <w:sz w:val="21"/>
              </w:rPr>
            </w:r>
            <w:r>
              <w:rPr>
                <w:rFonts w:ascii="Century Gothic"/>
                <w:sz w:val="21"/>
              </w:rPr>
            </w:r>
          </w:p>
        </w:tc>
        <w:tc>
          <w:tcPr>
            <w:tcW w:w="19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12,080,781.64</w:t>
            </w:r>
            <w:r>
              <w:rPr>
                <w:rFonts w:ascii="Century Gothic"/>
                <w:b/>
                <w:w w:val="95"/>
                <w:sz w:val="21"/>
              </w:rPr>
            </w:r>
            <w:r>
              <w:rPr>
                <w:rFonts w:ascii="Century Gothic"/>
                <w:sz w:val="21"/>
              </w:rPr>
            </w:r>
          </w:p>
        </w:tc>
        <w:tc>
          <w:tcPr>
            <w:tcW w:w="672" w:type="dxa"/>
            <w:tcBorders>
              <w:top w:val="single" w:sz="6" w:space="0" w:color="000000"/>
              <w:left w:val="single" w:sz="6" w:space="0" w:color="000000"/>
              <w:bottom w:val="single" w:sz="12" w:space="0" w:color="000000"/>
              <w:right w:val="nil" w:sz="6" w:space="0" w:color="auto"/>
            </w:tcBorders>
          </w:tcPr>
          <w:p>
            <w:pPr/>
          </w:p>
        </w:tc>
      </w:tr>
    </w:tbl>
    <w:p>
      <w:pPr>
        <w:pStyle w:val="Heading4"/>
        <w:tabs>
          <w:tab w:pos="1838" w:val="left" w:leader="none"/>
        </w:tabs>
        <w:spacing w:line="240" w:lineRule="auto" w:before="94"/>
        <w:ind w:right="0"/>
        <w:jc w:val="left"/>
        <w:rPr>
          <w:rFonts w:ascii="宋体" w:hAnsi="宋体" w:cs="宋体" w:eastAsia="宋体" w:hint="default"/>
          <w:b w:val="0"/>
          <w:bCs w:val="0"/>
        </w:rPr>
      </w:pPr>
      <w:r>
        <w:rPr>
          <w:rFonts w:ascii="宋体" w:hAnsi="宋体" w:cs="宋体" w:eastAsia="宋体" w:hint="default"/>
          <w:w w:val="95"/>
        </w:rPr>
        <w:t>（三十九）</w:t>
        <w:tab/>
      </w:r>
      <w:r>
        <w:rPr>
          <w:rFonts w:ascii="宋体" w:hAnsi="宋体" w:cs="宋体" w:eastAsia="宋体" w:hint="default"/>
        </w:rPr>
        <w:t>营业外支出</w:t>
      </w:r>
      <w:r>
        <w:rPr>
          <w:rFonts w:ascii="宋体" w:hAnsi="宋体" w:cs="宋体" w:eastAsia="宋体" w:hint="default"/>
          <w:b w:val="0"/>
          <w:bCs w:val="0"/>
        </w:rPr>
      </w:r>
    </w:p>
    <w:p>
      <w:pPr>
        <w:spacing w:line="240" w:lineRule="auto" w:before="11"/>
        <w:rPr>
          <w:rFonts w:ascii="宋体" w:hAnsi="宋体" w:cs="宋体" w:eastAsia="宋体" w:hint="default"/>
          <w:b/>
          <w:bCs/>
          <w:sz w:val="12"/>
          <w:szCs w:val="12"/>
        </w:rPr>
      </w:pPr>
    </w:p>
    <w:tbl>
      <w:tblPr>
        <w:tblW w:w="0" w:type="auto"/>
        <w:jc w:val="left"/>
        <w:tblInd w:w="281" w:type="dxa"/>
        <w:tblLayout w:type="fixed"/>
        <w:tblCellMar>
          <w:top w:w="0" w:type="dxa"/>
          <w:left w:w="0" w:type="dxa"/>
          <w:bottom w:w="0" w:type="dxa"/>
          <w:right w:w="0" w:type="dxa"/>
        </w:tblCellMar>
        <w:tblLook w:val="01E0"/>
      </w:tblPr>
      <w:tblGrid>
        <w:gridCol w:w="3943"/>
        <w:gridCol w:w="2296"/>
        <w:gridCol w:w="2620"/>
      </w:tblGrid>
      <w:tr>
        <w:trPr>
          <w:trHeight w:val="307"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61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left="77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7,284,455.68</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1,050,920.63</w:t>
            </w: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111,000.00</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432,714.91</w:t>
            </w:r>
          </w:p>
        </w:tc>
      </w:tr>
      <w:tr>
        <w:trPr>
          <w:trHeight w:val="300"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2296" w:type="dxa"/>
            <w:tcBorders>
              <w:top w:val="single" w:sz="6" w:space="0" w:color="000000"/>
              <w:left w:val="single" w:sz="6" w:space="0" w:color="000000"/>
              <w:bottom w:val="single" w:sz="6" w:space="0" w:color="000000"/>
              <w:right w:val="single" w:sz="6" w:space="0" w:color="000000"/>
            </w:tcBorders>
          </w:tcPr>
          <w:p>
            <w:pP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4,507,149.92</w:t>
            </w:r>
          </w:p>
        </w:tc>
      </w:tr>
      <w:tr>
        <w:trPr>
          <w:trHeight w:val="299"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390,724.02</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257,068.25</w:t>
            </w:r>
          </w:p>
        </w:tc>
      </w:tr>
      <w:tr>
        <w:trPr>
          <w:trHeight w:val="307"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tabs>
                <w:tab w:pos="440" w:val="left" w:leader="none"/>
              </w:tabs>
              <w:spacing w:line="247" w:lineRule="exact"/>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7,786,179.70</w:t>
            </w:r>
            <w:r>
              <w:rPr>
                <w:rFonts w:ascii="Century Gothic"/>
                <w:b/>
                <w:w w:val="95"/>
                <w:sz w:val="21"/>
              </w:rPr>
            </w:r>
            <w:r>
              <w:rPr>
                <w:rFonts w:ascii="Century Gothic"/>
                <w:sz w:val="21"/>
              </w:rPr>
            </w:r>
          </w:p>
        </w:tc>
        <w:tc>
          <w:tcPr>
            <w:tcW w:w="2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6,247,853.71</w:t>
            </w:r>
            <w:r>
              <w:rPr>
                <w:rFonts w:ascii="Century Gothic"/>
                <w:b/>
                <w:w w:val="95"/>
                <w:sz w:val="21"/>
              </w:rPr>
            </w:r>
            <w:r>
              <w:rPr>
                <w:rFonts w:ascii="Century Gothic"/>
                <w:sz w:val="21"/>
              </w:rPr>
            </w:r>
          </w:p>
        </w:tc>
      </w:tr>
    </w:tbl>
    <w:p>
      <w:pPr>
        <w:spacing w:line="357" w:lineRule="auto" w:before="86"/>
        <w:ind w:left="768" w:right="6969" w:hanging="210"/>
        <w:jc w:val="left"/>
        <w:rPr>
          <w:rFonts w:ascii="宋体" w:hAnsi="宋体" w:cs="宋体" w:eastAsia="宋体" w:hint="default"/>
          <w:sz w:val="21"/>
          <w:szCs w:val="21"/>
        </w:rPr>
      </w:pPr>
      <w:r>
        <w:rPr>
          <w:rFonts w:ascii="宋体" w:hAnsi="宋体" w:cs="宋体" w:eastAsia="宋体" w:hint="default"/>
          <w:b/>
          <w:bCs/>
          <w:sz w:val="21"/>
          <w:szCs w:val="21"/>
        </w:rPr>
        <w:t>（四十）所得税费用</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所得税费用的组成</w:t>
      </w:r>
    </w:p>
    <w:p>
      <w:pPr>
        <w:spacing w:line="240" w:lineRule="auto" w:before="0"/>
        <w:rPr>
          <w:rFonts w:ascii="宋体" w:hAnsi="宋体" w:cs="宋体" w:eastAsia="宋体" w:hint="default"/>
          <w:sz w:val="5"/>
          <w:szCs w:val="5"/>
        </w:rPr>
      </w:pPr>
    </w:p>
    <w:tbl>
      <w:tblPr>
        <w:tblW w:w="0" w:type="auto"/>
        <w:jc w:val="left"/>
        <w:tblInd w:w="281" w:type="dxa"/>
        <w:tblLayout w:type="fixed"/>
        <w:tblCellMar>
          <w:top w:w="0" w:type="dxa"/>
          <w:left w:w="0" w:type="dxa"/>
          <w:bottom w:w="0" w:type="dxa"/>
          <w:right w:w="0" w:type="dxa"/>
        </w:tblCellMar>
        <w:tblLook w:val="01E0"/>
      </w:tblPr>
      <w:tblGrid>
        <w:gridCol w:w="3943"/>
        <w:gridCol w:w="2296"/>
        <w:gridCol w:w="2620"/>
      </w:tblGrid>
      <w:tr>
        <w:trPr>
          <w:trHeight w:val="363" w:hRule="exact"/>
        </w:trPr>
        <w:tc>
          <w:tcPr>
            <w:tcW w:w="3943"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61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20"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77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17,826,028.08</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left="633" w:right="0"/>
              <w:jc w:val="left"/>
              <w:rPr>
                <w:rFonts w:ascii="Century Gothic" w:hAnsi="Century Gothic" w:cs="Century Gothic" w:eastAsia="Century Gothic" w:hint="default"/>
                <w:sz w:val="21"/>
                <w:szCs w:val="21"/>
              </w:rPr>
            </w:pPr>
            <w:r>
              <w:rPr>
                <w:rFonts w:ascii="Century Gothic"/>
                <w:sz w:val="21"/>
              </w:rPr>
              <w:t>12,531,361.42</w:t>
            </w:r>
          </w:p>
        </w:tc>
      </w:tr>
      <w:tr>
        <w:trPr>
          <w:trHeight w:val="354" w:hRule="exact"/>
        </w:trPr>
        <w:tc>
          <w:tcPr>
            <w:tcW w:w="394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43"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-5,121,055.25</w:t>
            </w:r>
          </w:p>
        </w:tc>
        <w:tc>
          <w:tcPr>
            <w:tcW w:w="26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7"/>
              <w:jc w:val="right"/>
              <w:rPr>
                <w:rFonts w:ascii="Century Gothic" w:hAnsi="Century Gothic" w:cs="Century Gothic" w:eastAsia="Century Gothic" w:hint="default"/>
                <w:sz w:val="21"/>
                <w:szCs w:val="21"/>
              </w:rPr>
            </w:pPr>
            <w:r>
              <w:rPr>
                <w:rFonts w:ascii="Century Gothic"/>
                <w:spacing w:val="-1"/>
                <w:sz w:val="21"/>
              </w:rPr>
              <w:t>6,407,850.98</w:t>
            </w:r>
          </w:p>
        </w:tc>
      </w:tr>
      <w:tr>
        <w:trPr>
          <w:trHeight w:val="363" w:hRule="exact"/>
        </w:trPr>
        <w:tc>
          <w:tcPr>
            <w:tcW w:w="3943"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12,704,972.83</w:t>
            </w:r>
            <w:r>
              <w:rPr>
                <w:rFonts w:ascii="Century Gothic"/>
                <w:b/>
                <w:w w:val="95"/>
                <w:sz w:val="21"/>
              </w:rPr>
            </w:r>
            <w:r>
              <w:rPr>
                <w:rFonts w:ascii="Century Gothic"/>
                <w:sz w:val="21"/>
              </w:rPr>
            </w:r>
          </w:p>
        </w:tc>
        <w:tc>
          <w:tcPr>
            <w:tcW w:w="26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18,939,212.40</w:t>
            </w:r>
            <w:r>
              <w:rPr>
                <w:rFonts w:ascii="Century Gothic"/>
                <w:b/>
                <w:w w:val="95"/>
                <w:sz w:val="21"/>
              </w:rPr>
            </w:r>
            <w:r>
              <w:rPr>
                <w:rFonts w:ascii="Century Gothic"/>
                <w:sz w:val="21"/>
              </w:rPr>
            </w:r>
          </w:p>
        </w:tc>
      </w:tr>
    </w:tbl>
    <w:p>
      <w:pPr>
        <w:tabs>
          <w:tab w:pos="1838" w:val="left" w:leader="none"/>
        </w:tabs>
        <w:spacing w:line="357" w:lineRule="auto" w:before="86"/>
        <w:ind w:left="558" w:right="114" w:firstLine="0"/>
        <w:jc w:val="left"/>
        <w:rPr>
          <w:rFonts w:ascii="宋体" w:hAnsi="宋体" w:cs="宋体" w:eastAsia="宋体" w:hint="default"/>
          <w:sz w:val="21"/>
          <w:szCs w:val="21"/>
        </w:rPr>
      </w:pPr>
      <w:r>
        <w:rPr>
          <w:rFonts w:ascii="宋体" w:hAnsi="宋体" w:cs="宋体" w:eastAsia="宋体" w:hint="default"/>
          <w:b/>
          <w:bCs/>
          <w:w w:val="95"/>
          <w:sz w:val="21"/>
          <w:szCs w:val="21"/>
        </w:rPr>
        <w:t>（四十一）</w:t>
        <w:tab/>
      </w:r>
      <w:r>
        <w:rPr>
          <w:rFonts w:ascii="宋体" w:hAnsi="宋体" w:cs="宋体" w:eastAsia="宋体" w:hint="default"/>
          <w:b/>
          <w:bCs/>
          <w:sz w:val="21"/>
          <w:szCs w:val="21"/>
        </w:rPr>
        <w:t>基本每股收益和稀释每股收益的计算过程</w:t>
      </w:r>
      <w:r>
        <w:rPr>
          <w:rFonts w:ascii="宋体" w:hAnsi="宋体" w:cs="宋体" w:eastAsia="宋体" w:hint="default"/>
          <w:b/>
          <w:bCs/>
          <w:w w:val="99"/>
          <w:sz w:val="21"/>
          <w:szCs w:val="21"/>
        </w:rPr>
        <w:t> </w:t>
      </w:r>
      <w:r>
        <w:rPr>
          <w:rFonts w:ascii="宋体" w:hAnsi="宋体" w:cs="宋体" w:eastAsia="宋体" w:hint="default"/>
          <w:spacing w:val="-3"/>
          <w:sz w:val="21"/>
          <w:szCs w:val="21"/>
        </w:rPr>
        <w:t>本公司按照中国证监会《公开发行证券的公司信息披露编报规则第 </w:t>
      </w:r>
      <w:r>
        <w:rPr>
          <w:rFonts w:ascii="Century Gothic" w:hAnsi="Century Gothic" w:cs="Century Gothic" w:eastAsia="Century Gothic" w:hint="default"/>
          <w:sz w:val="21"/>
          <w:szCs w:val="21"/>
        </w:rPr>
        <w:t>9</w:t>
      </w:r>
      <w:r>
        <w:rPr>
          <w:rFonts w:ascii="Century Gothic" w:hAnsi="Century Gothic" w:cs="Century Gothic" w:eastAsia="Century Gothic" w:hint="default"/>
          <w:spacing w:val="-33"/>
          <w:sz w:val="21"/>
          <w:szCs w:val="21"/>
        </w:rPr>
        <w:t> </w:t>
      </w:r>
      <w:r>
        <w:rPr>
          <w:rFonts w:ascii="宋体" w:hAnsi="宋体" w:cs="宋体" w:eastAsia="宋体" w:hint="default"/>
          <w:sz w:val="21"/>
          <w:szCs w:val="21"/>
        </w:rPr>
        <w:t>号——净资产收益率和每股</w:t>
      </w:r>
    </w:p>
    <w:p>
      <w:pPr>
        <w:pStyle w:val="BodyText"/>
        <w:spacing w:line="336" w:lineRule="auto" w:before="0"/>
        <w:ind w:right="0"/>
        <w:jc w:val="left"/>
      </w:pPr>
      <w:r>
        <w:rPr/>
        <w:t>收益的计算及披露（</w:t>
      </w:r>
      <w:r>
        <w:rPr>
          <w:rFonts w:ascii="Century Gothic" w:hAnsi="Century Gothic" w:cs="Century Gothic" w:eastAsia="Century Gothic" w:hint="default"/>
        </w:rPr>
        <w:t>2010 </w:t>
      </w:r>
      <w:r>
        <w:rPr>
          <w:spacing w:val="-3"/>
        </w:rPr>
        <w:t>年修订）》（“中国证券监督管理委员会公告</w:t>
      </w:r>
      <w:r>
        <w:rPr>
          <w:rFonts w:ascii="Century Gothic" w:hAnsi="Century Gothic" w:cs="Century Gothic" w:eastAsia="Century Gothic" w:hint="default"/>
          <w:spacing w:val="-3"/>
        </w:rPr>
        <w:t>[2010]2 </w:t>
      </w:r>
      <w:r>
        <w:rPr>
          <w:spacing w:val="-4"/>
        </w:rPr>
        <w:t>号）、《公开发行证</w:t>
      </w:r>
      <w:r>
        <w:rPr>
          <w:spacing w:val="-100"/>
        </w:rPr>
        <w:t> </w:t>
      </w:r>
      <w:r>
        <w:rPr>
          <w:spacing w:val="-100"/>
        </w:rPr>
      </w:r>
      <w:r>
        <w:rPr/>
        <w:t>券的公司信息披露解释性公告第</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8"/>
        </w:rPr>
        <w:t> </w:t>
      </w:r>
      <w:r>
        <w:rPr/>
        <w:t>号——非经常性损益（</w:t>
      </w:r>
      <w:r>
        <w:rPr>
          <w:rFonts w:ascii="Century Gothic" w:hAnsi="Century Gothic" w:cs="Century Gothic" w:eastAsia="Century Gothic" w:hint="default"/>
        </w:rPr>
        <w:t>2008</w:t>
      </w:r>
      <w:r>
        <w:rPr/>
        <w:t>）》（“中国证券监督管理委员会公 告</w:t>
      </w:r>
      <w:r>
        <w:rPr>
          <w:rFonts w:ascii="Century Gothic" w:hAnsi="Century Gothic" w:cs="Century Gothic" w:eastAsia="Century Gothic" w:hint="default"/>
        </w:rPr>
        <w:t>[2008]43</w:t>
      </w:r>
      <w:r>
        <w:rPr>
          <w:rFonts w:ascii="Century Gothic" w:hAnsi="Century Gothic" w:cs="Century Gothic" w:eastAsia="Century Gothic" w:hint="default"/>
          <w:spacing w:val="-14"/>
        </w:rPr>
        <w:t> </w:t>
      </w:r>
      <w:r>
        <w:rPr/>
        <w:t>号”）要求计算的每股收益如下：</w:t>
      </w:r>
    </w:p>
    <w:p>
      <w:pPr>
        <w:pStyle w:val="Heading4"/>
        <w:spacing w:line="240" w:lineRule="auto" w:before="17"/>
        <w:ind w:right="0"/>
        <w:jc w:val="left"/>
        <w:rPr>
          <w:rFonts w:ascii="宋体" w:hAnsi="宋体" w:cs="宋体" w:eastAsia="宋体" w:hint="default"/>
          <w:b w:val="0"/>
          <w:bCs w:val="0"/>
        </w:rPr>
      </w:pPr>
      <w:r>
        <w:rPr>
          <w:rFonts w:ascii="Century Gothic" w:hAnsi="Century Gothic" w:cs="Century Gothic" w:eastAsia="Century Gothic" w:hint="default"/>
        </w:rPr>
        <w:t>1. </w:t>
      </w:r>
      <w:r>
        <w:rPr>
          <w:rFonts w:ascii="Century Gothic" w:hAnsi="Century Gothic" w:cs="Century Gothic" w:eastAsia="Century Gothic" w:hint="default"/>
          <w:spacing w:val="2"/>
        </w:rPr>
        <w:t> </w:t>
      </w:r>
      <w:r>
        <w:rPr>
          <w:rFonts w:ascii="宋体" w:hAnsi="宋体" w:cs="宋体" w:eastAsia="宋体" w:hint="default"/>
        </w:rPr>
        <w:t>计算结果</w:t>
      </w:r>
      <w:r>
        <w:rPr>
          <w:rFonts w:ascii="宋体" w:hAnsi="宋体" w:cs="宋体" w:eastAsia="宋体" w:hint="default"/>
          <w:b w:val="0"/>
          <w:bCs w:val="0"/>
        </w:rPr>
      </w:r>
    </w:p>
    <w:p>
      <w:pPr>
        <w:spacing w:line="240" w:lineRule="auto" w:before="9"/>
        <w:rPr>
          <w:rFonts w:ascii="宋体" w:hAnsi="宋体" w:cs="宋体" w:eastAsia="宋体" w:hint="default"/>
          <w:b/>
          <w:bCs/>
          <w:sz w:val="11"/>
          <w:szCs w:val="11"/>
        </w:rPr>
      </w:pPr>
    </w:p>
    <w:tbl>
      <w:tblPr>
        <w:tblW w:w="0" w:type="auto"/>
        <w:jc w:val="left"/>
        <w:tblInd w:w="281" w:type="dxa"/>
        <w:tblLayout w:type="fixed"/>
        <w:tblCellMar>
          <w:top w:w="0" w:type="dxa"/>
          <w:left w:w="0" w:type="dxa"/>
          <w:bottom w:w="0" w:type="dxa"/>
          <w:right w:w="0" w:type="dxa"/>
        </w:tblCellMar>
        <w:tblLook w:val="01E0"/>
      </w:tblPr>
      <w:tblGrid>
        <w:gridCol w:w="3883"/>
        <w:gridCol w:w="1439"/>
        <w:gridCol w:w="938"/>
        <w:gridCol w:w="1301"/>
        <w:gridCol w:w="1297"/>
      </w:tblGrid>
      <w:tr>
        <w:trPr>
          <w:trHeight w:val="362" w:hRule="exact"/>
        </w:trPr>
        <w:tc>
          <w:tcPr>
            <w:tcW w:w="3883"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37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9" w:right="0"/>
              <w:jc w:val="center"/>
              <w:rPr>
                <w:rFonts w:ascii="宋体" w:hAnsi="宋体" w:cs="宋体" w:eastAsia="宋体" w:hint="default"/>
                <w:sz w:val="21"/>
                <w:szCs w:val="21"/>
              </w:rPr>
            </w:pPr>
            <w:r>
              <w:rPr>
                <w:rFonts w:ascii="宋体" w:hAnsi="宋体" w:cs="宋体" w:eastAsia="宋体" w:hint="default"/>
                <w:spacing w:val="-22"/>
                <w:sz w:val="21"/>
                <w:szCs w:val="21"/>
              </w:rPr>
              <w:t>本年数</w:t>
            </w:r>
          </w:p>
        </w:tc>
        <w:tc>
          <w:tcPr>
            <w:tcW w:w="2598" w:type="dxa"/>
            <w:gridSpan w:val="2"/>
            <w:tcBorders>
              <w:top w:val="single" w:sz="12" w:space="0" w:color="000000"/>
              <w:left w:val="single" w:sz="6" w:space="0" w:color="000000"/>
              <w:bottom w:val="single" w:sz="6" w:space="0" w:color="000000"/>
              <w:right w:val="nil" w:sz="6" w:space="0" w:color="auto"/>
            </w:tcBorders>
          </w:tcPr>
          <w:p>
            <w:pPr>
              <w:pStyle w:val="TableParagraph"/>
              <w:spacing w:line="274" w:lineRule="exact"/>
              <w:ind w:left="22" w:right="0"/>
              <w:jc w:val="center"/>
              <w:rPr>
                <w:rFonts w:ascii="宋体" w:hAnsi="宋体" w:cs="宋体" w:eastAsia="宋体" w:hint="default"/>
                <w:sz w:val="21"/>
                <w:szCs w:val="21"/>
              </w:rPr>
            </w:pPr>
            <w:r>
              <w:rPr>
                <w:rFonts w:ascii="宋体" w:hAnsi="宋体" w:cs="宋体" w:eastAsia="宋体" w:hint="default"/>
                <w:spacing w:val="-22"/>
                <w:sz w:val="21"/>
                <w:szCs w:val="21"/>
              </w:rPr>
              <w:t>上年数</w:t>
            </w:r>
          </w:p>
        </w:tc>
      </w:tr>
      <w:tr>
        <w:trPr>
          <w:trHeight w:val="562" w:hRule="exact"/>
        </w:trPr>
        <w:tc>
          <w:tcPr>
            <w:tcW w:w="3883" w:type="dxa"/>
            <w:vMerge/>
            <w:tcBorders>
              <w:left w:val="nil" w:sz="6" w:space="0" w:color="auto"/>
              <w:bottom w:val="single" w:sz="6" w:space="0" w:color="000000"/>
              <w:right w:val="single" w:sz="6" w:space="0" w:color="000000"/>
            </w:tcBorders>
          </w:tcPr>
          <w:p>
            <w:pP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稀释每</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股收益</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w:t>
            </w:r>
          </w:p>
        </w:tc>
        <w:tc>
          <w:tcPr>
            <w:tcW w:w="1297"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益</w:t>
            </w:r>
          </w:p>
        </w:tc>
      </w:tr>
      <w:tr>
        <w:trPr>
          <w:trHeight w:val="354" w:hRule="exact"/>
        </w:trPr>
        <w:tc>
          <w:tcPr>
            <w:tcW w:w="388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归属于公司普通股股东的净利润（Ⅰ）</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-0.17</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222"/>
              <w:jc w:val="right"/>
              <w:rPr>
                <w:rFonts w:ascii="Century Gothic" w:hAnsi="Century Gothic" w:cs="Century Gothic" w:eastAsia="Century Gothic" w:hint="default"/>
                <w:sz w:val="21"/>
                <w:szCs w:val="21"/>
              </w:rPr>
            </w:pPr>
            <w:r>
              <w:rPr>
                <w:rFonts w:ascii="Century Gothic"/>
                <w:spacing w:val="-1"/>
                <w:sz w:val="21"/>
              </w:rPr>
              <w:t>-0.17</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0"/>
              <w:jc w:val="center"/>
              <w:rPr>
                <w:rFonts w:ascii="Century Gothic" w:hAnsi="Century Gothic" w:cs="Century Gothic" w:eastAsia="Century Gothic" w:hint="default"/>
                <w:sz w:val="21"/>
                <w:szCs w:val="21"/>
              </w:rPr>
            </w:pPr>
            <w:r>
              <w:rPr>
                <w:rFonts w:ascii="Century Gothic"/>
                <w:sz w:val="21"/>
              </w:rPr>
              <w:t>0.01</w:t>
            </w:r>
          </w:p>
        </w:tc>
        <w:tc>
          <w:tcPr>
            <w:tcW w:w="12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left="439" w:right="0"/>
              <w:jc w:val="left"/>
              <w:rPr>
                <w:rFonts w:ascii="Century Gothic" w:hAnsi="Century Gothic" w:cs="Century Gothic" w:eastAsia="Century Gothic" w:hint="default"/>
                <w:sz w:val="21"/>
                <w:szCs w:val="21"/>
              </w:rPr>
            </w:pPr>
            <w:r>
              <w:rPr>
                <w:rFonts w:ascii="Century Gothic"/>
                <w:sz w:val="21"/>
              </w:rPr>
              <w:t>0.01</w:t>
            </w:r>
          </w:p>
        </w:tc>
      </w:tr>
      <w:tr>
        <w:trPr>
          <w:trHeight w:val="569" w:hRule="exact"/>
        </w:trPr>
        <w:tc>
          <w:tcPr>
            <w:tcW w:w="3883" w:type="dxa"/>
            <w:tcBorders>
              <w:top w:val="single" w:sz="6" w:space="0" w:color="000000"/>
              <w:left w:val="nil" w:sz="6" w:space="0" w:color="auto"/>
              <w:bottom w:val="single" w:sz="12"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扣除非经常性损益后归属于公司普通股</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股东的净利润（Ⅱ）</w:t>
            </w:r>
          </w:p>
        </w:tc>
        <w:tc>
          <w:tcPr>
            <w:tcW w:w="14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0"/>
              <w:jc w:val="center"/>
              <w:rPr>
                <w:rFonts w:ascii="Century Gothic" w:hAnsi="Century Gothic" w:cs="Century Gothic" w:eastAsia="Century Gothic" w:hint="default"/>
                <w:sz w:val="21"/>
                <w:szCs w:val="21"/>
              </w:rPr>
            </w:pPr>
            <w:r>
              <w:rPr>
                <w:rFonts w:ascii="Century Gothic"/>
                <w:sz w:val="21"/>
              </w:rPr>
              <w:t>-0.16</w:t>
            </w:r>
          </w:p>
        </w:tc>
        <w:tc>
          <w:tcPr>
            <w:tcW w:w="9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222"/>
              <w:jc w:val="right"/>
              <w:rPr>
                <w:rFonts w:ascii="Century Gothic" w:hAnsi="Century Gothic" w:cs="Century Gothic" w:eastAsia="Century Gothic" w:hint="default"/>
                <w:sz w:val="21"/>
                <w:szCs w:val="21"/>
              </w:rPr>
            </w:pPr>
            <w:r>
              <w:rPr>
                <w:rFonts w:ascii="Century Gothic"/>
                <w:spacing w:val="-1"/>
                <w:sz w:val="21"/>
              </w:rPr>
              <w:t>-0.16</w:t>
            </w:r>
            <w:r>
              <w:rPr>
                <w:rFonts w:ascii="Century Gothic"/>
                <w:sz w:val="21"/>
              </w:rPr>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1"/>
              <w:jc w:val="center"/>
              <w:rPr>
                <w:rFonts w:ascii="Century Gothic" w:hAnsi="Century Gothic" w:cs="Century Gothic" w:eastAsia="Century Gothic" w:hint="default"/>
                <w:sz w:val="21"/>
                <w:szCs w:val="21"/>
              </w:rPr>
            </w:pPr>
            <w:r>
              <w:rPr>
                <w:rFonts w:ascii="Century Gothic"/>
                <w:sz w:val="21"/>
              </w:rPr>
              <w:t>-0.03</w:t>
            </w:r>
          </w:p>
        </w:tc>
        <w:tc>
          <w:tcPr>
            <w:tcW w:w="12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2"/>
              <w:ind w:left="402" w:right="0"/>
              <w:jc w:val="left"/>
              <w:rPr>
                <w:rFonts w:ascii="Century Gothic" w:hAnsi="Century Gothic" w:cs="Century Gothic" w:eastAsia="Century Gothic" w:hint="default"/>
                <w:sz w:val="21"/>
                <w:szCs w:val="21"/>
              </w:rPr>
            </w:pPr>
            <w:r>
              <w:rPr>
                <w:rFonts w:ascii="Century Gothic"/>
                <w:sz w:val="21"/>
              </w:rPr>
              <w:t>-0.03</w:t>
            </w:r>
          </w:p>
        </w:tc>
      </w:tr>
    </w:tbl>
    <w:p>
      <w:pPr>
        <w:pStyle w:val="Heading4"/>
        <w:spacing w:line="240" w:lineRule="auto" w:before="86"/>
        <w:ind w:right="0"/>
        <w:jc w:val="left"/>
        <w:rPr>
          <w:rFonts w:ascii="宋体" w:hAnsi="宋体" w:cs="宋体" w:eastAsia="宋体" w:hint="default"/>
          <w:b w:val="0"/>
          <w:bCs w:val="0"/>
        </w:rPr>
      </w:pPr>
      <w:r>
        <w:rPr>
          <w:rFonts w:ascii="Century Gothic" w:hAnsi="Century Gothic" w:cs="Century Gothic" w:eastAsia="Century Gothic" w:hint="default"/>
        </w:rPr>
        <w:t>2.</w:t>
      </w:r>
      <w:r>
        <w:rPr>
          <w:rFonts w:ascii="Century Gothic" w:hAnsi="Century Gothic" w:cs="Century Gothic" w:eastAsia="Century Gothic" w:hint="default"/>
          <w:spacing w:val="58"/>
        </w:rPr>
        <w:t> </w:t>
      </w:r>
      <w:r>
        <w:rPr>
          <w:rFonts w:ascii="宋体" w:hAnsi="宋体" w:cs="宋体" w:eastAsia="宋体" w:hint="default"/>
        </w:rPr>
        <w:t>每股收益的计算过程</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tbl>
      <w:tblPr>
        <w:tblW w:w="0" w:type="auto"/>
        <w:jc w:val="left"/>
        <w:tblInd w:w="296" w:type="dxa"/>
        <w:tblLayout w:type="fixed"/>
        <w:tblCellMar>
          <w:top w:w="0" w:type="dxa"/>
          <w:left w:w="0" w:type="dxa"/>
          <w:bottom w:w="0" w:type="dxa"/>
          <w:right w:w="0" w:type="dxa"/>
        </w:tblCellMar>
        <w:tblLook w:val="01E0"/>
      </w:tblPr>
      <w:tblGrid>
        <w:gridCol w:w="3430"/>
        <w:gridCol w:w="1620"/>
        <w:gridCol w:w="1878"/>
        <w:gridCol w:w="1909"/>
      </w:tblGrid>
      <w:tr>
        <w:trPr>
          <w:trHeight w:val="362" w:hRule="exact"/>
        </w:trPr>
        <w:tc>
          <w:tcPr>
            <w:tcW w:w="343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90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34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w w:val="99"/>
                <w:sz w:val="18"/>
              </w:rPr>
              <w:t>1</w:t>
            </w:r>
            <w:r>
              <w:rPr>
                <w:rFonts w:ascii="Century Gothic"/>
                <w:sz w:val="18"/>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Century Gothic" w:hAnsi="Century Gothic" w:cs="Century Gothic" w:eastAsia="Century Gothic" w:hint="default"/>
                <w:sz w:val="18"/>
                <w:szCs w:val="18"/>
              </w:rPr>
            </w:pPr>
            <w:r>
              <w:rPr>
                <w:rFonts w:ascii="Century Gothic"/>
                <w:spacing w:val="-1"/>
                <w:sz w:val="18"/>
              </w:rPr>
              <w:t>-82,890,070.59</w:t>
            </w:r>
          </w:p>
        </w:tc>
        <w:tc>
          <w:tcPr>
            <w:tcW w:w="19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97"/>
              <w:jc w:val="right"/>
              <w:rPr>
                <w:rFonts w:ascii="Century Gothic" w:hAnsi="Century Gothic" w:cs="Century Gothic" w:eastAsia="Century Gothic" w:hint="default"/>
                <w:sz w:val="18"/>
                <w:szCs w:val="18"/>
              </w:rPr>
            </w:pPr>
            <w:r>
              <w:rPr>
                <w:rFonts w:ascii="Century Gothic"/>
                <w:spacing w:val="-1"/>
                <w:sz w:val="18"/>
              </w:rPr>
              <w:t>4,717,562.55</w:t>
            </w:r>
          </w:p>
        </w:tc>
      </w:tr>
      <w:tr>
        <w:trPr>
          <w:trHeight w:val="484" w:hRule="exact"/>
        </w:trPr>
        <w:tc>
          <w:tcPr>
            <w:tcW w:w="343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9"/>
                <w:sz w:val="18"/>
                <w:szCs w:val="18"/>
              </w:rPr>
              <w:t>扣除所得税影响后归属于母公司普通股</w:t>
            </w:r>
            <w:r>
              <w:rPr>
                <w:rFonts w:ascii="宋体" w:hAnsi="宋体" w:cs="宋体" w:eastAsia="宋体" w:hint="default"/>
                <w:sz w:val="18"/>
                <w:szCs w:val="18"/>
              </w:rPr>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股东净利润的非经常性损益</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Century Gothic" w:hAnsi="Century Gothic" w:cs="Century Gothic" w:eastAsia="Century Gothic" w:hint="default"/>
                <w:sz w:val="18"/>
                <w:szCs w:val="18"/>
              </w:rPr>
            </w:pPr>
            <w:r>
              <w:rPr>
                <w:rFonts w:ascii="Century Gothic"/>
                <w:w w:val="99"/>
                <w:sz w:val="18"/>
              </w:rPr>
              <w:t>2</w:t>
            </w:r>
            <w:r>
              <w:rPr>
                <w:rFonts w:ascii="Century Gothic"/>
                <w:sz w:val="18"/>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-3,554,317.81</w:t>
            </w:r>
            <w:r>
              <w:rPr>
                <w:rFonts w:ascii="Century Gothic"/>
                <w:sz w:val="18"/>
              </w:rPr>
            </w:r>
          </w:p>
        </w:tc>
        <w:tc>
          <w:tcPr>
            <w:tcW w:w="19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18,516,016.89</w:t>
            </w:r>
          </w:p>
        </w:tc>
      </w:tr>
      <w:tr>
        <w:trPr>
          <w:trHeight w:val="482" w:hRule="exact"/>
        </w:trPr>
        <w:tc>
          <w:tcPr>
            <w:tcW w:w="343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9"/>
                <w:sz w:val="18"/>
                <w:szCs w:val="18"/>
              </w:rPr>
              <w:t>扣除非经常性损益后的归属于本公司普</w:t>
            </w:r>
            <w:r>
              <w:rPr>
                <w:rFonts w:ascii="宋体" w:hAnsi="宋体" w:cs="宋体" w:eastAsia="宋体" w:hint="default"/>
                <w:sz w:val="18"/>
                <w:szCs w:val="18"/>
              </w:rPr>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通股股东的净利润</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Century Gothic" w:hAnsi="Century Gothic" w:cs="Century Gothic" w:eastAsia="Century Gothic" w:hint="default"/>
                <w:sz w:val="18"/>
                <w:szCs w:val="18"/>
              </w:rPr>
            </w:pPr>
            <w:r>
              <w:rPr>
                <w:rFonts w:ascii="Century Gothic"/>
                <w:sz w:val="18"/>
              </w:rPr>
              <w:t>3=1-2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-79,335,752.78</w:t>
            </w:r>
          </w:p>
        </w:tc>
        <w:tc>
          <w:tcPr>
            <w:tcW w:w="19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99"/>
              <w:jc w:val="right"/>
              <w:rPr>
                <w:rFonts w:ascii="Century Gothic" w:hAnsi="Century Gothic" w:cs="Century Gothic" w:eastAsia="Century Gothic" w:hint="default"/>
                <w:sz w:val="18"/>
                <w:szCs w:val="18"/>
              </w:rPr>
            </w:pPr>
            <w:r>
              <w:rPr>
                <w:rFonts w:ascii="Century Gothic"/>
                <w:spacing w:val="-1"/>
                <w:sz w:val="18"/>
              </w:rPr>
              <w:t>-13,798,454.34</w:t>
            </w:r>
          </w:p>
        </w:tc>
      </w:tr>
      <w:tr>
        <w:trPr>
          <w:trHeight w:val="355" w:hRule="exact"/>
        </w:trPr>
        <w:tc>
          <w:tcPr>
            <w:tcW w:w="343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07"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w w:val="99"/>
                <w:sz w:val="18"/>
              </w:rPr>
              <w:t>4</w:t>
            </w:r>
            <w:r>
              <w:rPr>
                <w:rFonts w:ascii="Century Gothic"/>
                <w:sz w:val="18"/>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pacing w:val="-1"/>
                <w:sz w:val="18"/>
              </w:rPr>
              <w:t>487,731,995.00</w:t>
            </w:r>
          </w:p>
        </w:tc>
        <w:tc>
          <w:tcPr>
            <w:tcW w:w="19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97"/>
              <w:jc w:val="right"/>
              <w:rPr>
                <w:rFonts w:ascii="Century Gothic" w:hAnsi="Century Gothic" w:cs="Century Gothic" w:eastAsia="Century Gothic" w:hint="default"/>
                <w:sz w:val="18"/>
                <w:szCs w:val="18"/>
              </w:rPr>
            </w:pPr>
            <w:r>
              <w:rPr>
                <w:rFonts w:ascii="Century Gothic"/>
                <w:spacing w:val="-1"/>
                <w:sz w:val="18"/>
              </w:rPr>
              <w:t>487,731,995.00</w:t>
            </w:r>
          </w:p>
        </w:tc>
      </w:tr>
      <w:tr>
        <w:trPr>
          <w:trHeight w:val="484" w:hRule="exact"/>
        </w:trPr>
        <w:tc>
          <w:tcPr>
            <w:tcW w:w="343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9"/>
                <w:sz w:val="18"/>
                <w:szCs w:val="18"/>
              </w:rPr>
              <w:t>报告期因公积金转增股本或股票股利分</w:t>
            </w:r>
            <w:r>
              <w:rPr>
                <w:rFonts w:ascii="宋体" w:hAnsi="宋体" w:cs="宋体" w:eastAsia="宋体" w:hint="default"/>
                <w:sz w:val="18"/>
                <w:szCs w:val="18"/>
              </w:rPr>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配等增加的股份数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Century Gothic" w:hAnsi="Century Gothic" w:cs="Century Gothic" w:eastAsia="Century Gothic" w:hint="default"/>
                <w:sz w:val="18"/>
                <w:szCs w:val="18"/>
              </w:rPr>
            </w:pPr>
            <w:r>
              <w:rPr>
                <w:rFonts w:ascii="Century Gothic"/>
                <w:w w:val="99"/>
                <w:sz w:val="18"/>
              </w:rPr>
              <w:t>5</w:t>
            </w:r>
            <w:r>
              <w:rPr>
                <w:rFonts w:ascii="Century Gothic"/>
                <w:sz w:val="18"/>
              </w:rPr>
            </w:r>
          </w:p>
        </w:tc>
        <w:tc>
          <w:tcPr>
            <w:tcW w:w="187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430" w:type="dxa"/>
            <w:vMerge w:val="restart"/>
            <w:tcBorders>
              <w:top w:val="single" w:sz="6" w:space="0" w:color="000000"/>
              <w:left w:val="nil" w:sz="6" w:space="0" w:color="auto"/>
              <w:right w:val="single" w:sz="6"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9"/>
                <w:sz w:val="18"/>
                <w:szCs w:val="18"/>
              </w:rPr>
              <w:t>报告期因发行新股或债转股等增加的股</w:t>
            </w:r>
            <w:r>
              <w:rPr>
                <w:rFonts w:ascii="宋体" w:hAnsi="宋体" w:cs="宋体" w:eastAsia="宋体" w:hint="default"/>
                <w:sz w:val="18"/>
                <w:szCs w:val="18"/>
              </w:rPr>
            </w:r>
          </w:p>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份数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w w:val="99"/>
                <w:sz w:val="18"/>
              </w:rPr>
              <w:t>6</w:t>
            </w:r>
            <w:r>
              <w:rPr>
                <w:rFonts w:ascii="Century Gothic"/>
                <w:sz w:val="18"/>
              </w:rPr>
            </w:r>
          </w:p>
        </w:tc>
        <w:tc>
          <w:tcPr>
            <w:tcW w:w="1878" w:type="dxa"/>
            <w:tcBorders>
              <w:top w:val="single" w:sz="6" w:space="0" w:color="000000"/>
              <w:left w:val="single" w:sz="6" w:space="0" w:color="000000"/>
              <w:bottom w:val="single" w:sz="6" w:space="0" w:color="000000"/>
              <w:right w:val="single" w:sz="6" w:space="0" w:color="000000"/>
            </w:tcBorders>
          </w:tcPr>
          <w:p>
            <w:pPr/>
          </w:p>
        </w:tc>
        <w:tc>
          <w:tcPr>
            <w:tcW w:w="1909"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3430" w:type="dxa"/>
            <w:vMerge/>
            <w:tcBorders>
              <w:left w:val="nil" w:sz="6" w:space="0" w:color="auto"/>
              <w:bottom w:val="single" w:sz="12" w:space="0" w:color="000000"/>
              <w:right w:val="single" w:sz="6" w:space="0" w:color="000000"/>
            </w:tcBorders>
          </w:tcPr>
          <w:p>
            <w:pP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w w:val="99"/>
                <w:sz w:val="18"/>
              </w:rPr>
              <w:t>6</w:t>
            </w:r>
            <w:r>
              <w:rPr>
                <w:rFonts w:ascii="Century Gothic"/>
                <w:sz w:val="18"/>
              </w:rPr>
            </w:r>
          </w:p>
        </w:tc>
        <w:tc>
          <w:tcPr>
            <w:tcW w:w="1878" w:type="dxa"/>
            <w:tcBorders>
              <w:top w:val="single" w:sz="6" w:space="0" w:color="000000"/>
              <w:left w:val="single" w:sz="6" w:space="0" w:color="000000"/>
              <w:bottom w:val="single" w:sz="12" w:space="0" w:color="000000"/>
              <w:right w:val="single" w:sz="6" w:space="0" w:color="000000"/>
            </w:tcBorders>
          </w:tcPr>
          <w:p>
            <w:pPr/>
          </w:p>
        </w:tc>
        <w:tc>
          <w:tcPr>
            <w:tcW w:w="190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4"/>
        <w:rPr>
          <w:rFonts w:ascii="宋体" w:hAnsi="宋体" w:cs="宋体" w:eastAsia="宋体" w:hint="default"/>
          <w:b/>
          <w:bCs/>
          <w:sz w:val="23"/>
          <w:szCs w:val="23"/>
        </w:rPr>
      </w:pPr>
    </w:p>
    <w:p>
      <w:pPr>
        <w:spacing w:before="76"/>
        <w:ind w:left="4577" w:right="4555" w:firstLine="0"/>
        <w:jc w:val="center"/>
        <w:rPr>
          <w:rFonts w:ascii="Times New Roman" w:hAnsi="Times New Roman" w:cs="Times New Roman" w:eastAsia="Times New Roman" w:hint="default"/>
          <w:sz w:val="18"/>
          <w:szCs w:val="18"/>
        </w:rPr>
      </w:pPr>
      <w:r>
        <w:rPr>
          <w:rFonts w:ascii="Times New Roman"/>
          <w:sz w:val="18"/>
        </w:rPr>
        <w:t>88</w:t>
      </w:r>
    </w:p>
    <w:p>
      <w:pPr>
        <w:spacing w:after="0"/>
        <w:jc w:val="center"/>
        <w:rPr>
          <w:rFonts w:ascii="Times New Roman" w:hAnsi="Times New Roman" w:cs="Times New Roman" w:eastAsia="Times New Roman" w:hint="default"/>
          <w:sz w:val="18"/>
          <w:szCs w:val="18"/>
        </w:rPr>
        <w:sectPr>
          <w:pgSz w:w="11910" w:h="16840"/>
          <w:pgMar w:top="780" w:bottom="280" w:left="1160" w:right="130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70.860001pt;margin-top:-9.926001pt;width:84.0pt;height:23.94pt;mso-position-horizontal-relative:page;mso-position-vertical-relative:paragraph;z-index:5920"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81" w:type="dxa"/>
        <w:tblLayout w:type="fixed"/>
        <w:tblCellMar>
          <w:top w:w="0" w:type="dxa"/>
          <w:left w:w="0" w:type="dxa"/>
          <w:bottom w:w="0" w:type="dxa"/>
          <w:right w:w="0" w:type="dxa"/>
        </w:tblCellMar>
        <w:tblLook w:val="01E0"/>
      </w:tblPr>
      <w:tblGrid>
        <w:gridCol w:w="3444"/>
        <w:gridCol w:w="1620"/>
        <w:gridCol w:w="1878"/>
        <w:gridCol w:w="1916"/>
      </w:tblGrid>
      <w:tr>
        <w:trPr>
          <w:trHeight w:val="362" w:hRule="exact"/>
        </w:trPr>
        <w:tc>
          <w:tcPr>
            <w:tcW w:w="34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2"/>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7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916"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2"/>
              <w:ind w:right="4"/>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5" w:hRule="exact"/>
        </w:trPr>
        <w:tc>
          <w:tcPr>
            <w:tcW w:w="3444" w:type="dxa"/>
            <w:tcBorders>
              <w:top w:val="single" w:sz="6" w:space="0" w:color="000000"/>
              <w:left w:val="nil" w:sz="6" w:space="0" w:color="auto"/>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w w:val="99"/>
                <w:sz w:val="18"/>
              </w:rPr>
              <w:t>6</w:t>
            </w:r>
            <w:r>
              <w:rPr>
                <w:rFonts w:ascii="Century Gothic"/>
                <w:sz w:val="18"/>
              </w:rPr>
            </w:r>
          </w:p>
        </w:tc>
        <w:tc>
          <w:tcPr>
            <w:tcW w:w="1878"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44" w:type="dxa"/>
            <w:vMerge w:val="restart"/>
            <w:tcBorders>
              <w:top w:val="single" w:sz="6" w:space="0" w:color="000000"/>
              <w:left w:val="nil" w:sz="6" w:space="0" w:color="auto"/>
              <w:right w:val="single" w:sz="6" w:space="0" w:color="000000"/>
            </w:tcBorders>
          </w:tcPr>
          <w:p>
            <w:pPr>
              <w:pStyle w:val="TableParagraph"/>
              <w:spacing w:line="240" w:lineRule="auto" w:before="6"/>
              <w:ind w:right="0"/>
              <w:jc w:val="left"/>
              <w:rPr>
                <w:rFonts w:ascii="黑体" w:hAnsi="黑体" w:cs="黑体" w:eastAsia="黑体" w:hint="default"/>
                <w:b/>
                <w:bCs/>
                <w:sz w:val="19"/>
                <w:szCs w:val="19"/>
              </w:rPr>
            </w:pPr>
          </w:p>
          <w:p>
            <w:pPr>
              <w:pStyle w:val="TableParagraph"/>
              <w:spacing w:line="240" w:lineRule="auto"/>
              <w:ind w:left="122" w:right="89"/>
              <w:jc w:val="left"/>
              <w:rPr>
                <w:rFonts w:ascii="宋体" w:hAnsi="宋体" w:cs="宋体" w:eastAsia="宋体" w:hint="default"/>
                <w:sz w:val="18"/>
                <w:szCs w:val="18"/>
              </w:rPr>
            </w:pPr>
            <w:r>
              <w:rPr>
                <w:rFonts w:ascii="宋体" w:hAnsi="宋体" w:cs="宋体" w:eastAsia="宋体" w:hint="default"/>
                <w:spacing w:val="9"/>
                <w:sz w:val="18"/>
                <w:szCs w:val="18"/>
              </w:rPr>
              <w:t>发行新股或债转股等增加股份下一月份 </w:t>
            </w:r>
            <w:r>
              <w:rPr>
                <w:rFonts w:ascii="宋体" w:hAnsi="宋体" w:cs="宋体" w:eastAsia="宋体" w:hint="default"/>
                <w:sz w:val="18"/>
                <w:szCs w:val="18"/>
              </w:rPr>
              <w:t>起至报告期年末的月份数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w w:val="99"/>
                <w:sz w:val="18"/>
              </w:rPr>
              <w:t>7</w:t>
            </w:r>
            <w:r>
              <w:rPr>
                <w:rFonts w:ascii="Century Gothic"/>
                <w:sz w:val="18"/>
              </w:rPr>
            </w:r>
          </w:p>
        </w:tc>
        <w:tc>
          <w:tcPr>
            <w:tcW w:w="1878"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44" w:type="dxa"/>
            <w:vMerge/>
            <w:tcBorders>
              <w:left w:val="nil" w:sz="6" w:space="0" w:color="auto"/>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w w:val="99"/>
                <w:sz w:val="18"/>
              </w:rPr>
              <w:t>7</w:t>
            </w:r>
            <w:r>
              <w:rPr>
                <w:rFonts w:ascii="Century Gothic"/>
                <w:sz w:val="18"/>
              </w:rPr>
            </w:r>
          </w:p>
        </w:tc>
        <w:tc>
          <w:tcPr>
            <w:tcW w:w="1878"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44" w:type="dxa"/>
            <w:vMerge/>
            <w:tcBorders>
              <w:left w:val="nil" w:sz="6" w:space="0" w:color="auto"/>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w w:val="99"/>
                <w:sz w:val="18"/>
              </w:rPr>
              <w:t>7</w:t>
            </w:r>
            <w:r>
              <w:rPr>
                <w:rFonts w:ascii="Century Gothic"/>
                <w:sz w:val="18"/>
              </w:rPr>
            </w:r>
          </w:p>
        </w:tc>
        <w:tc>
          <w:tcPr>
            <w:tcW w:w="1878"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报告期因回购等减少的股份数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w w:val="99"/>
                <w:sz w:val="18"/>
              </w:rPr>
              <w:t>8</w:t>
            </w:r>
            <w:r>
              <w:rPr>
                <w:rFonts w:ascii="Century Gothic"/>
                <w:sz w:val="18"/>
              </w:rPr>
            </w:r>
          </w:p>
        </w:tc>
        <w:tc>
          <w:tcPr>
            <w:tcW w:w="1878"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344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减少股份下一月份起至报告期年末的月</w:t>
            </w:r>
            <w:r>
              <w:rPr>
                <w:rFonts w:ascii="宋体" w:hAnsi="宋体" w:cs="宋体" w:eastAsia="宋体" w:hint="default"/>
                <w:sz w:val="18"/>
                <w:szCs w:val="18"/>
              </w:rPr>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份数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100" w:right="0"/>
              <w:jc w:val="left"/>
              <w:rPr>
                <w:rFonts w:ascii="Century Gothic" w:hAnsi="Century Gothic" w:cs="Century Gothic" w:eastAsia="Century Gothic" w:hint="default"/>
                <w:sz w:val="18"/>
                <w:szCs w:val="18"/>
              </w:rPr>
            </w:pPr>
            <w:r>
              <w:rPr>
                <w:rFonts w:ascii="Century Gothic"/>
                <w:w w:val="99"/>
                <w:sz w:val="18"/>
              </w:rPr>
              <w:t>9</w:t>
            </w:r>
            <w:r>
              <w:rPr>
                <w:rFonts w:ascii="Century Gothic"/>
                <w:sz w:val="18"/>
              </w:rPr>
            </w:r>
          </w:p>
        </w:tc>
        <w:tc>
          <w:tcPr>
            <w:tcW w:w="1878"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sz w:val="18"/>
              </w:rPr>
              <w:t>10</w:t>
            </w:r>
          </w:p>
        </w:tc>
        <w:tc>
          <w:tcPr>
            <w:tcW w:w="1878"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sz w:val="18"/>
              </w:rPr>
              <w:t>11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pacing w:val="-1"/>
                <w:sz w:val="18"/>
              </w:rPr>
              <w:t>12.00</w:t>
            </w:r>
            <w:r>
              <w:rPr>
                <w:rFonts w:ascii="Century Gothic"/>
                <w:sz w:val="18"/>
              </w:rPr>
            </w: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4"/>
              <w:jc w:val="right"/>
              <w:rPr>
                <w:rFonts w:ascii="Century Gothic" w:hAnsi="Century Gothic" w:cs="Century Gothic" w:eastAsia="Century Gothic" w:hint="default"/>
                <w:sz w:val="18"/>
                <w:szCs w:val="18"/>
              </w:rPr>
            </w:pPr>
            <w:r>
              <w:rPr>
                <w:rFonts w:ascii="Century Gothic"/>
                <w:spacing w:val="-1"/>
                <w:sz w:val="18"/>
              </w:rPr>
              <w:t>12.00</w:t>
            </w:r>
          </w:p>
        </w:tc>
      </w:tr>
      <w:tr>
        <w:trPr>
          <w:trHeight w:val="456" w:hRule="exact"/>
        </w:trPr>
        <w:tc>
          <w:tcPr>
            <w:tcW w:w="3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Century Gothic" w:hAnsi="Century Gothic" w:cs="Century Gothic" w:eastAsia="Century Gothic" w:hint="default"/>
                <w:sz w:val="18"/>
                <w:szCs w:val="18"/>
              </w:rPr>
            </w:pPr>
            <w:r>
              <w:rPr>
                <w:rFonts w:ascii="Century Gothic" w:hAnsi="Century Gothic" w:cs="Century Gothic" w:eastAsia="Century Gothic" w:hint="default"/>
                <w:sz w:val="18"/>
                <w:szCs w:val="18"/>
              </w:rPr>
              <w:t>12=4+5+6×7</w:t>
            </w:r>
          </w:p>
          <w:p>
            <w:pPr>
              <w:pStyle w:val="TableParagraph"/>
              <w:spacing w:line="240" w:lineRule="auto"/>
              <w:ind w:left="100" w:right="0"/>
              <w:jc w:val="left"/>
              <w:rPr>
                <w:rFonts w:ascii="Century Gothic" w:hAnsi="Century Gothic" w:cs="Century Gothic" w:eastAsia="Century Gothic" w:hint="default"/>
                <w:sz w:val="18"/>
                <w:szCs w:val="18"/>
              </w:rPr>
            </w:pPr>
            <w:r>
              <w:rPr>
                <w:rFonts w:ascii="Century Gothic" w:hAnsi="Century Gothic" w:cs="Century Gothic" w:eastAsia="Century Gothic" w:hint="default"/>
                <w:sz w:val="18"/>
                <w:szCs w:val="18"/>
              </w:rPr>
              <w:t>÷11-8×9÷11-10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Century Gothic" w:hAnsi="Century Gothic" w:cs="Century Gothic" w:eastAsia="Century Gothic" w:hint="default"/>
                <w:sz w:val="18"/>
                <w:szCs w:val="18"/>
              </w:rPr>
            </w:pPr>
            <w:r>
              <w:rPr>
                <w:rFonts w:ascii="Century Gothic"/>
                <w:spacing w:val="-1"/>
                <w:sz w:val="18"/>
              </w:rPr>
              <w:t>487,731,995.00</w:t>
            </w: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5"/>
              <w:jc w:val="right"/>
              <w:rPr>
                <w:rFonts w:ascii="Century Gothic" w:hAnsi="Century Gothic" w:cs="Century Gothic" w:eastAsia="Century Gothic" w:hint="default"/>
                <w:sz w:val="18"/>
                <w:szCs w:val="18"/>
              </w:rPr>
            </w:pPr>
            <w:r>
              <w:rPr>
                <w:rFonts w:ascii="Century Gothic"/>
                <w:spacing w:val="-1"/>
                <w:sz w:val="18"/>
              </w:rPr>
              <w:t>487,731,995.00</w:t>
            </w:r>
          </w:p>
        </w:tc>
      </w:tr>
      <w:tr>
        <w:trPr>
          <w:trHeight w:val="482" w:hRule="exact"/>
        </w:trPr>
        <w:tc>
          <w:tcPr>
            <w:tcW w:w="344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9"/>
                <w:sz w:val="18"/>
                <w:szCs w:val="18"/>
              </w:rPr>
              <w:t>因同一控制下企业合并而调整的发行在</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外的普通股加权平均数（Ⅱ）</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Century Gothic" w:hAnsi="Century Gothic" w:cs="Century Gothic" w:eastAsia="Century Gothic" w:hint="default"/>
                <w:sz w:val="18"/>
                <w:szCs w:val="18"/>
              </w:rPr>
            </w:pPr>
            <w:r>
              <w:rPr>
                <w:rFonts w:ascii="Century Gothic"/>
                <w:sz w:val="18"/>
              </w:rPr>
              <w:t>13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Century Gothic" w:hAnsi="Century Gothic" w:cs="Century Gothic" w:eastAsia="Century Gothic" w:hint="default"/>
                <w:sz w:val="18"/>
                <w:szCs w:val="18"/>
              </w:rPr>
            </w:pPr>
            <w:r>
              <w:rPr>
                <w:rFonts w:ascii="Century Gothic"/>
                <w:spacing w:val="-1"/>
                <w:sz w:val="18"/>
              </w:rPr>
              <w:t>487,731,995.00</w:t>
            </w: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5"/>
              <w:jc w:val="right"/>
              <w:rPr>
                <w:rFonts w:ascii="Century Gothic" w:hAnsi="Century Gothic" w:cs="Century Gothic" w:eastAsia="Century Gothic" w:hint="default"/>
                <w:sz w:val="18"/>
                <w:szCs w:val="18"/>
              </w:rPr>
            </w:pPr>
            <w:r>
              <w:rPr>
                <w:rFonts w:ascii="Century Gothic"/>
                <w:spacing w:val="-1"/>
                <w:sz w:val="18"/>
              </w:rPr>
              <w:t>487,731,995.00</w:t>
            </w:r>
          </w:p>
        </w:tc>
      </w:tr>
      <w:tr>
        <w:trPr>
          <w:trHeight w:val="355" w:hRule="exact"/>
        </w:trPr>
        <w:tc>
          <w:tcPr>
            <w:tcW w:w="3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hAnsi="Century Gothic" w:cs="Century Gothic" w:eastAsia="Century Gothic" w:hint="default"/>
                <w:sz w:val="18"/>
                <w:szCs w:val="18"/>
              </w:rPr>
              <w:t>14=1÷12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pacing w:val="-1"/>
                <w:w w:val="95"/>
                <w:sz w:val="18"/>
              </w:rPr>
              <w:t>-0.17</w:t>
            </w:r>
            <w:r>
              <w:rPr>
                <w:rFonts w:ascii="Century Gothic"/>
                <w:sz w:val="18"/>
              </w:rPr>
            </w: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Century Gothic" w:hAnsi="Century Gothic" w:cs="Century Gothic" w:eastAsia="Century Gothic" w:hint="default"/>
                <w:sz w:val="18"/>
                <w:szCs w:val="18"/>
              </w:rPr>
            </w:pPr>
            <w:r>
              <w:rPr>
                <w:rFonts w:ascii="Century Gothic"/>
                <w:spacing w:val="-1"/>
                <w:sz w:val="18"/>
              </w:rPr>
              <w:t>0.01</w:t>
            </w:r>
            <w:r>
              <w:rPr>
                <w:rFonts w:ascii="Century Gothic"/>
                <w:sz w:val="18"/>
              </w:rPr>
            </w:r>
          </w:p>
        </w:tc>
      </w:tr>
      <w:tr>
        <w:trPr>
          <w:trHeight w:val="355" w:hRule="exact"/>
        </w:trPr>
        <w:tc>
          <w:tcPr>
            <w:tcW w:w="3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hAnsi="Century Gothic" w:cs="Century Gothic" w:eastAsia="Century Gothic" w:hint="default"/>
                <w:sz w:val="18"/>
                <w:szCs w:val="18"/>
              </w:rPr>
              <w:t>15=3÷13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9"/>
              <w:jc w:val="right"/>
              <w:rPr>
                <w:rFonts w:ascii="Century Gothic" w:hAnsi="Century Gothic" w:cs="Century Gothic" w:eastAsia="Century Gothic" w:hint="default"/>
                <w:sz w:val="18"/>
                <w:szCs w:val="18"/>
              </w:rPr>
            </w:pPr>
            <w:r>
              <w:rPr>
                <w:rFonts w:ascii="Century Gothic"/>
                <w:spacing w:val="-1"/>
                <w:w w:val="95"/>
                <w:sz w:val="18"/>
              </w:rPr>
              <w:t>-0.16</w:t>
            </w:r>
            <w:r>
              <w:rPr>
                <w:rFonts w:ascii="Century Gothic"/>
                <w:sz w:val="18"/>
              </w:rPr>
            </w: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5"/>
              <w:jc w:val="right"/>
              <w:rPr>
                <w:rFonts w:ascii="Century Gothic" w:hAnsi="Century Gothic" w:cs="Century Gothic" w:eastAsia="Century Gothic" w:hint="default"/>
                <w:sz w:val="18"/>
                <w:szCs w:val="18"/>
              </w:rPr>
            </w:pPr>
            <w:r>
              <w:rPr>
                <w:rFonts w:ascii="Century Gothic"/>
                <w:spacing w:val="-1"/>
                <w:w w:val="95"/>
                <w:sz w:val="18"/>
              </w:rPr>
              <w:t>-0.03</w:t>
            </w:r>
            <w:r>
              <w:rPr>
                <w:rFonts w:ascii="Century Gothic"/>
                <w:sz w:val="18"/>
              </w:rPr>
            </w:r>
          </w:p>
        </w:tc>
      </w:tr>
      <w:tr>
        <w:trPr>
          <w:trHeight w:val="355" w:hRule="exact"/>
        </w:trPr>
        <w:tc>
          <w:tcPr>
            <w:tcW w:w="3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sz w:val="18"/>
              </w:rPr>
              <w:t>16</w:t>
            </w:r>
          </w:p>
        </w:tc>
        <w:tc>
          <w:tcPr>
            <w:tcW w:w="1878"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sz w:val="18"/>
              </w:rPr>
              <w:t>17</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Century Gothic" w:hAnsi="Century Gothic" w:cs="Century Gothic" w:eastAsia="Century Gothic" w:hint="default"/>
                <w:sz w:val="18"/>
                <w:szCs w:val="18"/>
              </w:rPr>
            </w:pPr>
            <w:r>
              <w:rPr>
                <w:rFonts w:ascii="Century Gothic"/>
                <w:spacing w:val="-1"/>
                <w:w w:val="95"/>
                <w:sz w:val="18"/>
              </w:rPr>
              <w:t>15%</w:t>
            </w:r>
            <w:r>
              <w:rPr>
                <w:rFonts w:ascii="Century Gothic"/>
                <w:sz w:val="18"/>
              </w:rPr>
            </w: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4"/>
              <w:jc w:val="right"/>
              <w:rPr>
                <w:rFonts w:ascii="Century Gothic" w:hAnsi="Century Gothic" w:cs="Century Gothic" w:eastAsia="Century Gothic" w:hint="default"/>
                <w:sz w:val="18"/>
                <w:szCs w:val="18"/>
              </w:rPr>
            </w:pPr>
            <w:r>
              <w:rPr>
                <w:rFonts w:ascii="Century Gothic"/>
                <w:spacing w:val="-1"/>
                <w:w w:val="95"/>
                <w:sz w:val="18"/>
              </w:rPr>
              <w:t>15%</w:t>
            </w:r>
            <w:r>
              <w:rPr>
                <w:rFonts w:ascii="Century Gothic"/>
                <w:sz w:val="18"/>
              </w:rPr>
            </w:r>
          </w:p>
        </w:tc>
      </w:tr>
      <w:tr>
        <w:trPr>
          <w:trHeight w:val="355" w:hRule="exact"/>
        </w:trPr>
        <w:tc>
          <w:tcPr>
            <w:tcW w:w="3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0"/>
              <w:jc w:val="left"/>
              <w:rPr>
                <w:rFonts w:ascii="Century Gothic" w:hAnsi="Century Gothic" w:cs="Century Gothic" w:eastAsia="Century Gothic" w:hint="default"/>
                <w:sz w:val="18"/>
                <w:szCs w:val="18"/>
              </w:rPr>
            </w:pPr>
            <w:r>
              <w:rPr>
                <w:rFonts w:ascii="Century Gothic"/>
                <w:sz w:val="18"/>
              </w:rPr>
              <w:t>18</w:t>
            </w:r>
          </w:p>
        </w:tc>
        <w:tc>
          <w:tcPr>
            <w:tcW w:w="1878"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344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可转换公司债券、认股权证、股份期权等</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转换或行权而增加的股份数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Century Gothic" w:hAnsi="Century Gothic" w:cs="Century Gothic" w:eastAsia="Century Gothic" w:hint="default"/>
                <w:sz w:val="18"/>
                <w:szCs w:val="18"/>
              </w:rPr>
            </w:pPr>
            <w:r>
              <w:rPr>
                <w:rFonts w:ascii="Century Gothic"/>
                <w:sz w:val="18"/>
              </w:rPr>
              <w:t>19</w:t>
            </w:r>
          </w:p>
        </w:tc>
        <w:tc>
          <w:tcPr>
            <w:tcW w:w="1878" w:type="dxa"/>
            <w:tcBorders>
              <w:top w:val="single" w:sz="6" w:space="0" w:color="000000"/>
              <w:left w:val="single" w:sz="6" w:space="0" w:color="000000"/>
              <w:bottom w:val="single" w:sz="6" w:space="0" w:color="000000"/>
              <w:right w:val="single" w:sz="6" w:space="0" w:color="000000"/>
            </w:tcBorders>
          </w:tcPr>
          <w:p>
            <w:pPr/>
          </w:p>
        </w:tc>
        <w:tc>
          <w:tcPr>
            <w:tcW w:w="1916" w:type="dxa"/>
            <w:tcBorders>
              <w:top w:val="single" w:sz="6" w:space="0" w:color="000000"/>
              <w:left w:val="single" w:sz="6" w:space="0" w:color="000000"/>
              <w:bottom w:val="single" w:sz="6" w:space="0" w:color="000000"/>
              <w:right w:val="nil" w:sz="6" w:space="0" w:color="auto"/>
            </w:tcBorders>
          </w:tcPr>
          <w:p>
            <w:pPr/>
          </w:p>
        </w:tc>
      </w:tr>
      <w:tr>
        <w:trPr>
          <w:trHeight w:val="456" w:hRule="exact"/>
        </w:trPr>
        <w:tc>
          <w:tcPr>
            <w:tcW w:w="34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4"/>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Century Gothic" w:hAnsi="Century Gothic" w:cs="Century Gothic" w:eastAsia="Century Gothic" w:hint="default"/>
                <w:sz w:val="18"/>
                <w:szCs w:val="18"/>
              </w:rPr>
            </w:pPr>
            <w:r>
              <w:rPr>
                <w:rFonts w:ascii="Century Gothic" w:hAnsi="Century Gothic" w:cs="Century Gothic" w:eastAsia="Century Gothic" w:hint="default"/>
                <w:sz w:val="18"/>
                <w:szCs w:val="18"/>
              </w:rPr>
              <w:t>120=[1+(16-18)×</w:t>
            </w:r>
          </w:p>
          <w:p>
            <w:pPr>
              <w:pStyle w:val="TableParagraph"/>
              <w:spacing w:line="240" w:lineRule="auto"/>
              <w:ind w:left="100" w:right="0"/>
              <w:jc w:val="left"/>
              <w:rPr>
                <w:rFonts w:ascii="Century Gothic" w:hAnsi="Century Gothic" w:cs="Century Gothic" w:eastAsia="Century Gothic" w:hint="default"/>
                <w:sz w:val="18"/>
                <w:szCs w:val="18"/>
              </w:rPr>
            </w:pPr>
            <w:r>
              <w:rPr>
                <w:rFonts w:ascii="Century Gothic" w:hAnsi="Century Gothic" w:cs="Century Gothic" w:eastAsia="Century Gothic" w:hint="default"/>
                <w:sz w:val="18"/>
                <w:szCs w:val="18"/>
              </w:rPr>
              <w:t>(1-17)]÷(12+19)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Century Gothic" w:hAnsi="Century Gothic" w:cs="Century Gothic" w:eastAsia="Century Gothic" w:hint="default"/>
                <w:sz w:val="18"/>
                <w:szCs w:val="18"/>
              </w:rPr>
            </w:pPr>
            <w:r>
              <w:rPr>
                <w:rFonts w:ascii="Century Gothic"/>
                <w:spacing w:val="-1"/>
                <w:w w:val="95"/>
                <w:sz w:val="18"/>
              </w:rPr>
              <w:t>-0.17</w:t>
            </w:r>
            <w:r>
              <w:rPr>
                <w:rFonts w:ascii="Century Gothic"/>
                <w:sz w:val="18"/>
              </w:rPr>
            </w:r>
          </w:p>
        </w:tc>
        <w:tc>
          <w:tcPr>
            <w:tcW w:w="19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1"/>
              <w:ind w:right="105"/>
              <w:jc w:val="right"/>
              <w:rPr>
                <w:rFonts w:ascii="Century Gothic" w:hAnsi="Century Gothic" w:cs="Century Gothic" w:eastAsia="Century Gothic" w:hint="default"/>
                <w:sz w:val="18"/>
                <w:szCs w:val="18"/>
              </w:rPr>
            </w:pPr>
            <w:r>
              <w:rPr>
                <w:rFonts w:ascii="Century Gothic"/>
                <w:spacing w:val="-1"/>
                <w:sz w:val="18"/>
              </w:rPr>
              <w:t>0.01</w:t>
            </w:r>
            <w:r>
              <w:rPr>
                <w:rFonts w:ascii="Century Gothic"/>
                <w:sz w:val="18"/>
              </w:rPr>
            </w:r>
          </w:p>
        </w:tc>
      </w:tr>
      <w:tr>
        <w:trPr>
          <w:trHeight w:val="478" w:hRule="exact"/>
        </w:trPr>
        <w:tc>
          <w:tcPr>
            <w:tcW w:w="344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21" w:lineRule="exact"/>
              <w:ind w:left="100" w:right="0"/>
              <w:jc w:val="left"/>
              <w:rPr>
                <w:rFonts w:ascii="Century Gothic" w:hAnsi="Century Gothic" w:cs="Century Gothic" w:eastAsia="Century Gothic" w:hint="default"/>
                <w:sz w:val="18"/>
                <w:szCs w:val="18"/>
              </w:rPr>
            </w:pPr>
            <w:r>
              <w:rPr>
                <w:rFonts w:ascii="Century Gothic" w:hAnsi="Century Gothic" w:cs="Century Gothic" w:eastAsia="Century Gothic" w:hint="default"/>
                <w:sz w:val="18"/>
                <w:szCs w:val="18"/>
              </w:rPr>
              <w:t>21=[3+(16</w:t>
            </w:r>
            <w:r>
              <w:rPr>
                <w:rFonts w:ascii="宋体" w:hAnsi="宋体" w:cs="宋体" w:eastAsia="宋体" w:hint="default"/>
                <w:sz w:val="18"/>
                <w:szCs w:val="18"/>
              </w:rPr>
              <w:t>－</w:t>
            </w:r>
            <w:r>
              <w:rPr>
                <w:rFonts w:ascii="Century Gothic" w:hAnsi="Century Gothic" w:cs="Century Gothic" w:eastAsia="Century Gothic" w:hint="default"/>
                <w:sz w:val="18"/>
                <w:szCs w:val="18"/>
              </w:rPr>
              <w:t>18)</w:t>
            </w:r>
          </w:p>
          <w:p>
            <w:pPr>
              <w:pStyle w:val="TableParagraph"/>
              <w:spacing w:line="240" w:lineRule="auto" w:before="15"/>
              <w:ind w:left="100" w:right="0"/>
              <w:jc w:val="left"/>
              <w:rPr>
                <w:rFonts w:ascii="Century Gothic" w:hAnsi="Century Gothic" w:cs="Century Gothic" w:eastAsia="Century Gothic" w:hint="default"/>
                <w:sz w:val="18"/>
                <w:szCs w:val="18"/>
              </w:rPr>
            </w:pPr>
            <w:r>
              <w:rPr>
                <w:rFonts w:ascii="Century Gothic" w:hAnsi="Century Gothic" w:cs="Century Gothic" w:eastAsia="Century Gothic" w:hint="default"/>
                <w:sz w:val="18"/>
                <w:szCs w:val="18"/>
              </w:rPr>
              <w:t>×(1-17)]÷(13+19)</w:t>
            </w:r>
          </w:p>
        </w:tc>
        <w:tc>
          <w:tcPr>
            <w:tcW w:w="18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98"/>
              <w:jc w:val="right"/>
              <w:rPr>
                <w:rFonts w:ascii="Century Gothic" w:hAnsi="Century Gothic" w:cs="Century Gothic" w:eastAsia="Century Gothic" w:hint="default"/>
                <w:sz w:val="21"/>
                <w:szCs w:val="21"/>
              </w:rPr>
            </w:pPr>
            <w:r>
              <w:rPr>
                <w:rFonts w:ascii="Century Gothic"/>
                <w:spacing w:val="-1"/>
                <w:sz w:val="21"/>
              </w:rPr>
              <w:t>-0.16</w:t>
            </w:r>
            <w:r>
              <w:rPr>
                <w:rFonts w:ascii="Century Gothic"/>
                <w:sz w:val="21"/>
              </w:rPr>
            </w:r>
          </w:p>
        </w:tc>
        <w:tc>
          <w:tcPr>
            <w:tcW w:w="191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104"/>
              <w:jc w:val="right"/>
              <w:rPr>
                <w:rFonts w:ascii="Century Gothic" w:hAnsi="Century Gothic" w:cs="Century Gothic" w:eastAsia="Century Gothic" w:hint="default"/>
                <w:sz w:val="21"/>
                <w:szCs w:val="21"/>
              </w:rPr>
            </w:pPr>
            <w:r>
              <w:rPr>
                <w:rFonts w:ascii="Century Gothic"/>
                <w:spacing w:val="-1"/>
                <w:sz w:val="21"/>
              </w:rPr>
              <w:t>-0.03</w:t>
            </w:r>
            <w:r>
              <w:rPr>
                <w:rFonts w:ascii="Century Gothic"/>
                <w:sz w:val="21"/>
              </w:rPr>
            </w:r>
          </w:p>
        </w:tc>
      </w:tr>
    </w:tbl>
    <w:p>
      <w:pPr>
        <w:pStyle w:val="BodyText"/>
        <w:spacing w:line="336" w:lineRule="auto" w:before="94"/>
        <w:ind w:left="558" w:right="7023"/>
        <w:jc w:val="left"/>
        <w:rPr>
          <w:rFonts w:ascii="Century Gothic" w:hAnsi="Century Gothic" w:cs="Century Gothic" w:eastAsia="Century Gothic" w:hint="default"/>
        </w:rPr>
      </w:pPr>
      <w:r>
        <w:rPr/>
        <w:t>（</w:t>
      </w:r>
      <w:r>
        <w:rPr>
          <w:rFonts w:ascii="Century Gothic" w:hAnsi="Century Gothic" w:cs="Century Gothic" w:eastAsia="Century Gothic" w:hint="default"/>
        </w:rPr>
        <w:t>1</w:t>
      </w:r>
      <w:r>
        <w:rPr/>
        <w:t>）基本每股收益 基本每股收益</w:t>
      </w:r>
      <w:r>
        <w:rPr>
          <w:rFonts w:ascii="Century Gothic" w:hAnsi="Century Gothic" w:cs="Century Gothic" w:eastAsia="Century Gothic" w:hint="default"/>
        </w:rPr>
        <w:t>=P0</w:t>
      </w:r>
      <w:r>
        <w:rPr/>
        <w:t>÷</w:t>
      </w:r>
      <w:r>
        <w:rPr>
          <w:rFonts w:ascii="Century Gothic" w:hAnsi="Century Gothic" w:cs="Century Gothic" w:eastAsia="Century Gothic" w:hint="default"/>
        </w:rPr>
        <w:t>S</w:t>
      </w:r>
    </w:p>
    <w:p>
      <w:pPr>
        <w:pStyle w:val="BodyText"/>
        <w:spacing w:line="240" w:lineRule="auto" w:before="17"/>
        <w:ind w:left="558" w:right="152"/>
        <w:jc w:val="left"/>
        <w:rPr>
          <w:rFonts w:ascii="Century Gothic" w:hAnsi="Century Gothic" w:cs="Century Gothic" w:eastAsia="Century Gothic" w:hint="default"/>
        </w:rPr>
      </w:pPr>
      <w:r>
        <w:rPr>
          <w:rFonts w:ascii="Century Gothic" w:hAnsi="Century Gothic" w:cs="Century Gothic" w:eastAsia="Century Gothic" w:hint="default"/>
        </w:rPr>
        <w:t>S= S0</w:t>
      </w:r>
      <w:r>
        <w:rPr/>
        <w:t>＋</w:t>
      </w:r>
      <w:r>
        <w:rPr>
          <w:rFonts w:ascii="Century Gothic" w:hAnsi="Century Gothic" w:cs="Century Gothic" w:eastAsia="Century Gothic" w:hint="default"/>
        </w:rPr>
        <w:t>S1</w:t>
      </w:r>
      <w:r>
        <w:rPr/>
        <w:t>＋</w:t>
      </w:r>
      <w:r>
        <w:rPr>
          <w:rFonts w:ascii="Century Gothic" w:hAnsi="Century Gothic" w:cs="Century Gothic" w:eastAsia="Century Gothic" w:hint="default"/>
        </w:rPr>
        <w:t>Si</w:t>
      </w:r>
      <w:r>
        <w:rPr/>
        <w:t>×</w:t>
      </w:r>
      <w:r>
        <w:rPr>
          <w:rFonts w:ascii="Century Gothic" w:hAnsi="Century Gothic" w:cs="Century Gothic" w:eastAsia="Century Gothic" w:hint="default"/>
        </w:rPr>
        <w:t>Mi</w:t>
      </w:r>
      <w:r>
        <w:rPr/>
        <w:t>÷</w:t>
      </w:r>
      <w:r>
        <w:rPr>
          <w:rFonts w:ascii="Century Gothic" w:hAnsi="Century Gothic" w:cs="Century Gothic" w:eastAsia="Century Gothic" w:hint="default"/>
        </w:rPr>
        <w:t>M0</w:t>
      </w:r>
      <w:r>
        <w:rPr/>
        <w:t>–</w:t>
      </w:r>
      <w:r>
        <w:rPr>
          <w:spacing w:val="-9"/>
        </w:rPr>
        <w:t> </w:t>
      </w:r>
      <w:r>
        <w:rPr>
          <w:rFonts w:ascii="Century Gothic" w:hAnsi="Century Gothic" w:cs="Century Gothic" w:eastAsia="Century Gothic" w:hint="default"/>
        </w:rPr>
        <w:t>Sj</w:t>
      </w:r>
      <w:r>
        <w:rPr/>
        <w:t>×</w:t>
      </w:r>
      <w:r>
        <w:rPr>
          <w:rFonts w:ascii="Century Gothic" w:hAnsi="Century Gothic" w:cs="Century Gothic" w:eastAsia="Century Gothic" w:hint="default"/>
        </w:rPr>
        <w:t>Mj</w:t>
      </w:r>
      <w:r>
        <w:rPr/>
        <w:t>÷</w:t>
      </w:r>
      <w:r>
        <w:rPr>
          <w:rFonts w:ascii="Century Gothic" w:hAnsi="Century Gothic" w:cs="Century Gothic" w:eastAsia="Century Gothic" w:hint="default"/>
        </w:rPr>
        <w:t>M0-Sk</w:t>
      </w:r>
    </w:p>
    <w:p>
      <w:pPr>
        <w:pStyle w:val="BodyText"/>
        <w:spacing w:line="336" w:lineRule="auto" w:before="119"/>
        <w:ind w:right="93" w:firstLine="420"/>
        <w:jc w:val="left"/>
      </w:pPr>
      <w:r>
        <w:rPr>
          <w:spacing w:val="-6"/>
        </w:rPr>
        <w:t>其中：</w:t>
      </w:r>
      <w:r>
        <w:rPr>
          <w:rFonts w:ascii="Century Gothic" w:hAnsi="Century Gothic" w:cs="Century Gothic" w:eastAsia="Century Gothic" w:hint="default"/>
          <w:spacing w:val="-6"/>
        </w:rPr>
        <w:t>P0 </w:t>
      </w:r>
      <w:r>
        <w:rPr/>
        <w:t>为归属于公司普通股股东的净利润或扣除非经常性损益后归属于普通股股东的净利润； </w:t>
      </w:r>
      <w:r>
        <w:rPr>
          <w:rFonts w:ascii="Century Gothic" w:hAnsi="Century Gothic" w:cs="Century Gothic" w:eastAsia="Century Gothic" w:hint="default"/>
        </w:rPr>
        <w:t>S </w:t>
      </w:r>
      <w:r>
        <w:rPr/>
        <w:t>为发行在外的普通股加权平均数；</w:t>
      </w:r>
      <w:r>
        <w:rPr>
          <w:rFonts w:ascii="Century Gothic" w:hAnsi="Century Gothic" w:cs="Century Gothic" w:eastAsia="Century Gothic" w:hint="default"/>
        </w:rPr>
        <w:t>S0 </w:t>
      </w:r>
      <w:r>
        <w:rPr/>
        <w:t>为期初股份总数；</w:t>
      </w:r>
      <w:r>
        <w:rPr>
          <w:rFonts w:ascii="Century Gothic" w:hAnsi="Century Gothic" w:cs="Century Gothic" w:eastAsia="Century Gothic" w:hint="default"/>
        </w:rPr>
        <w:t>S1</w:t>
      </w:r>
      <w:r>
        <w:rPr>
          <w:rFonts w:ascii="Century Gothic" w:hAnsi="Century Gothic" w:cs="Century Gothic" w:eastAsia="Century Gothic" w:hint="default"/>
          <w:spacing w:val="-19"/>
        </w:rPr>
        <w:t> </w:t>
      </w:r>
      <w:r>
        <w:rPr/>
        <w:t>为报告期因公积金转增股本或股票股利 </w:t>
      </w:r>
      <w:r>
        <w:rPr>
          <w:spacing w:val="-7"/>
        </w:rPr>
        <w:t>分配等增加股份数；</w:t>
      </w:r>
      <w:r>
        <w:rPr>
          <w:rFonts w:ascii="Century Gothic" w:hAnsi="Century Gothic" w:cs="Century Gothic" w:eastAsia="Century Gothic" w:hint="default"/>
          <w:spacing w:val="-7"/>
        </w:rPr>
        <w:t>Si</w:t>
      </w:r>
      <w:r>
        <w:rPr>
          <w:rFonts w:ascii="Century Gothic" w:hAnsi="Century Gothic" w:cs="Century Gothic" w:eastAsia="Century Gothic" w:hint="default"/>
          <w:spacing w:val="5"/>
        </w:rPr>
        <w:t> </w:t>
      </w:r>
      <w:r>
        <w:rPr>
          <w:spacing w:val="-4"/>
        </w:rPr>
        <w:t>为报告期因发行新股或债转股等增加股份数；</w:t>
      </w:r>
      <w:r>
        <w:rPr>
          <w:rFonts w:ascii="Century Gothic" w:hAnsi="Century Gothic" w:cs="Century Gothic" w:eastAsia="Century Gothic" w:hint="default"/>
          <w:spacing w:val="-4"/>
        </w:rPr>
        <w:t>Sj</w:t>
      </w:r>
      <w:r>
        <w:rPr>
          <w:rFonts w:ascii="Century Gothic" w:hAnsi="Century Gothic" w:cs="Century Gothic" w:eastAsia="Century Gothic" w:hint="default"/>
          <w:spacing w:val="7"/>
        </w:rPr>
        <w:t> </w:t>
      </w:r>
      <w:r>
        <w:rPr/>
        <w:t>为报告期因回购等减少股份数；</w:t>
      </w:r>
      <w:r>
        <w:rPr>
          <w:spacing w:val="-103"/>
        </w:rPr>
        <w:t> </w:t>
      </w:r>
      <w:r>
        <w:rPr>
          <w:rFonts w:ascii="Century Gothic" w:hAnsi="Century Gothic" w:cs="Century Gothic" w:eastAsia="Century Gothic" w:hint="default"/>
        </w:rPr>
        <w:t>Sk </w:t>
      </w:r>
      <w:r>
        <w:rPr/>
        <w:t>为报告期缩股数；</w:t>
      </w:r>
      <w:r>
        <w:rPr>
          <w:rFonts w:ascii="Century Gothic" w:hAnsi="Century Gothic" w:cs="Century Gothic" w:eastAsia="Century Gothic" w:hint="default"/>
        </w:rPr>
        <w:t>M0 </w:t>
      </w:r>
      <w:r>
        <w:rPr/>
        <w:t>报告期月份数；</w:t>
      </w:r>
      <w:r>
        <w:rPr>
          <w:rFonts w:ascii="Century Gothic" w:hAnsi="Century Gothic" w:cs="Century Gothic" w:eastAsia="Century Gothic" w:hint="default"/>
        </w:rPr>
        <w:t>Mi </w:t>
      </w:r>
      <w:r>
        <w:rPr/>
        <w:t>为增加股份次月起至报告期期末的累计月数；</w:t>
      </w:r>
      <w:r>
        <w:rPr>
          <w:rFonts w:ascii="Century Gothic" w:hAnsi="Century Gothic" w:cs="Century Gothic" w:eastAsia="Century Gothic" w:hint="default"/>
        </w:rPr>
        <w:t>Mj</w:t>
      </w:r>
      <w:r>
        <w:rPr>
          <w:rFonts w:ascii="Century Gothic" w:hAnsi="Century Gothic" w:cs="Century Gothic" w:eastAsia="Century Gothic" w:hint="default"/>
          <w:spacing w:val="-26"/>
        </w:rPr>
        <w:t> </w:t>
      </w:r>
      <w:r>
        <w:rPr/>
        <w:t>为减少 股份次月起至报告期期末的累计月数。</w:t>
      </w:r>
    </w:p>
    <w:p>
      <w:pPr>
        <w:pStyle w:val="BodyText"/>
        <w:spacing w:line="336" w:lineRule="auto" w:before="50"/>
        <w:ind w:left="558" w:right="152"/>
        <w:jc w:val="left"/>
      </w:pPr>
      <w:r>
        <w:rPr/>
        <w:t>（</w:t>
      </w:r>
      <w:r>
        <w:rPr>
          <w:rFonts w:ascii="Century Gothic" w:hAnsi="Century Gothic" w:cs="Century Gothic" w:eastAsia="Century Gothic" w:hint="default"/>
        </w:rPr>
        <w:t>2</w:t>
      </w:r>
      <w:r>
        <w:rPr/>
        <w:t>）稀释每股收益 </w:t>
      </w:r>
      <w:r>
        <w:rPr>
          <w:spacing w:val="-1"/>
        </w:rPr>
        <w:t>稀释每股收益</w:t>
      </w:r>
      <w:r>
        <w:rPr>
          <w:rFonts w:ascii="Century Gothic" w:hAnsi="Century Gothic" w:cs="Century Gothic" w:eastAsia="Century Gothic" w:hint="default"/>
          <w:spacing w:val="-1"/>
        </w:rPr>
        <w:t>=P1/(S0</w:t>
      </w:r>
      <w:r>
        <w:rPr>
          <w:spacing w:val="-1"/>
        </w:rPr>
        <w:t>＋</w:t>
      </w:r>
      <w:r>
        <w:rPr>
          <w:rFonts w:ascii="Century Gothic" w:hAnsi="Century Gothic" w:cs="Century Gothic" w:eastAsia="Century Gothic" w:hint="default"/>
          <w:spacing w:val="-1"/>
        </w:rPr>
        <w:t>S1</w:t>
      </w:r>
      <w:r>
        <w:rPr>
          <w:spacing w:val="-1"/>
        </w:rPr>
        <w:t>＋</w:t>
      </w:r>
      <w:r>
        <w:rPr>
          <w:rFonts w:ascii="Century Gothic" w:hAnsi="Century Gothic" w:cs="Century Gothic" w:eastAsia="Century Gothic" w:hint="default"/>
          <w:spacing w:val="-1"/>
        </w:rPr>
        <w:t>Si</w:t>
      </w:r>
      <w:r>
        <w:rPr>
          <w:spacing w:val="-1"/>
        </w:rPr>
        <w:t>×</w:t>
      </w:r>
      <w:r>
        <w:rPr>
          <w:rFonts w:ascii="Century Gothic" w:hAnsi="Century Gothic" w:cs="Century Gothic" w:eastAsia="Century Gothic" w:hint="default"/>
          <w:spacing w:val="-1"/>
        </w:rPr>
        <w:t>Mi</w:t>
      </w:r>
      <w:r>
        <w:rPr>
          <w:spacing w:val="-1"/>
        </w:rPr>
        <w:t>÷</w:t>
      </w:r>
      <w:r>
        <w:rPr>
          <w:rFonts w:ascii="Century Gothic" w:hAnsi="Century Gothic" w:cs="Century Gothic" w:eastAsia="Century Gothic" w:hint="default"/>
          <w:spacing w:val="-1"/>
        </w:rPr>
        <w:t>M0</w:t>
      </w:r>
      <w:r>
        <w:rPr>
          <w:spacing w:val="-1"/>
        </w:rPr>
        <w:t>–</w:t>
      </w:r>
      <w:r>
        <w:rPr>
          <w:rFonts w:ascii="Century Gothic" w:hAnsi="Century Gothic" w:cs="Century Gothic" w:eastAsia="Century Gothic" w:hint="default"/>
          <w:spacing w:val="-1"/>
        </w:rPr>
        <w:t>Sj</w:t>
      </w:r>
      <w:r>
        <w:rPr>
          <w:spacing w:val="-1"/>
        </w:rPr>
        <w:t>×</w:t>
      </w:r>
      <w:r>
        <w:rPr>
          <w:rFonts w:ascii="Century Gothic" w:hAnsi="Century Gothic" w:cs="Century Gothic" w:eastAsia="Century Gothic" w:hint="default"/>
          <w:spacing w:val="-1"/>
        </w:rPr>
        <w:t>Mj</w:t>
      </w:r>
      <w:r>
        <w:rPr>
          <w:spacing w:val="-1"/>
        </w:rPr>
        <w:t>÷</w:t>
      </w:r>
      <w:r>
        <w:rPr>
          <w:rFonts w:ascii="Century Gothic" w:hAnsi="Century Gothic" w:cs="Century Gothic" w:eastAsia="Century Gothic" w:hint="default"/>
          <w:spacing w:val="-1"/>
        </w:rPr>
        <w:t>M0</w:t>
      </w:r>
      <w:r>
        <w:rPr>
          <w:spacing w:val="-1"/>
        </w:rPr>
        <w:t>–</w:t>
      </w:r>
      <w:r>
        <w:rPr>
          <w:rFonts w:ascii="Century Gothic" w:hAnsi="Century Gothic" w:cs="Century Gothic" w:eastAsia="Century Gothic" w:hint="default"/>
          <w:spacing w:val="-1"/>
        </w:rPr>
        <w:t>Sk+</w:t>
      </w:r>
      <w:r>
        <w:rPr>
          <w:spacing w:val="-1"/>
        </w:rPr>
        <w:t>认股权证、股份期权、可转换债券</w:t>
      </w:r>
    </w:p>
    <w:p>
      <w:pPr>
        <w:pStyle w:val="BodyText"/>
        <w:spacing w:line="240" w:lineRule="auto" w:before="17"/>
        <w:ind w:right="152"/>
        <w:jc w:val="left"/>
        <w:rPr>
          <w:rFonts w:ascii="Century Gothic" w:hAnsi="Century Gothic" w:cs="Century Gothic" w:eastAsia="Century Gothic" w:hint="default"/>
        </w:rPr>
      </w:pPr>
      <w:r>
        <w:rPr/>
        <w:t>等增加的普通股加权平均数</w:t>
      </w:r>
      <w:r>
        <w:rPr>
          <w:rFonts w:ascii="Century Gothic" w:hAnsi="Century Gothic" w:cs="Century Gothic" w:eastAsia="Century Gothic" w:hint="default"/>
        </w:rPr>
        <w:t>)</w:t>
      </w:r>
    </w:p>
    <w:p>
      <w:pPr>
        <w:pStyle w:val="BodyText"/>
        <w:spacing w:line="350" w:lineRule="auto" w:before="119"/>
        <w:ind w:right="152" w:firstLine="420"/>
        <w:jc w:val="left"/>
      </w:pPr>
      <w:r>
        <w:rPr/>
        <w:t>其中，</w:t>
      </w:r>
      <w:r>
        <w:rPr>
          <w:rFonts w:ascii="Century Gothic" w:hAnsi="Century Gothic" w:cs="Century Gothic" w:eastAsia="Century Gothic" w:hint="default"/>
        </w:rPr>
        <w:t>P1</w:t>
      </w:r>
      <w:r>
        <w:rPr>
          <w:rFonts w:ascii="Century Gothic" w:hAnsi="Century Gothic" w:cs="Century Gothic" w:eastAsia="Century Gothic" w:hint="default"/>
          <w:spacing w:val="-7"/>
        </w:rPr>
        <w:t> </w:t>
      </w:r>
      <w:r>
        <w:rPr/>
        <w:t>为归属于公司普通股股东的净利润或扣除非经常性损益后归属于公司普通股股东的净 </w:t>
      </w:r>
      <w:r>
        <w:rPr>
          <w:spacing w:val="-2"/>
        </w:rPr>
        <w:t>利润，并考虑稀释性潜在普通股对其影响，按《企业会计准则》及有关规定进行调整。公司在计算稀</w:t>
      </w:r>
      <w:r>
        <w:rPr>
          <w:spacing w:val="-69"/>
        </w:rPr>
        <w:t> </w:t>
      </w:r>
      <w:r>
        <w:rPr>
          <w:spacing w:val="-69"/>
        </w:rPr>
      </w:r>
      <w:r>
        <w:rPr>
          <w:spacing w:val="-2"/>
        </w:rPr>
        <w:t>释每股收益时，考虑所有稀释性潜在普通股对归属于公司普通股股东的净利润或扣除非经常性损益后</w:t>
      </w:r>
      <w:r>
        <w:rPr>
          <w:spacing w:val="-68"/>
        </w:rPr>
        <w:t> </w:t>
      </w:r>
      <w:r>
        <w:rPr>
          <w:spacing w:val="-68"/>
        </w:rPr>
      </w:r>
      <w:r>
        <w:rPr>
          <w:spacing w:val="-2"/>
        </w:rPr>
        <w:t>归属于公司普通股股东的净利润和加权平均股数的影响，按照其稀释程度从大到小的顺序计入稀释每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3267" w:right="3344" w:firstLine="0"/>
        <w:jc w:val="center"/>
        <w:rPr>
          <w:rFonts w:ascii="Times New Roman" w:hAnsi="Times New Roman" w:cs="Times New Roman" w:eastAsia="Times New Roman" w:hint="default"/>
          <w:sz w:val="18"/>
          <w:szCs w:val="18"/>
        </w:rPr>
      </w:pPr>
      <w:r>
        <w:rPr>
          <w:rFonts w:ascii="Times New Roman"/>
          <w:sz w:val="18"/>
        </w:rPr>
        <w:t>89</w:t>
      </w:r>
    </w:p>
    <w:p>
      <w:pPr>
        <w:spacing w:after="0"/>
        <w:jc w:val="center"/>
        <w:rPr>
          <w:rFonts w:ascii="Times New Roman" w:hAnsi="Times New Roman" w:cs="Times New Roman" w:eastAsia="Times New Roman" w:hint="default"/>
          <w:sz w:val="18"/>
          <w:szCs w:val="18"/>
        </w:rPr>
        <w:sectPr>
          <w:pgSz w:w="11910" w:h="16840"/>
          <w:pgMar w:top="780" w:bottom="280" w:left="1280" w:right="10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5968"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0"/>
        <w:ind w:right="0"/>
        <w:jc w:val="left"/>
      </w:pPr>
      <w:r>
        <w:rPr/>
        <w:t>股收益，直至稀释每股收益达到最小值。</w:t>
      </w:r>
    </w:p>
    <w:p>
      <w:pPr>
        <w:pStyle w:val="Heading4"/>
        <w:tabs>
          <w:tab w:pos="1838" w:val="left" w:leader="none"/>
        </w:tabs>
        <w:spacing w:line="240" w:lineRule="auto" w:before="134"/>
        <w:ind w:right="0"/>
        <w:jc w:val="left"/>
        <w:rPr>
          <w:rFonts w:ascii="宋体" w:hAnsi="宋体" w:cs="宋体" w:eastAsia="宋体" w:hint="default"/>
          <w:b w:val="0"/>
          <w:bCs w:val="0"/>
        </w:rPr>
      </w:pPr>
      <w:r>
        <w:rPr>
          <w:rFonts w:ascii="宋体" w:hAnsi="宋体" w:cs="宋体" w:eastAsia="宋体" w:hint="default"/>
          <w:w w:val="95"/>
        </w:rPr>
        <w:t>（四十二）</w:t>
        <w:tab/>
      </w:r>
      <w:r>
        <w:rPr>
          <w:rFonts w:ascii="宋体" w:hAnsi="宋体" w:cs="宋体" w:eastAsia="宋体" w:hint="default"/>
        </w:rPr>
        <w:t>其他综合收益</w:t>
      </w:r>
      <w:r>
        <w:rPr>
          <w:rFonts w:ascii="宋体" w:hAnsi="宋体" w:cs="宋体" w:eastAsia="宋体" w:hint="default"/>
          <w:b w:val="0"/>
          <w:bCs w:val="0"/>
        </w:rPr>
      </w:r>
    </w:p>
    <w:p>
      <w:pPr>
        <w:spacing w:line="240" w:lineRule="auto" w:before="13"/>
        <w:rPr>
          <w:rFonts w:ascii="宋体" w:hAnsi="宋体" w:cs="宋体" w:eastAsia="宋体" w:hint="default"/>
          <w:b/>
          <w:bCs/>
          <w:sz w:val="12"/>
          <w:szCs w:val="12"/>
        </w:rPr>
      </w:pPr>
    </w:p>
    <w:tbl>
      <w:tblPr>
        <w:tblW w:w="0" w:type="auto"/>
        <w:jc w:val="left"/>
        <w:tblInd w:w="281" w:type="dxa"/>
        <w:tblLayout w:type="fixed"/>
        <w:tblCellMar>
          <w:top w:w="0" w:type="dxa"/>
          <w:left w:w="0" w:type="dxa"/>
          <w:bottom w:w="0" w:type="dxa"/>
          <w:right w:w="0" w:type="dxa"/>
        </w:tblCellMar>
        <w:tblLook w:val="01E0"/>
      </w:tblPr>
      <w:tblGrid>
        <w:gridCol w:w="5317"/>
        <w:gridCol w:w="1733"/>
        <w:gridCol w:w="1808"/>
      </w:tblGrid>
      <w:tr>
        <w:trPr>
          <w:trHeight w:val="363" w:hRule="exact"/>
        </w:trPr>
        <w:tc>
          <w:tcPr>
            <w:tcW w:w="5317" w:type="dxa"/>
            <w:tcBorders>
              <w:top w:val="single" w:sz="12" w:space="0" w:color="000000"/>
              <w:left w:val="nil" w:sz="6" w:space="0" w:color="auto"/>
              <w:bottom w:val="single" w:sz="6" w:space="0" w:color="000000"/>
              <w:right w:val="single" w:sz="6" w:space="0" w:color="000000"/>
            </w:tcBorders>
          </w:tcPr>
          <w:p>
            <w:pPr>
              <w:pStyle w:val="TableParagraph"/>
              <w:tabs>
                <w:tab w:pos="859" w:val="left" w:leader="none"/>
              </w:tabs>
              <w:spacing w:line="274"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33"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33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808"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left="372"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5317"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332" w:right="0"/>
              <w:jc w:val="left"/>
              <w:rPr>
                <w:rFonts w:ascii="宋体" w:hAnsi="宋体" w:cs="宋体" w:eastAsia="宋体" w:hint="default"/>
                <w:sz w:val="21"/>
                <w:szCs w:val="21"/>
              </w:rPr>
            </w:pPr>
            <w:r>
              <w:rPr>
                <w:rFonts w:ascii="宋体" w:hAnsi="宋体" w:cs="宋体" w:eastAsia="宋体" w:hint="default"/>
                <w:sz w:val="21"/>
                <w:szCs w:val="21"/>
              </w:rPr>
              <w:t>外币财务报表折算差额</w:t>
            </w:r>
          </w:p>
        </w:tc>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-177,421.15</w:t>
            </w:r>
          </w:p>
        </w:tc>
        <w:tc>
          <w:tcPr>
            <w:tcW w:w="18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67,443.86</w:t>
            </w:r>
          </w:p>
        </w:tc>
      </w:tr>
      <w:tr>
        <w:trPr>
          <w:trHeight w:val="354" w:hRule="exact"/>
        </w:trPr>
        <w:tc>
          <w:tcPr>
            <w:tcW w:w="5317"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435"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733"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nil" w:sz="6" w:space="0" w:color="auto"/>
            </w:tcBorders>
          </w:tcPr>
          <w:p>
            <w:pPr/>
          </w:p>
        </w:tc>
      </w:tr>
      <w:tr>
        <w:trPr>
          <w:trHeight w:val="364" w:hRule="exact"/>
        </w:trPr>
        <w:tc>
          <w:tcPr>
            <w:tcW w:w="5317" w:type="dxa"/>
            <w:tcBorders>
              <w:top w:val="single" w:sz="6" w:space="0" w:color="000000"/>
              <w:left w:val="nil" w:sz="6" w:space="0" w:color="auto"/>
              <w:bottom w:val="single" w:sz="12" w:space="0" w:color="000000"/>
              <w:right w:val="single" w:sz="6" w:space="0" w:color="000000"/>
            </w:tcBorders>
          </w:tcPr>
          <w:p>
            <w:pPr>
              <w:pStyle w:val="TableParagraph"/>
              <w:tabs>
                <w:tab w:pos="753" w:val="left" w:leader="none"/>
              </w:tabs>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-177,421.15</w:t>
            </w:r>
          </w:p>
        </w:tc>
        <w:tc>
          <w:tcPr>
            <w:tcW w:w="18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67,443.86</w:t>
            </w:r>
          </w:p>
        </w:tc>
      </w:tr>
    </w:tbl>
    <w:p>
      <w:pPr>
        <w:pStyle w:val="Heading4"/>
        <w:tabs>
          <w:tab w:pos="1838" w:val="left" w:leader="none"/>
        </w:tabs>
        <w:spacing w:line="240" w:lineRule="auto" w:before="86"/>
        <w:ind w:right="0"/>
        <w:jc w:val="left"/>
        <w:rPr>
          <w:rFonts w:ascii="宋体" w:hAnsi="宋体" w:cs="宋体" w:eastAsia="宋体" w:hint="default"/>
          <w:b w:val="0"/>
          <w:bCs w:val="0"/>
        </w:rPr>
      </w:pPr>
      <w:r>
        <w:rPr>
          <w:rFonts w:ascii="宋体" w:hAnsi="宋体" w:cs="宋体" w:eastAsia="宋体" w:hint="default"/>
          <w:w w:val="95"/>
        </w:rPr>
        <w:t>（四十三）</w:t>
        <w:tab/>
      </w:r>
      <w:r>
        <w:rPr>
          <w:rFonts w:ascii="宋体" w:hAnsi="宋体" w:cs="宋体" w:eastAsia="宋体" w:hint="default"/>
        </w:rPr>
        <w:t>现金流量表项目注释</w:t>
      </w:r>
      <w:r>
        <w:rPr>
          <w:rFonts w:ascii="宋体" w:hAnsi="宋体" w:cs="宋体" w:eastAsia="宋体" w:hint="default"/>
          <w:b w:val="0"/>
          <w:bCs w:val="0"/>
        </w:rPr>
      </w:r>
    </w:p>
    <w:p>
      <w:pPr>
        <w:pStyle w:val="Heading4"/>
        <w:spacing w:line="240" w:lineRule="auto" w:before="134"/>
        <w:ind w:left="560" w:right="0"/>
        <w:jc w:val="left"/>
        <w:rPr>
          <w:rFonts w:ascii="宋体" w:hAnsi="宋体" w:cs="宋体" w:eastAsia="宋体" w:hint="default"/>
          <w:b w:val="0"/>
          <w:bCs w:val="0"/>
        </w:rPr>
      </w:pPr>
      <w:r>
        <w:rPr>
          <w:rFonts w:ascii="Century Gothic" w:hAnsi="Century Gothic" w:cs="Century Gothic" w:eastAsia="Century Gothic" w:hint="default"/>
        </w:rPr>
        <w:t>1.</w:t>
      </w:r>
      <w:r>
        <w:rPr>
          <w:rFonts w:ascii="Century Gothic" w:hAnsi="Century Gothic" w:cs="Century Gothic" w:eastAsia="Century Gothic" w:hint="default"/>
          <w:spacing w:val="51"/>
        </w:rPr>
        <w:t> </w:t>
      </w:r>
      <w:r>
        <w:rPr>
          <w:rFonts w:ascii="宋体" w:hAnsi="宋体" w:cs="宋体" w:eastAsia="宋体" w:hint="default"/>
        </w:rPr>
        <w:t>收到的其他与经营活动有关的现金</w:t>
      </w:r>
      <w:r>
        <w:rPr>
          <w:rFonts w:ascii="宋体" w:hAnsi="宋体" w:cs="宋体" w:eastAsia="宋体" w:hint="default"/>
          <w:b w:val="0"/>
          <w:bCs w:val="0"/>
        </w:rPr>
      </w:r>
    </w:p>
    <w:p>
      <w:pPr>
        <w:spacing w:line="240" w:lineRule="auto" w:before="9"/>
        <w:rPr>
          <w:rFonts w:ascii="宋体" w:hAnsi="宋体" w:cs="宋体" w:eastAsia="宋体" w:hint="default"/>
          <w:b/>
          <w:bCs/>
          <w:sz w:val="11"/>
          <w:szCs w:val="11"/>
        </w:rPr>
      </w:pPr>
    </w:p>
    <w:tbl>
      <w:tblPr>
        <w:tblW w:w="0" w:type="auto"/>
        <w:jc w:val="left"/>
        <w:tblInd w:w="281" w:type="dxa"/>
        <w:tblLayout w:type="fixed"/>
        <w:tblCellMar>
          <w:top w:w="0" w:type="dxa"/>
          <w:left w:w="0" w:type="dxa"/>
          <w:bottom w:w="0" w:type="dxa"/>
          <w:right w:w="0" w:type="dxa"/>
        </w:tblCellMar>
        <w:tblLook w:val="01E0"/>
      </w:tblPr>
      <w:tblGrid>
        <w:gridCol w:w="4334"/>
        <w:gridCol w:w="2340"/>
        <w:gridCol w:w="2184"/>
      </w:tblGrid>
      <w:tr>
        <w:trPr>
          <w:trHeight w:val="334" w:hRule="exact"/>
        </w:trPr>
        <w:tc>
          <w:tcPr>
            <w:tcW w:w="4334" w:type="dxa"/>
            <w:tcBorders>
              <w:top w:val="single" w:sz="12" w:space="0" w:color="000000"/>
              <w:left w:val="nil" w:sz="6" w:space="0" w:color="auto"/>
              <w:bottom w:val="single" w:sz="6" w:space="0" w:color="000000"/>
              <w:right w:val="single" w:sz="6" w:space="0" w:color="000000"/>
            </w:tcBorders>
          </w:tcPr>
          <w:p>
            <w:pPr>
              <w:pStyle w:val="TableParagraph"/>
              <w:spacing w:line="260"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74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left="664"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26"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收到浙江华扬实业发展有限公司往来款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9"/>
              <w:jc w:val="right"/>
              <w:rPr>
                <w:rFonts w:ascii="Century Gothic" w:hAnsi="Century Gothic" w:cs="Century Gothic" w:eastAsia="Century Gothic" w:hint="default"/>
                <w:sz w:val="21"/>
                <w:szCs w:val="21"/>
              </w:rPr>
            </w:pPr>
            <w:r>
              <w:rPr>
                <w:rFonts w:ascii="Century Gothic"/>
                <w:spacing w:val="-1"/>
                <w:sz w:val="21"/>
              </w:rPr>
              <w:t>105,054,039.01</w:t>
            </w:r>
            <w:r>
              <w:rPr>
                <w:rFonts w:ascii="Century Gothic"/>
                <w:sz w:val="21"/>
              </w:rPr>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收到华方医药科技有限公司往来款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91,500,000.00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132,900,000.00</w:t>
            </w:r>
            <w:r>
              <w:rPr>
                <w:rFonts w:ascii="Century Gothic"/>
                <w:sz w:val="21"/>
              </w:rPr>
            </w:r>
          </w:p>
        </w:tc>
      </w:tr>
      <w:tr>
        <w:trPr>
          <w:trHeight w:val="326"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收到杭州澳盛园艺有限公司往来款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40,000,000.00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25,000,000.00</w:t>
            </w:r>
          </w:p>
        </w:tc>
      </w:tr>
      <w:tr>
        <w:trPr>
          <w:trHeight w:val="328"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收到华立集团股份有限公司往来款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28,130,000.00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81,500,000.00</w:t>
            </w:r>
          </w:p>
        </w:tc>
      </w:tr>
      <w:tr>
        <w:trPr>
          <w:trHeight w:val="326"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收到重庆国平商贸有限公司往来款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17,000,000.00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收到华立仪表招投标保证金往来款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13,975,704.00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15,200,096.75</w:t>
            </w:r>
          </w:p>
        </w:tc>
      </w:tr>
      <w:tr>
        <w:trPr>
          <w:trHeight w:val="326"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收到重庆嘉浩置业有限公司往来款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9,000,000.00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收到湖北华立正源医药有限公司往来款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7,000,000.00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收到浙江恒诚供应链发展有限公司往来款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7,000,000.00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收到浙江中大期货经纪有限公司往来款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4,162,500.00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收到广东柏迪鑫投资公司往来款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3,000,000.00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收到财政部科泰复</w:t>
            </w:r>
            <w:r>
              <w:rPr>
                <w:rFonts w:ascii="宋体" w:hAnsi="宋体" w:cs="宋体" w:eastAsia="宋体" w:hint="default"/>
                <w:spacing w:val="-46"/>
                <w:sz w:val="18"/>
                <w:szCs w:val="18"/>
              </w:rPr>
              <w:t> </w:t>
            </w:r>
            <w:r>
              <w:rPr>
                <w:rFonts w:ascii="宋体" w:hAnsi="宋体" w:cs="宋体" w:eastAsia="宋体" w:hint="default"/>
                <w:sz w:val="18"/>
                <w:szCs w:val="18"/>
              </w:rPr>
              <w:t>PQ</w:t>
            </w:r>
            <w:r>
              <w:rPr>
                <w:rFonts w:ascii="宋体" w:hAnsi="宋体" w:cs="宋体" w:eastAsia="宋体" w:hint="default"/>
                <w:spacing w:val="-46"/>
                <w:sz w:val="18"/>
                <w:szCs w:val="18"/>
              </w:rPr>
              <w:t> </w:t>
            </w:r>
            <w:r>
              <w:rPr>
                <w:rFonts w:ascii="宋体" w:hAnsi="宋体" w:cs="宋体" w:eastAsia="宋体" w:hint="default"/>
                <w:sz w:val="18"/>
                <w:szCs w:val="18"/>
              </w:rPr>
              <w:t>认证国际临床合作项目往来款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1,900,000.00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收到北京康益民生医药经营有限公司往来款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1,000,000.00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收到昆明恺撒投资有限责任公司往来款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1,000,000.00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收到杭州翔升实业有限公司往来款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34,000,000.00</w:t>
            </w:r>
          </w:p>
        </w:tc>
      </w:tr>
      <w:tr>
        <w:trPr>
          <w:trHeight w:val="328"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收到浙江华立国际发展有限公司往来款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30,000,000.00</w:t>
            </w:r>
          </w:p>
        </w:tc>
      </w:tr>
      <w:tr>
        <w:trPr>
          <w:trHeight w:val="326"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收到上海亚天建筑工程有限公司往来款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25,000,000.00</w:t>
            </w:r>
          </w:p>
        </w:tc>
      </w:tr>
      <w:tr>
        <w:trPr>
          <w:trHeight w:val="328"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收到成都荣华医药有限公司往来款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24,000,000.00</w:t>
            </w:r>
          </w:p>
        </w:tc>
      </w:tr>
      <w:tr>
        <w:trPr>
          <w:trHeight w:val="326"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收到乌鲁木齐诺金投资管理咨询有限公司往来款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22,000,000.00</w:t>
            </w:r>
          </w:p>
        </w:tc>
      </w:tr>
      <w:tr>
        <w:trPr>
          <w:trHeight w:val="328"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收到重庆恒宇物业有限公司往来款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21,000,000.00</w:t>
            </w:r>
          </w:p>
        </w:tc>
      </w:tr>
      <w:tr>
        <w:trPr>
          <w:trHeight w:val="326"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收到重庆和银投资有限公司往来款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20,000,000.00</w:t>
            </w:r>
          </w:p>
        </w:tc>
      </w:tr>
      <w:tr>
        <w:trPr>
          <w:trHeight w:val="328"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收到云南中原实业有限公司往来款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15,000,000.00</w:t>
            </w:r>
          </w:p>
        </w:tc>
      </w:tr>
      <w:tr>
        <w:trPr>
          <w:trHeight w:val="326"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收到华立地产集团有限公司往来款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7"/>
              <w:jc w:val="right"/>
              <w:rPr>
                <w:rFonts w:ascii="Century Gothic" w:hAnsi="Century Gothic" w:cs="Century Gothic" w:eastAsia="Century Gothic" w:hint="default"/>
                <w:sz w:val="21"/>
                <w:szCs w:val="21"/>
              </w:rPr>
            </w:pPr>
            <w:r>
              <w:rPr>
                <w:rFonts w:ascii="Century Gothic"/>
                <w:spacing w:val="-1"/>
                <w:sz w:val="21"/>
              </w:rPr>
              <w:t>9,400,000.00</w:t>
            </w:r>
          </w:p>
        </w:tc>
      </w:tr>
      <w:tr>
        <w:trPr>
          <w:trHeight w:val="328"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收到重庆灯塔建筑工程有限公司往来款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7"/>
              <w:jc w:val="right"/>
              <w:rPr>
                <w:rFonts w:ascii="Century Gothic" w:hAnsi="Century Gothic" w:cs="Century Gothic" w:eastAsia="Century Gothic" w:hint="default"/>
                <w:sz w:val="21"/>
                <w:szCs w:val="21"/>
              </w:rPr>
            </w:pPr>
            <w:r>
              <w:rPr>
                <w:rFonts w:ascii="Century Gothic"/>
                <w:spacing w:val="-1"/>
                <w:sz w:val="21"/>
              </w:rPr>
              <w:t>7,200,000.00</w:t>
            </w:r>
          </w:p>
        </w:tc>
      </w:tr>
      <w:tr>
        <w:trPr>
          <w:trHeight w:val="326"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收到浙江华凯实业有限公司往来款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7"/>
              <w:jc w:val="right"/>
              <w:rPr>
                <w:rFonts w:ascii="Century Gothic" w:hAnsi="Century Gothic" w:cs="Century Gothic" w:eastAsia="Century Gothic" w:hint="default"/>
                <w:sz w:val="21"/>
                <w:szCs w:val="21"/>
              </w:rPr>
            </w:pPr>
            <w:r>
              <w:rPr>
                <w:rFonts w:ascii="Century Gothic"/>
                <w:spacing w:val="-1"/>
                <w:sz w:val="21"/>
              </w:rPr>
              <w:t>4,000,000.00</w:t>
            </w:r>
          </w:p>
        </w:tc>
      </w:tr>
      <w:tr>
        <w:trPr>
          <w:trHeight w:val="328"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收到重庆华立地产（集团）有限公司往来款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7"/>
              <w:jc w:val="right"/>
              <w:rPr>
                <w:rFonts w:ascii="Century Gothic" w:hAnsi="Century Gothic" w:cs="Century Gothic" w:eastAsia="Century Gothic" w:hint="default"/>
                <w:sz w:val="21"/>
                <w:szCs w:val="21"/>
              </w:rPr>
            </w:pPr>
            <w:r>
              <w:rPr>
                <w:rFonts w:ascii="Century Gothic"/>
                <w:spacing w:val="-1"/>
                <w:sz w:val="21"/>
              </w:rPr>
              <w:t>1,500,000.00</w:t>
            </w:r>
          </w:p>
        </w:tc>
      </w:tr>
      <w:tr>
        <w:trPr>
          <w:trHeight w:val="326"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收到武汉健民药业集团广州福高有限公司往来款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7"/>
              <w:jc w:val="right"/>
              <w:rPr>
                <w:rFonts w:ascii="Century Gothic" w:hAnsi="Century Gothic" w:cs="Century Gothic" w:eastAsia="Century Gothic" w:hint="default"/>
                <w:sz w:val="21"/>
                <w:szCs w:val="21"/>
              </w:rPr>
            </w:pPr>
            <w:r>
              <w:rPr>
                <w:rFonts w:ascii="Century Gothic"/>
                <w:spacing w:val="-1"/>
                <w:sz w:val="21"/>
              </w:rPr>
              <w:t>1,000,000.00</w:t>
            </w:r>
          </w:p>
        </w:tc>
      </w:tr>
      <w:tr>
        <w:trPr>
          <w:trHeight w:val="335" w:hRule="exact"/>
        </w:trPr>
        <w:tc>
          <w:tcPr>
            <w:tcW w:w="43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5"/>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329,722,243.01</w:t>
            </w:r>
            <w:r>
              <w:rPr>
                <w:rFonts w:ascii="Century Gothic"/>
                <w:b/>
                <w:w w:val="95"/>
                <w:sz w:val="21"/>
              </w:rPr>
            </w:r>
            <w:r>
              <w:rPr>
                <w:rFonts w:ascii="Century Gothic"/>
                <w:sz w:val="21"/>
              </w:rPr>
            </w: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468,700,096.75</w:t>
            </w:r>
            <w:r>
              <w:rPr>
                <w:rFonts w:ascii="Century Gothic"/>
                <w:b/>
                <w:w w:val="95"/>
                <w:sz w:val="21"/>
              </w:rPr>
            </w:r>
            <w:r>
              <w:rPr>
                <w:rFonts w:ascii="Century Gothic"/>
                <w:sz w:val="21"/>
              </w:rPr>
            </w:r>
          </w:p>
        </w:tc>
      </w:tr>
    </w:tbl>
    <w:p>
      <w:pPr>
        <w:pStyle w:val="Heading4"/>
        <w:spacing w:line="240" w:lineRule="auto" w:before="26"/>
        <w:ind w:left="560" w:right="0"/>
        <w:jc w:val="left"/>
        <w:rPr>
          <w:rFonts w:ascii="宋体" w:hAnsi="宋体" w:cs="宋体" w:eastAsia="宋体" w:hint="default"/>
          <w:b w:val="0"/>
          <w:bCs w:val="0"/>
        </w:rPr>
      </w:pPr>
      <w:r>
        <w:rPr>
          <w:rFonts w:ascii="Century Gothic" w:hAnsi="Century Gothic" w:cs="Century Gothic" w:eastAsia="Century Gothic" w:hint="default"/>
        </w:rPr>
        <w:t>2.</w:t>
      </w:r>
      <w:r>
        <w:rPr>
          <w:rFonts w:ascii="Century Gothic" w:hAnsi="Century Gothic" w:cs="Century Gothic" w:eastAsia="Century Gothic" w:hint="default"/>
          <w:spacing w:val="51"/>
        </w:rPr>
        <w:t> </w:t>
      </w:r>
      <w:r>
        <w:rPr>
          <w:rFonts w:ascii="宋体" w:hAnsi="宋体" w:cs="宋体" w:eastAsia="宋体" w:hint="default"/>
        </w:rPr>
        <w:t>支付的其他与经营活动有关的现金</w:t>
      </w:r>
      <w:r>
        <w:rPr>
          <w:rFonts w:ascii="宋体" w:hAnsi="宋体" w:cs="宋体" w:eastAsia="宋体" w:hint="default"/>
          <w:b w:val="0"/>
          <w:bCs w:val="0"/>
        </w:rPr>
      </w:r>
    </w:p>
    <w:p>
      <w:pPr>
        <w:spacing w:line="240" w:lineRule="auto" w:before="2"/>
        <w:rPr>
          <w:rFonts w:ascii="宋体" w:hAnsi="宋体" w:cs="宋体" w:eastAsia="宋体" w:hint="default"/>
          <w:b/>
          <w:bCs/>
          <w:sz w:val="16"/>
          <w:szCs w:val="16"/>
        </w:rPr>
      </w:pPr>
    </w:p>
    <w:tbl>
      <w:tblPr>
        <w:tblW w:w="0" w:type="auto"/>
        <w:jc w:val="left"/>
        <w:tblInd w:w="281" w:type="dxa"/>
        <w:tblLayout w:type="fixed"/>
        <w:tblCellMar>
          <w:top w:w="0" w:type="dxa"/>
          <w:left w:w="0" w:type="dxa"/>
          <w:bottom w:w="0" w:type="dxa"/>
          <w:right w:w="0" w:type="dxa"/>
        </w:tblCellMar>
        <w:tblLook w:val="01E0"/>
      </w:tblPr>
      <w:tblGrid>
        <w:gridCol w:w="4334"/>
        <w:gridCol w:w="2340"/>
        <w:gridCol w:w="2184"/>
      </w:tblGrid>
      <w:tr>
        <w:trPr>
          <w:trHeight w:val="307" w:hRule="exact"/>
        </w:trPr>
        <w:tc>
          <w:tcPr>
            <w:tcW w:w="4334"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74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left="664"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07" w:hRule="exact"/>
        </w:trPr>
        <w:tc>
          <w:tcPr>
            <w:tcW w:w="433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支付华方医药科技有限公司往来款</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left="886" w:right="0"/>
              <w:jc w:val="left"/>
              <w:rPr>
                <w:rFonts w:ascii="Century Gothic" w:hAnsi="Century Gothic" w:cs="Century Gothic" w:eastAsia="Century Gothic" w:hint="default"/>
                <w:sz w:val="21"/>
                <w:szCs w:val="21"/>
              </w:rPr>
            </w:pPr>
            <w:r>
              <w:rPr>
                <w:rFonts w:ascii="Century Gothic"/>
                <w:sz w:val="21"/>
              </w:rPr>
              <w:t>81,900,000.00</w:t>
            </w: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left="614" w:right="0"/>
              <w:jc w:val="left"/>
              <w:rPr>
                <w:rFonts w:ascii="Century Gothic" w:hAnsi="Century Gothic" w:cs="Century Gothic" w:eastAsia="Century Gothic" w:hint="default"/>
                <w:sz w:val="21"/>
                <w:szCs w:val="21"/>
              </w:rPr>
            </w:pPr>
            <w:r>
              <w:rPr>
                <w:rFonts w:ascii="Century Gothic"/>
                <w:sz w:val="21"/>
              </w:rPr>
              <w:t>130,500,000.00</w:t>
            </w:r>
          </w:p>
        </w:tc>
      </w:tr>
    </w:tbl>
    <w:p>
      <w:pPr>
        <w:spacing w:line="240" w:lineRule="auto" w:before="3"/>
        <w:rPr>
          <w:rFonts w:ascii="宋体" w:hAnsi="宋体" w:cs="宋体" w:eastAsia="宋体" w:hint="default"/>
          <w:b/>
          <w:bCs/>
          <w:sz w:val="12"/>
          <w:szCs w:val="12"/>
        </w:rPr>
      </w:pPr>
    </w:p>
    <w:p>
      <w:pPr>
        <w:spacing w:before="76"/>
        <w:ind w:left="482" w:right="320" w:firstLine="0"/>
        <w:jc w:val="center"/>
        <w:rPr>
          <w:rFonts w:ascii="Times New Roman" w:hAnsi="Times New Roman" w:cs="Times New Roman" w:eastAsia="Times New Roman" w:hint="default"/>
          <w:sz w:val="18"/>
          <w:szCs w:val="18"/>
        </w:rPr>
      </w:pPr>
      <w:r>
        <w:rPr>
          <w:rFonts w:ascii="Times New Roman"/>
          <w:sz w:val="18"/>
        </w:rPr>
        <w:t>90</w:t>
      </w:r>
    </w:p>
    <w:p>
      <w:pPr>
        <w:spacing w:after="0"/>
        <w:jc w:val="center"/>
        <w:rPr>
          <w:rFonts w:ascii="Times New Roman" w:hAnsi="Times New Roman" w:cs="Times New Roman" w:eastAsia="Times New Roman" w:hint="default"/>
          <w:sz w:val="18"/>
          <w:szCs w:val="18"/>
        </w:rPr>
        <w:sectPr>
          <w:pgSz w:w="11910" w:h="16840"/>
          <w:pgMar w:top="780" w:bottom="280" w:left="1160" w:right="144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70.860001pt;margin-top:-9.926001pt;width:84.0pt;height:23.94pt;mso-position-horizontal-relative:page;mso-position-vertical-relative:paragraph;z-index:6112"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81" w:type="dxa"/>
        <w:tblLayout w:type="fixed"/>
        <w:tblCellMar>
          <w:top w:w="0" w:type="dxa"/>
          <w:left w:w="0" w:type="dxa"/>
          <w:bottom w:w="0" w:type="dxa"/>
          <w:right w:w="0" w:type="dxa"/>
        </w:tblCellMar>
        <w:tblLook w:val="01E0"/>
      </w:tblPr>
      <w:tblGrid>
        <w:gridCol w:w="4334"/>
        <w:gridCol w:w="2340"/>
        <w:gridCol w:w="2184"/>
      </w:tblGrid>
      <w:tr>
        <w:trPr>
          <w:trHeight w:val="307" w:hRule="exact"/>
        </w:trPr>
        <w:tc>
          <w:tcPr>
            <w:tcW w:w="433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支付浙江华扬实业发展有限公司往来款</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75,614,716.55</w:t>
            </w:r>
          </w:p>
        </w:tc>
        <w:tc>
          <w:tcPr>
            <w:tcW w:w="2184" w:type="dxa"/>
            <w:tcBorders>
              <w:top w:val="single" w:sz="12" w:space="0" w:color="000000"/>
              <w:left w:val="single" w:sz="6" w:space="0" w:color="000000"/>
              <w:bottom w:val="single" w:sz="6" w:space="0" w:color="000000"/>
              <w:right w:val="nil" w:sz="6" w:space="0" w:color="auto"/>
            </w:tcBorders>
          </w:tcPr>
          <w:p>
            <w:pP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支付办事处经营款项</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65,751,275.45</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支付重庆嘉浩置业有限公司往来款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30,700,000.00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支付上海亚天建筑工程有限公司往来款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26,800,000.00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支付杭州华春工贸有限公司往来款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22,082,543.32</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支付华立集团股份有限公司往来款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72,020,679.81</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124,500,000.00</w:t>
            </w:r>
            <w:r>
              <w:rPr>
                <w:rFonts w:ascii="Century Gothic"/>
                <w:sz w:val="21"/>
              </w:rPr>
            </w:r>
          </w:p>
        </w:tc>
      </w:tr>
      <w:tr>
        <w:trPr>
          <w:trHeight w:val="300"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支付华立仪表招投标保证金往来款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19,325,863.3</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29,364,580.19</w:t>
            </w: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支付重庆国平商贸有限公司往来款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17,000,000.00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支付杭州澳盛园艺有限公司往来款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16,691,667.00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10,000,000.00</w:t>
            </w: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支付吉首市福利材料厂往来款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6,800,000.00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支付浙江恒诚供应链发展有限公司往来款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5,500,000.00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支付浙江中大期货经纪有限公司往来款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4,000,000.00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支付浙江华凯实业有限公司往来款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2,000,000.00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支付灯塔建筑往来款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1,143,190.00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支付北京康益民生医药经营有限公司往来款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1,000,000.00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支付杭州翔升实业有限公司往来款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34,000,000.00</w:t>
            </w: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支付浙江华立国际发展有限公司往来款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30,000,000.00</w:t>
            </w: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支付成都荣华医药有限公司往来款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21,000,000.00</w:t>
            </w:r>
          </w:p>
        </w:tc>
      </w:tr>
      <w:tr>
        <w:trPr>
          <w:trHeight w:val="300"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支付重庆恒宇物业有限公司往来款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21,000,000.00</w:t>
            </w: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支付重庆和银投资有限公司往来款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20,000,000.00</w:t>
            </w: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支付云南中原实业有限公司往来款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15,000,000.00</w:t>
            </w: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支付华立地产集团有限公司往来款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9,600,000.00</w:t>
            </w:r>
          </w:p>
        </w:tc>
      </w:tr>
      <w:tr>
        <w:trPr>
          <w:trHeight w:val="307" w:hRule="exact"/>
        </w:trPr>
        <w:tc>
          <w:tcPr>
            <w:tcW w:w="4334" w:type="dxa"/>
            <w:tcBorders>
              <w:top w:val="single" w:sz="6" w:space="0" w:color="000000"/>
              <w:left w:val="nil" w:sz="6" w:space="0" w:color="auto"/>
              <w:bottom w:val="single" w:sz="12" w:space="0" w:color="000000"/>
              <w:right w:val="single" w:sz="6" w:space="0" w:color="000000"/>
            </w:tcBorders>
          </w:tcPr>
          <w:p>
            <w:pPr>
              <w:pStyle w:val="TableParagraph"/>
              <w:spacing w:line="253"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448,329,935.43</w:t>
            </w:r>
            <w:r>
              <w:rPr>
                <w:rFonts w:ascii="Century Gothic"/>
                <w:b/>
                <w:w w:val="95"/>
                <w:sz w:val="21"/>
              </w:rPr>
            </w:r>
            <w:r>
              <w:rPr>
                <w:rFonts w:ascii="Century Gothic"/>
                <w:sz w:val="21"/>
              </w:rPr>
            </w: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444,964,580.19</w:t>
            </w:r>
            <w:r>
              <w:rPr>
                <w:rFonts w:ascii="Century Gothic"/>
                <w:b/>
                <w:w w:val="95"/>
                <w:sz w:val="21"/>
              </w:rPr>
            </w:r>
            <w:r>
              <w:rPr>
                <w:rFonts w:ascii="Century Gothic"/>
                <w:sz w:val="21"/>
              </w:rPr>
            </w:r>
          </w:p>
        </w:tc>
      </w:tr>
    </w:tbl>
    <w:p>
      <w:pPr>
        <w:pStyle w:val="Heading4"/>
        <w:spacing w:line="240" w:lineRule="auto" w:before="34"/>
        <w:ind w:left="560" w:right="0"/>
        <w:jc w:val="left"/>
        <w:rPr>
          <w:rFonts w:ascii="宋体" w:hAnsi="宋体" w:cs="宋体" w:eastAsia="宋体" w:hint="default"/>
          <w:b w:val="0"/>
          <w:bCs w:val="0"/>
        </w:rPr>
      </w:pPr>
      <w:r>
        <w:rPr>
          <w:rFonts w:ascii="Century Gothic" w:hAnsi="Century Gothic" w:cs="Century Gothic" w:eastAsia="Century Gothic" w:hint="default"/>
        </w:rPr>
        <w:t>3.</w:t>
      </w:r>
      <w:r>
        <w:rPr>
          <w:rFonts w:ascii="Century Gothic" w:hAnsi="Century Gothic" w:cs="Century Gothic" w:eastAsia="Century Gothic" w:hint="default"/>
          <w:spacing w:val="51"/>
        </w:rPr>
        <w:t> </w:t>
      </w:r>
      <w:r>
        <w:rPr>
          <w:rFonts w:ascii="宋体" w:hAnsi="宋体" w:cs="宋体" w:eastAsia="宋体" w:hint="default"/>
        </w:rPr>
        <w:t>收到的其他与投资活动有关的现金</w:t>
      </w:r>
      <w:r>
        <w:rPr>
          <w:rFonts w:ascii="宋体" w:hAnsi="宋体" w:cs="宋体" w:eastAsia="宋体" w:hint="default"/>
          <w:b w:val="0"/>
          <w:bCs w:val="0"/>
        </w:rPr>
      </w:r>
    </w:p>
    <w:p>
      <w:pPr>
        <w:spacing w:line="240" w:lineRule="auto" w:before="4"/>
        <w:rPr>
          <w:rFonts w:ascii="宋体" w:hAnsi="宋体" w:cs="宋体" w:eastAsia="宋体" w:hint="default"/>
          <w:b/>
          <w:bCs/>
          <w:sz w:val="16"/>
          <w:szCs w:val="16"/>
        </w:rPr>
      </w:pPr>
    </w:p>
    <w:tbl>
      <w:tblPr>
        <w:tblW w:w="0" w:type="auto"/>
        <w:jc w:val="left"/>
        <w:tblInd w:w="281" w:type="dxa"/>
        <w:tblLayout w:type="fixed"/>
        <w:tblCellMar>
          <w:top w:w="0" w:type="dxa"/>
          <w:left w:w="0" w:type="dxa"/>
          <w:bottom w:w="0" w:type="dxa"/>
          <w:right w:w="0" w:type="dxa"/>
        </w:tblCellMar>
        <w:tblLook w:val="01E0"/>
      </w:tblPr>
      <w:tblGrid>
        <w:gridCol w:w="4334"/>
        <w:gridCol w:w="2340"/>
        <w:gridCol w:w="2184"/>
      </w:tblGrid>
      <w:tr>
        <w:trPr>
          <w:trHeight w:val="305" w:hRule="exact"/>
        </w:trPr>
        <w:tc>
          <w:tcPr>
            <w:tcW w:w="4334"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74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left="664"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收到华方医药科技有限公司土地转让款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54,791,900.00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收到土地拆迁补偿款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80,000,000.00</w:t>
            </w: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收到浙江华科实业有限公司在建工程转让预付款</w:t>
            </w:r>
          </w:p>
        </w:tc>
        <w:tc>
          <w:tcPr>
            <w:tcW w:w="2340" w:type="dxa"/>
            <w:tcBorders>
              <w:top w:val="single" w:sz="6" w:space="0" w:color="000000"/>
              <w:left w:val="single" w:sz="6" w:space="0" w:color="000000"/>
              <w:bottom w:val="single" w:sz="6" w:space="0" w:color="000000"/>
              <w:right w:val="single" w:sz="6" w:space="0" w:color="000000"/>
            </w:tcBorders>
          </w:tcPr>
          <w:p>
            <w:pP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76,000,000.00</w:t>
            </w:r>
          </w:p>
        </w:tc>
      </w:tr>
      <w:tr>
        <w:trPr>
          <w:trHeight w:val="307" w:hRule="exact"/>
        </w:trPr>
        <w:tc>
          <w:tcPr>
            <w:tcW w:w="4334" w:type="dxa"/>
            <w:tcBorders>
              <w:top w:val="single" w:sz="6" w:space="0" w:color="000000"/>
              <w:left w:val="nil" w:sz="6" w:space="0" w:color="auto"/>
              <w:bottom w:val="single" w:sz="12"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54,791,900.00</w:t>
            </w:r>
            <w:r>
              <w:rPr>
                <w:rFonts w:ascii="Century Gothic"/>
                <w:b/>
                <w:w w:val="95"/>
                <w:sz w:val="21"/>
              </w:rPr>
            </w:r>
            <w:r>
              <w:rPr>
                <w:rFonts w:ascii="Century Gothic"/>
                <w:sz w:val="21"/>
              </w:rPr>
            </w: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156,000,000.00</w:t>
            </w:r>
            <w:r>
              <w:rPr>
                <w:rFonts w:ascii="Century Gothic"/>
                <w:b/>
                <w:w w:val="95"/>
                <w:sz w:val="21"/>
              </w:rPr>
            </w:r>
            <w:r>
              <w:rPr>
                <w:rFonts w:ascii="Century Gothic"/>
                <w:sz w:val="21"/>
              </w:rPr>
            </w:r>
          </w:p>
        </w:tc>
      </w:tr>
    </w:tbl>
    <w:p>
      <w:pPr>
        <w:pStyle w:val="Heading4"/>
        <w:spacing w:line="240" w:lineRule="auto" w:before="26"/>
        <w:ind w:left="560" w:right="0"/>
        <w:jc w:val="left"/>
        <w:rPr>
          <w:rFonts w:ascii="宋体" w:hAnsi="宋体" w:cs="宋体" w:eastAsia="宋体" w:hint="default"/>
          <w:b w:val="0"/>
          <w:bCs w:val="0"/>
        </w:rPr>
      </w:pPr>
      <w:r>
        <w:rPr>
          <w:rFonts w:ascii="Century Gothic" w:hAnsi="Century Gothic" w:cs="Century Gothic" w:eastAsia="Century Gothic" w:hint="default"/>
        </w:rPr>
        <w:t>4.</w:t>
      </w:r>
      <w:r>
        <w:rPr>
          <w:rFonts w:ascii="Century Gothic" w:hAnsi="Century Gothic" w:cs="Century Gothic" w:eastAsia="Century Gothic" w:hint="default"/>
          <w:spacing w:val="51"/>
        </w:rPr>
        <w:t> </w:t>
      </w:r>
      <w:r>
        <w:rPr>
          <w:rFonts w:ascii="宋体" w:hAnsi="宋体" w:cs="宋体" w:eastAsia="宋体" w:hint="default"/>
        </w:rPr>
        <w:t>收到的其他与筹资活动有关的现金</w:t>
      </w:r>
      <w:r>
        <w:rPr>
          <w:rFonts w:ascii="宋体" w:hAnsi="宋体" w:cs="宋体" w:eastAsia="宋体" w:hint="default"/>
          <w:b w:val="0"/>
          <w:bCs w:val="0"/>
        </w:rPr>
      </w:r>
    </w:p>
    <w:p>
      <w:pPr>
        <w:spacing w:line="240" w:lineRule="auto" w:before="2"/>
        <w:rPr>
          <w:rFonts w:ascii="宋体" w:hAnsi="宋体" w:cs="宋体" w:eastAsia="宋体" w:hint="default"/>
          <w:b/>
          <w:bCs/>
          <w:sz w:val="16"/>
          <w:szCs w:val="16"/>
        </w:rPr>
      </w:pPr>
    </w:p>
    <w:tbl>
      <w:tblPr>
        <w:tblW w:w="0" w:type="auto"/>
        <w:jc w:val="left"/>
        <w:tblInd w:w="281" w:type="dxa"/>
        <w:tblLayout w:type="fixed"/>
        <w:tblCellMar>
          <w:top w:w="0" w:type="dxa"/>
          <w:left w:w="0" w:type="dxa"/>
          <w:bottom w:w="0" w:type="dxa"/>
          <w:right w:w="0" w:type="dxa"/>
        </w:tblCellMar>
        <w:tblLook w:val="01E0"/>
      </w:tblPr>
      <w:tblGrid>
        <w:gridCol w:w="4334"/>
        <w:gridCol w:w="2340"/>
        <w:gridCol w:w="2184"/>
      </w:tblGrid>
      <w:tr>
        <w:trPr>
          <w:trHeight w:val="307" w:hRule="exact"/>
        </w:trPr>
        <w:tc>
          <w:tcPr>
            <w:tcW w:w="4334"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right="1940"/>
              <w:jc w:val="right"/>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74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left="664"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right="1892"/>
              <w:jc w:val="right"/>
              <w:rPr>
                <w:rFonts w:ascii="宋体" w:hAnsi="宋体" w:cs="宋体" w:eastAsia="宋体" w:hint="default"/>
                <w:sz w:val="21"/>
                <w:szCs w:val="21"/>
              </w:rPr>
            </w:pPr>
            <w:r>
              <w:rPr>
                <w:rFonts w:ascii="宋体" w:hAnsi="宋体" w:cs="宋体" w:eastAsia="宋体" w:hint="default"/>
                <w:sz w:val="21"/>
                <w:szCs w:val="21"/>
              </w:rPr>
              <w:t>融资性质的票据贴现收款</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770" w:right="0"/>
              <w:jc w:val="left"/>
              <w:rPr>
                <w:rFonts w:ascii="Century Gothic" w:hAnsi="Century Gothic" w:cs="Century Gothic" w:eastAsia="Century Gothic" w:hint="default"/>
                <w:sz w:val="21"/>
                <w:szCs w:val="21"/>
              </w:rPr>
            </w:pPr>
            <w:r>
              <w:rPr>
                <w:rFonts w:ascii="Century Gothic"/>
                <w:sz w:val="21"/>
              </w:rPr>
              <w:t>235,468,164.24</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244,783,174.46</w:t>
            </w:r>
            <w:r>
              <w:rPr>
                <w:rFonts w:ascii="Century Gothic"/>
                <w:sz w:val="21"/>
              </w:rPr>
            </w:r>
          </w:p>
        </w:tc>
      </w:tr>
      <w:tr>
        <w:trPr>
          <w:trHeight w:val="307" w:hRule="exact"/>
        </w:trPr>
        <w:tc>
          <w:tcPr>
            <w:tcW w:w="4334"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right="1940"/>
              <w:jc w:val="right"/>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left="754" w:right="0"/>
              <w:jc w:val="left"/>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235,468,164.24</w:t>
            </w:r>
            <w:r>
              <w:rPr>
                <w:rFonts w:ascii="Century Gothic"/>
                <w:b/>
                <w:sz w:val="21"/>
              </w:rPr>
            </w:r>
            <w:r>
              <w:rPr>
                <w:rFonts w:ascii="Century Gothic"/>
                <w:sz w:val="21"/>
              </w:rPr>
            </w: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244,783,174.46</w:t>
            </w:r>
            <w:r>
              <w:rPr>
                <w:rFonts w:ascii="Century Gothic"/>
                <w:b/>
                <w:w w:val="95"/>
                <w:sz w:val="21"/>
              </w:rPr>
            </w:r>
            <w:r>
              <w:rPr>
                <w:rFonts w:ascii="Century Gothic"/>
                <w:sz w:val="21"/>
              </w:rPr>
            </w:r>
          </w:p>
        </w:tc>
      </w:tr>
    </w:tbl>
    <w:p>
      <w:pPr>
        <w:pStyle w:val="Heading4"/>
        <w:spacing w:line="240" w:lineRule="auto" w:before="26"/>
        <w:ind w:left="560" w:right="0"/>
        <w:jc w:val="left"/>
        <w:rPr>
          <w:rFonts w:ascii="宋体" w:hAnsi="宋体" w:cs="宋体" w:eastAsia="宋体" w:hint="default"/>
          <w:b w:val="0"/>
          <w:bCs w:val="0"/>
        </w:rPr>
      </w:pPr>
      <w:r>
        <w:rPr>
          <w:rFonts w:ascii="Century Gothic" w:hAnsi="Century Gothic" w:cs="Century Gothic" w:eastAsia="Century Gothic" w:hint="default"/>
        </w:rPr>
        <w:t>5.</w:t>
      </w:r>
      <w:r>
        <w:rPr>
          <w:rFonts w:ascii="Century Gothic" w:hAnsi="Century Gothic" w:cs="Century Gothic" w:eastAsia="Century Gothic" w:hint="default"/>
          <w:spacing w:val="51"/>
        </w:rPr>
        <w:t> </w:t>
      </w:r>
      <w:r>
        <w:rPr>
          <w:rFonts w:ascii="宋体" w:hAnsi="宋体" w:cs="宋体" w:eastAsia="宋体" w:hint="default"/>
        </w:rPr>
        <w:t>支付的其他与筹资活动有关的现金</w:t>
      </w:r>
      <w:r>
        <w:rPr>
          <w:rFonts w:ascii="宋体" w:hAnsi="宋体" w:cs="宋体" w:eastAsia="宋体" w:hint="default"/>
          <w:b w:val="0"/>
          <w:bCs w:val="0"/>
        </w:rPr>
      </w:r>
    </w:p>
    <w:p>
      <w:pPr>
        <w:spacing w:line="240" w:lineRule="auto" w:before="2"/>
        <w:rPr>
          <w:rFonts w:ascii="宋体" w:hAnsi="宋体" w:cs="宋体" w:eastAsia="宋体" w:hint="default"/>
          <w:b/>
          <w:bCs/>
          <w:sz w:val="16"/>
          <w:szCs w:val="16"/>
        </w:rPr>
      </w:pPr>
    </w:p>
    <w:tbl>
      <w:tblPr>
        <w:tblW w:w="0" w:type="auto"/>
        <w:jc w:val="left"/>
        <w:tblInd w:w="281" w:type="dxa"/>
        <w:tblLayout w:type="fixed"/>
        <w:tblCellMar>
          <w:top w:w="0" w:type="dxa"/>
          <w:left w:w="0" w:type="dxa"/>
          <w:bottom w:w="0" w:type="dxa"/>
          <w:right w:w="0" w:type="dxa"/>
        </w:tblCellMar>
        <w:tblLook w:val="01E0"/>
      </w:tblPr>
      <w:tblGrid>
        <w:gridCol w:w="4334"/>
        <w:gridCol w:w="2340"/>
        <w:gridCol w:w="2184"/>
      </w:tblGrid>
      <w:tr>
        <w:trPr>
          <w:trHeight w:val="307" w:hRule="exact"/>
        </w:trPr>
        <w:tc>
          <w:tcPr>
            <w:tcW w:w="4334"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74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184"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left="664"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具有融资性质的票据到期支付给银行的款项</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150,000,000.00</w:t>
            </w:r>
            <w:r>
              <w:rPr>
                <w:rFonts w:ascii="Century Gothic"/>
                <w:sz w:val="21"/>
              </w:rPr>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195,000,000.00</w:t>
            </w:r>
            <w:r>
              <w:rPr>
                <w:rFonts w:ascii="Century Gothic"/>
                <w:sz w:val="21"/>
              </w:rPr>
            </w:r>
          </w:p>
        </w:tc>
      </w:tr>
      <w:tr>
        <w:trPr>
          <w:trHeight w:val="299"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定期存单为短期借款质押支付给银行的款项</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31,305,000.00</w:t>
            </w:r>
          </w:p>
        </w:tc>
        <w:tc>
          <w:tcPr>
            <w:tcW w:w="2184"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433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支付具有融资性质的票据保证金</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47,200,000.00</w:t>
            </w:r>
          </w:p>
        </w:tc>
        <w:tc>
          <w:tcPr>
            <w:tcW w:w="218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5,000,000.00</w:t>
            </w:r>
          </w:p>
        </w:tc>
      </w:tr>
      <w:tr>
        <w:trPr>
          <w:trHeight w:val="307" w:hRule="exact"/>
        </w:trPr>
        <w:tc>
          <w:tcPr>
            <w:tcW w:w="4334"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228,505,000.00</w:t>
            </w:r>
            <w:r>
              <w:rPr>
                <w:rFonts w:ascii="Century Gothic"/>
                <w:b/>
                <w:w w:val="95"/>
                <w:sz w:val="21"/>
              </w:rPr>
            </w:r>
            <w:r>
              <w:rPr>
                <w:rFonts w:ascii="Century Gothic"/>
                <w:sz w:val="21"/>
              </w:rPr>
            </w:r>
          </w:p>
        </w:tc>
        <w:tc>
          <w:tcPr>
            <w:tcW w:w="218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200,000,000.00</w:t>
            </w:r>
            <w:r>
              <w:rPr>
                <w:rFonts w:ascii="Century Gothic"/>
                <w:b/>
                <w:w w:val="95"/>
                <w:sz w:val="21"/>
              </w:rPr>
            </w:r>
            <w:r>
              <w:rPr>
                <w:rFonts w:ascii="Century Gothic"/>
                <w:sz w:val="21"/>
              </w:rPr>
            </w:r>
          </w:p>
        </w:tc>
      </w:tr>
    </w:tbl>
    <w:p>
      <w:pPr>
        <w:pStyle w:val="Heading4"/>
        <w:tabs>
          <w:tab w:pos="1838" w:val="left" w:leader="none"/>
        </w:tabs>
        <w:spacing w:line="240" w:lineRule="auto" w:before="86"/>
        <w:ind w:right="0"/>
        <w:jc w:val="left"/>
        <w:rPr>
          <w:rFonts w:ascii="宋体" w:hAnsi="宋体" w:cs="宋体" w:eastAsia="宋体" w:hint="default"/>
          <w:b w:val="0"/>
          <w:bCs w:val="0"/>
        </w:rPr>
      </w:pPr>
      <w:r>
        <w:rPr>
          <w:rFonts w:ascii="宋体" w:hAnsi="宋体" w:cs="宋体" w:eastAsia="宋体" w:hint="default"/>
          <w:w w:val="95"/>
        </w:rPr>
        <w:t>（四十四）</w:t>
        <w:tab/>
      </w:r>
      <w:r>
        <w:rPr>
          <w:rFonts w:ascii="宋体" w:hAnsi="宋体" w:cs="宋体" w:eastAsia="宋体" w:hint="default"/>
        </w:rPr>
        <w:t>现金流量表补充资料</w:t>
      </w:r>
      <w:r>
        <w:rPr>
          <w:rFonts w:ascii="宋体" w:hAnsi="宋体" w:cs="宋体" w:eastAsia="宋体" w:hint="default"/>
          <w:b w:val="0"/>
          <w:bCs w:val="0"/>
        </w:rPr>
      </w:r>
    </w:p>
    <w:p>
      <w:pPr>
        <w:pStyle w:val="BodyText"/>
        <w:spacing w:line="240" w:lineRule="auto" w:before="134"/>
        <w:ind w:left="558" w:right="0"/>
        <w:jc w:val="left"/>
      </w:pPr>
      <w:r>
        <w:rPr/>
        <w:t>（</w:t>
      </w:r>
      <w:r>
        <w:rPr>
          <w:rFonts w:ascii="Century Gothic" w:hAnsi="Century Gothic" w:cs="Century Gothic" w:eastAsia="Century Gothic" w:hint="default"/>
        </w:rPr>
        <w:t>1</w:t>
      </w:r>
      <w:r>
        <w:rPr/>
        <w:t>）采用间接法将净利润调节为经营活动现金流量</w:t>
      </w:r>
    </w:p>
    <w:p>
      <w:pPr>
        <w:spacing w:line="240" w:lineRule="auto" w:before="8"/>
        <w:rPr>
          <w:rFonts w:ascii="宋体" w:hAnsi="宋体" w:cs="宋体" w:eastAsia="宋体" w:hint="default"/>
          <w:sz w:val="11"/>
          <w:szCs w:val="11"/>
        </w:rPr>
      </w:pPr>
    </w:p>
    <w:p>
      <w:pPr>
        <w:spacing w:line="429" w:lineRule="exact"/>
        <w:ind w:left="281"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44.45pt;height:21.5pt;mso-position-horizontal-relative:char;mso-position-vertical-relative:line" coordorigin="0,0" coordsize="8889,430">
            <v:group style="position:absolute;left:29;top:15;width:8837;height:2" coordorigin="29,15" coordsize="8837,2">
              <v:shape style="position:absolute;left:29;top:15;width:8837;height:2" coordorigin="29,15" coordsize="8837,0" path="m29,15l8866,15e" filled="false" stroked="true" strokeweight="1.5pt" strokecolor="#000000">
                <v:path arrowok="t"/>
              </v:shape>
            </v:group>
            <v:group style="position:absolute;left:15;top:415;width:5441;height:2" coordorigin="15,415" coordsize="5441,2">
              <v:shape style="position:absolute;left:15;top:415;width:5441;height:2" coordorigin="15,415" coordsize="5441,0" path="m15,415l5456,415e" filled="false" stroked="true" strokeweight="1.5pt" strokecolor="#000000">
                <v:path arrowok="t"/>
              </v:shape>
            </v:group>
            <v:group style="position:absolute;left:5463;top:30;width:2;height:370" coordorigin="5463,30" coordsize="2,370">
              <v:shape style="position:absolute;left:5463;top:30;width:2;height:370" coordorigin="5463,30" coordsize="0,370" path="m5463,30l5463,400e" filled="false" stroked="true" strokeweight=".72pt" strokecolor="#000000">
                <v:path arrowok="t"/>
              </v:shape>
            </v:group>
            <v:group style="position:absolute;left:5456;top:415;width:1740;height:2" coordorigin="5456,415" coordsize="1740,2">
              <v:shape style="position:absolute;left:5456;top:415;width:1740;height:2" coordorigin="5456,415" coordsize="1740,0" path="m5456,415l7196,415e" filled="false" stroked="true" strokeweight="1.5pt" strokecolor="#000000">
                <v:path arrowok="t"/>
              </v:shape>
            </v:group>
            <v:group style="position:absolute;left:7203;top:30;width:2;height:370" coordorigin="7203,30" coordsize="2,370">
              <v:shape style="position:absolute;left:7203;top:30;width:2;height:370" coordorigin="7203,30" coordsize="0,370" path="m7203,30l7203,400e" filled="false" stroked="true" strokeweight=".71997pt" strokecolor="#000000">
                <v:path arrowok="t"/>
              </v:shape>
            </v:group>
            <v:group style="position:absolute;left:7196;top:415;width:1678;height:2" coordorigin="7196,415" coordsize="1678,2">
              <v:shape style="position:absolute;left:7196;top:415;width:1678;height:2" coordorigin="7196,415" coordsize="1678,0" path="m7196,415l8873,415e" filled="false" stroked="true" strokeweight="1.5pt" strokecolor="#000000">
                <v:path arrowok="t"/>
              </v:shape>
              <v:shape style="position:absolute;left:5463;top:15;width:1740;height:400" type="#_x0000_t202" filled="false" stroked="false">
                <v:textbox inset="0,0,0,0">
                  <w:txbxContent>
                    <w:p>
                      <w:pPr>
                        <w:spacing w:before="29"/>
                        <w:ind w:left="450" w:right="0" w:firstLine="0"/>
                        <w:jc w:val="left"/>
                        <w:rPr>
                          <w:rFonts w:ascii="宋体" w:hAnsi="宋体" w:cs="宋体" w:eastAsia="宋体" w:hint="default"/>
                          <w:sz w:val="21"/>
                          <w:szCs w:val="21"/>
                        </w:rPr>
                      </w:pPr>
                      <w:r>
                        <w:rPr>
                          <w:rFonts w:ascii="宋体" w:hAnsi="宋体" w:cs="宋体" w:eastAsia="宋体" w:hint="default"/>
                          <w:sz w:val="21"/>
                          <w:szCs w:val="21"/>
                        </w:rPr>
                        <w:t>本年金额</w:t>
                      </w:r>
                    </w:p>
                  </w:txbxContent>
                </v:textbox>
                <w10:wrap type="none"/>
              </v:shape>
              <v:shape style="position:absolute;left:2326;top:109;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补充资料</w:t>
                      </w:r>
                    </w:p>
                  </w:txbxContent>
                </v:textbox>
                <w10:wrap type="none"/>
              </v:shape>
              <v:shape style="position:absolute;left:7618;top:109;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上年金额</w:t>
                      </w:r>
                    </w:p>
                  </w:txbxContent>
                </v:textbox>
                <w10:wrap type="none"/>
              </v:shape>
            </v:group>
          </v:group>
        </w:pict>
      </w:r>
      <w:r>
        <w:rPr>
          <w:rFonts w:ascii="宋体" w:hAnsi="宋体" w:cs="宋体" w:eastAsia="宋体" w:hint="default"/>
          <w:position w:val="-8"/>
          <w:sz w:val="20"/>
          <w:szCs w:val="20"/>
        </w:rPr>
      </w:r>
    </w:p>
    <w:p>
      <w:pPr>
        <w:spacing w:line="240" w:lineRule="auto" w:before="1"/>
        <w:rPr>
          <w:rFonts w:ascii="宋体" w:hAnsi="宋体" w:cs="宋体" w:eastAsia="宋体" w:hint="default"/>
          <w:sz w:val="14"/>
          <w:szCs w:val="14"/>
        </w:rPr>
      </w:pPr>
    </w:p>
    <w:p>
      <w:pPr>
        <w:spacing w:before="76"/>
        <w:ind w:left="482" w:right="320" w:firstLine="0"/>
        <w:jc w:val="center"/>
        <w:rPr>
          <w:rFonts w:ascii="Times New Roman" w:hAnsi="Times New Roman" w:cs="Times New Roman" w:eastAsia="Times New Roman" w:hint="default"/>
          <w:sz w:val="18"/>
          <w:szCs w:val="18"/>
        </w:rPr>
      </w:pPr>
      <w:r>
        <w:rPr>
          <w:rFonts w:ascii="Times New Roman"/>
          <w:sz w:val="18"/>
        </w:rPr>
        <w:t>91</w:t>
      </w:r>
    </w:p>
    <w:p>
      <w:pPr>
        <w:spacing w:after="0"/>
        <w:jc w:val="center"/>
        <w:rPr>
          <w:rFonts w:ascii="Times New Roman" w:hAnsi="Times New Roman" w:cs="Times New Roman" w:eastAsia="Times New Roman" w:hint="default"/>
          <w:sz w:val="18"/>
          <w:szCs w:val="18"/>
        </w:rPr>
        <w:sectPr>
          <w:pgSz w:w="11910" w:h="16840"/>
          <w:pgMar w:top="780" w:bottom="280" w:left="1280" w:right="132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6160"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81" w:type="dxa"/>
        <w:tblLayout w:type="fixed"/>
        <w:tblCellMar>
          <w:top w:w="0" w:type="dxa"/>
          <w:left w:w="0" w:type="dxa"/>
          <w:bottom w:w="0" w:type="dxa"/>
          <w:right w:w="0" w:type="dxa"/>
        </w:tblCellMar>
        <w:tblLook w:val="01E0"/>
      </w:tblPr>
      <w:tblGrid>
        <w:gridCol w:w="5448"/>
        <w:gridCol w:w="1740"/>
        <w:gridCol w:w="1670"/>
      </w:tblGrid>
      <w:tr>
        <w:trPr>
          <w:trHeight w:val="391" w:hRule="exact"/>
        </w:trPr>
        <w:tc>
          <w:tcPr>
            <w:tcW w:w="544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left="2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7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44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7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left="408"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将净利润调节为经营活动现金流量：</w:t>
            </w:r>
          </w:p>
        </w:tc>
        <w:tc>
          <w:tcPr>
            <w:tcW w:w="1740"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entury Gothic" w:hAnsi="Century Gothic" w:cs="Century Gothic" w:eastAsia="Century Gothic" w:hint="default"/>
                <w:sz w:val="21"/>
                <w:szCs w:val="21"/>
              </w:rPr>
            </w:pPr>
            <w:r>
              <w:rPr>
                <w:rFonts w:ascii="Century Gothic"/>
                <w:spacing w:val="-1"/>
                <w:sz w:val="21"/>
              </w:rPr>
              <w:t>-63,446,479.89</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23,683,194.43</w:t>
            </w: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Century Gothic" w:hAnsi="Century Gothic" w:cs="Century Gothic" w:eastAsia="Century Gothic" w:hint="default"/>
                <w:sz w:val="21"/>
                <w:szCs w:val="21"/>
              </w:rPr>
            </w:pPr>
            <w:r>
              <w:rPr>
                <w:rFonts w:ascii="Century Gothic"/>
                <w:spacing w:val="-1"/>
                <w:sz w:val="21"/>
              </w:rPr>
              <w:t>59,812,463.14</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-24,764,876.66</w:t>
            </w:r>
            <w:r>
              <w:rPr>
                <w:rFonts w:ascii="Century Gothic"/>
                <w:sz w:val="21"/>
              </w:rPr>
            </w: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entury Gothic" w:hAnsi="Century Gothic" w:cs="Century Gothic" w:eastAsia="Century Gothic" w:hint="default"/>
                <w:sz w:val="21"/>
                <w:szCs w:val="21"/>
              </w:rPr>
            </w:pPr>
            <w:r>
              <w:rPr>
                <w:rFonts w:ascii="Century Gothic"/>
                <w:spacing w:val="-1"/>
                <w:sz w:val="21"/>
              </w:rPr>
              <w:t>37,577,231.22</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52,001,289.14</w:t>
            </w: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0"/>
              <w:jc w:val="right"/>
              <w:rPr>
                <w:rFonts w:ascii="Century Gothic" w:hAnsi="Century Gothic" w:cs="Century Gothic" w:eastAsia="Century Gothic" w:hint="default"/>
                <w:sz w:val="21"/>
                <w:szCs w:val="21"/>
              </w:rPr>
            </w:pPr>
            <w:r>
              <w:rPr>
                <w:rFonts w:ascii="Century Gothic"/>
                <w:spacing w:val="-1"/>
                <w:sz w:val="21"/>
              </w:rPr>
              <w:t>9,121,735.42</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10,742,053.18</w:t>
            </w: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0"/>
              <w:jc w:val="right"/>
              <w:rPr>
                <w:rFonts w:ascii="Century Gothic" w:hAnsi="Century Gothic" w:cs="Century Gothic" w:eastAsia="Century Gothic" w:hint="default"/>
                <w:sz w:val="21"/>
                <w:szCs w:val="21"/>
              </w:rPr>
            </w:pPr>
            <w:r>
              <w:rPr>
                <w:rFonts w:ascii="Century Gothic"/>
                <w:spacing w:val="-1"/>
                <w:sz w:val="21"/>
              </w:rPr>
              <w:t>727,034.96</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772,034.96</w:t>
            </w:r>
          </w:p>
        </w:tc>
      </w:tr>
      <w:tr>
        <w:trPr>
          <w:trHeight w:val="562"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6,382,866.73</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5"/>
              <w:jc w:val="right"/>
              <w:rPr>
                <w:rFonts w:ascii="Century Gothic" w:hAnsi="Century Gothic" w:cs="Century Gothic" w:eastAsia="Century Gothic" w:hint="default"/>
                <w:sz w:val="21"/>
                <w:szCs w:val="21"/>
              </w:rPr>
            </w:pPr>
            <w:r>
              <w:rPr>
                <w:rFonts w:ascii="Century Gothic"/>
                <w:spacing w:val="-1"/>
                <w:sz w:val="21"/>
              </w:rPr>
              <w:t>-20,490,946.24</w:t>
            </w:r>
            <w:r>
              <w:rPr>
                <w:rFonts w:ascii="Century Gothic"/>
                <w:sz w:val="21"/>
              </w:rPr>
            </w: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740"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740"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entury Gothic" w:hAnsi="Century Gothic" w:cs="Century Gothic" w:eastAsia="Century Gothic" w:hint="default"/>
                <w:sz w:val="21"/>
                <w:szCs w:val="21"/>
              </w:rPr>
            </w:pPr>
            <w:r>
              <w:rPr>
                <w:rFonts w:ascii="Century Gothic"/>
                <w:spacing w:val="-1"/>
                <w:sz w:val="21"/>
              </w:rPr>
              <w:t>73,773,047.55</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91,855,204.95</w:t>
            </w: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Century Gothic" w:hAnsi="Century Gothic" w:cs="Century Gothic" w:eastAsia="Century Gothic" w:hint="default"/>
                <w:sz w:val="21"/>
                <w:szCs w:val="21"/>
              </w:rPr>
            </w:pPr>
            <w:r>
              <w:rPr>
                <w:rFonts w:ascii="Century Gothic"/>
                <w:spacing w:val="-1"/>
                <w:sz w:val="21"/>
              </w:rPr>
              <w:t>765,837.95</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4"/>
              <w:jc w:val="right"/>
              <w:rPr>
                <w:rFonts w:ascii="Century Gothic" w:hAnsi="Century Gothic" w:cs="Century Gothic" w:eastAsia="Century Gothic" w:hint="default"/>
                <w:sz w:val="21"/>
                <w:szCs w:val="21"/>
              </w:rPr>
            </w:pPr>
            <w:r>
              <w:rPr>
                <w:rFonts w:ascii="Century Gothic"/>
                <w:spacing w:val="-1"/>
                <w:sz w:val="21"/>
              </w:rPr>
              <w:t>-2,836,730.38</w:t>
            </w: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entury Gothic" w:hAnsi="Century Gothic" w:cs="Century Gothic" w:eastAsia="Century Gothic" w:hint="default"/>
                <w:sz w:val="21"/>
                <w:szCs w:val="21"/>
              </w:rPr>
            </w:pPr>
            <w:r>
              <w:rPr>
                <w:rFonts w:ascii="Century Gothic"/>
                <w:spacing w:val="-1"/>
                <w:sz w:val="21"/>
              </w:rPr>
              <w:t>-5,121,055.25</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6"/>
              <w:jc w:val="right"/>
              <w:rPr>
                <w:rFonts w:ascii="Century Gothic" w:hAnsi="Century Gothic" w:cs="Century Gothic" w:eastAsia="Century Gothic" w:hint="default"/>
                <w:sz w:val="21"/>
                <w:szCs w:val="21"/>
              </w:rPr>
            </w:pPr>
            <w:r>
              <w:rPr>
                <w:rFonts w:ascii="Century Gothic"/>
                <w:spacing w:val="-1"/>
                <w:sz w:val="21"/>
              </w:rPr>
              <w:t>6,407,850.98</w:t>
            </w: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740"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entury Gothic" w:hAnsi="Century Gothic" w:cs="Century Gothic" w:eastAsia="Century Gothic" w:hint="default"/>
                <w:sz w:val="21"/>
                <w:szCs w:val="21"/>
              </w:rPr>
            </w:pPr>
            <w:r>
              <w:rPr>
                <w:rFonts w:ascii="Century Gothic"/>
                <w:spacing w:val="-1"/>
                <w:sz w:val="21"/>
              </w:rPr>
              <w:t>-38,300,849.67</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63,182,429.08</w:t>
            </w: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Century Gothic" w:hAnsi="Century Gothic" w:cs="Century Gothic" w:eastAsia="Century Gothic" w:hint="default"/>
                <w:sz w:val="21"/>
                <w:szCs w:val="21"/>
              </w:rPr>
            </w:pPr>
            <w:r>
              <w:rPr>
                <w:rFonts w:ascii="Century Gothic"/>
                <w:spacing w:val="-1"/>
                <w:sz w:val="21"/>
              </w:rPr>
              <w:t>-116,285,023.98</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-11,571,944.72</w:t>
            </w:r>
            <w:r>
              <w:rPr>
                <w:rFonts w:ascii="Century Gothic"/>
                <w:sz w:val="21"/>
              </w:rPr>
            </w: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Century Gothic" w:hAnsi="Century Gothic" w:cs="Century Gothic" w:eastAsia="Century Gothic" w:hint="default"/>
                <w:sz w:val="21"/>
                <w:szCs w:val="21"/>
              </w:rPr>
            </w:pPr>
            <w:r>
              <w:rPr>
                <w:rFonts w:ascii="Century Gothic"/>
                <w:spacing w:val="-1"/>
                <w:sz w:val="21"/>
              </w:rPr>
              <w:t>114,476,847.47</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-50,160,516.16</w:t>
            </w:r>
            <w:r>
              <w:rPr>
                <w:rFonts w:ascii="Century Gothic"/>
                <w:sz w:val="21"/>
              </w:rPr>
            </w: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0"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entury Gothic" w:hAnsi="Century Gothic" w:cs="Century Gothic" w:eastAsia="Century Gothic" w:hint="default"/>
                <w:sz w:val="21"/>
                <w:szCs w:val="21"/>
              </w:rPr>
            </w:pPr>
            <w:r>
              <w:rPr>
                <w:rFonts w:ascii="Century Gothic"/>
                <w:spacing w:val="-1"/>
                <w:sz w:val="21"/>
              </w:rPr>
              <w:t>79,483,655.65</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138,819,042.56</w:t>
            </w:r>
            <w:r>
              <w:rPr>
                <w:rFonts w:ascii="Century Gothic"/>
                <w:sz w:val="21"/>
              </w:rPr>
            </w: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不涉及现金收支的重大投资和筹资活动：</w:t>
            </w:r>
          </w:p>
        </w:tc>
        <w:tc>
          <w:tcPr>
            <w:tcW w:w="1740"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740"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40"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40"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宋体" w:hAnsi="宋体" w:cs="宋体" w:eastAsia="宋体" w:hint="default"/>
                <w:sz w:val="21"/>
                <w:szCs w:val="21"/>
              </w:rPr>
              <w:t>现金及现金等价物净变动情况：</w:t>
            </w:r>
          </w:p>
        </w:tc>
        <w:tc>
          <w:tcPr>
            <w:tcW w:w="1740"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Century Gothic" w:hAnsi="Century Gothic" w:cs="Century Gothic" w:eastAsia="Century Gothic" w:hint="default"/>
                <w:sz w:val="21"/>
                <w:szCs w:val="21"/>
              </w:rPr>
            </w:pPr>
            <w:r>
              <w:rPr>
                <w:rFonts w:ascii="Century Gothic"/>
                <w:spacing w:val="-1"/>
                <w:sz w:val="21"/>
              </w:rPr>
              <w:t>272,602,442.88</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254,201,202.52</w:t>
            </w:r>
            <w:r>
              <w:rPr>
                <w:rFonts w:ascii="Century Gothic"/>
                <w:sz w:val="21"/>
              </w:rPr>
            </w: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Century Gothic" w:hAnsi="Century Gothic" w:cs="Century Gothic" w:eastAsia="Century Gothic" w:hint="default"/>
                <w:sz w:val="21"/>
                <w:szCs w:val="21"/>
              </w:rPr>
            </w:pPr>
            <w:r>
              <w:rPr>
                <w:rFonts w:ascii="Century Gothic"/>
                <w:spacing w:val="-1"/>
                <w:sz w:val="21"/>
              </w:rPr>
              <w:t>254,201,202.52</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236,589,331.76</w:t>
            </w:r>
            <w:r>
              <w:rPr>
                <w:rFonts w:ascii="Century Gothic"/>
                <w:sz w:val="21"/>
              </w:rPr>
            </w: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740"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44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740"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92" w:hRule="exact"/>
        </w:trPr>
        <w:tc>
          <w:tcPr>
            <w:tcW w:w="544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8"/>
              <w:jc w:val="right"/>
              <w:rPr>
                <w:rFonts w:ascii="Century Gothic" w:hAnsi="Century Gothic" w:cs="Century Gothic" w:eastAsia="Century Gothic" w:hint="default"/>
                <w:sz w:val="21"/>
                <w:szCs w:val="21"/>
              </w:rPr>
            </w:pPr>
            <w:r>
              <w:rPr>
                <w:rFonts w:ascii="Century Gothic"/>
                <w:spacing w:val="-1"/>
                <w:sz w:val="21"/>
              </w:rPr>
              <w:t>18,401,240.36</w:t>
            </w:r>
          </w:p>
        </w:tc>
        <w:tc>
          <w:tcPr>
            <w:tcW w:w="16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17,611,870.76</w:t>
            </w:r>
          </w:p>
        </w:tc>
      </w:tr>
    </w:tbl>
    <w:p>
      <w:pPr>
        <w:pStyle w:val="BodyText"/>
        <w:spacing w:line="240" w:lineRule="auto" w:before="94"/>
        <w:ind w:left="558" w:right="0"/>
        <w:jc w:val="left"/>
      </w:pPr>
      <w:r>
        <w:rPr/>
        <w:t>（</w:t>
      </w:r>
      <w:r>
        <w:rPr>
          <w:rFonts w:ascii="Century Gothic" w:hAnsi="Century Gothic" w:cs="Century Gothic" w:eastAsia="Century Gothic" w:hint="default"/>
        </w:rPr>
        <w:t>2</w:t>
      </w:r>
      <w:r>
        <w:rPr/>
        <w:t>）本年取得或处置子公司及其他营业单位的有关信息</w:t>
      </w:r>
    </w:p>
    <w:p>
      <w:pPr>
        <w:spacing w:line="240" w:lineRule="auto" w:before="10"/>
        <w:rPr>
          <w:rFonts w:ascii="宋体" w:hAnsi="宋体" w:cs="宋体" w:eastAsia="宋体" w:hint="default"/>
          <w:sz w:val="20"/>
          <w:szCs w:val="20"/>
        </w:rPr>
      </w:pPr>
    </w:p>
    <w:tbl>
      <w:tblPr>
        <w:tblW w:w="0" w:type="auto"/>
        <w:jc w:val="left"/>
        <w:tblInd w:w="285" w:type="dxa"/>
        <w:tblLayout w:type="fixed"/>
        <w:tblCellMar>
          <w:top w:w="0" w:type="dxa"/>
          <w:left w:w="0" w:type="dxa"/>
          <w:bottom w:w="0" w:type="dxa"/>
          <w:right w:w="0" w:type="dxa"/>
        </w:tblCellMar>
        <w:tblLook w:val="01E0"/>
      </w:tblPr>
      <w:tblGrid>
        <w:gridCol w:w="5510"/>
        <w:gridCol w:w="1670"/>
        <w:gridCol w:w="1672"/>
      </w:tblGrid>
      <w:tr>
        <w:trPr>
          <w:trHeight w:val="416" w:hRule="exact"/>
        </w:trPr>
        <w:tc>
          <w:tcPr>
            <w:tcW w:w="5510" w:type="dxa"/>
            <w:tcBorders>
              <w:top w:val="single" w:sz="12" w:space="0" w:color="000000"/>
              <w:left w:val="nil" w:sz="6" w:space="0" w:color="auto"/>
              <w:bottom w:val="single" w:sz="6" w:space="0" w:color="000000"/>
              <w:right w:val="single" w:sz="6" w:space="0" w:color="000000"/>
            </w:tcBorders>
          </w:tcPr>
          <w:p>
            <w:pPr>
              <w:pStyle w:val="TableParagraph"/>
              <w:tabs>
                <w:tab w:pos="526" w:val="left" w:leader="none"/>
              </w:tabs>
              <w:spacing w:line="240" w:lineRule="auto" w:before="26"/>
              <w:ind w:left="10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88" w:right="0"/>
              <w:jc w:val="center"/>
              <w:rPr>
                <w:rFonts w:ascii="宋体" w:hAnsi="宋体" w:cs="宋体" w:eastAsia="宋体" w:hint="default"/>
                <w:sz w:val="21"/>
                <w:szCs w:val="21"/>
              </w:rPr>
            </w:pPr>
            <w:r>
              <w:rPr>
                <w:rFonts w:ascii="宋体" w:hAnsi="宋体" w:cs="宋体" w:eastAsia="宋体" w:hint="default"/>
                <w:sz w:val="21"/>
                <w:szCs w:val="21"/>
              </w:rPr>
              <w:t>本年金额</w:t>
            </w:r>
          </w:p>
        </w:tc>
        <w:tc>
          <w:tcPr>
            <w:tcW w:w="16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6"/>
              <w:ind w:left="80"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55" w:hRule="exact"/>
        </w:trPr>
        <w:tc>
          <w:tcPr>
            <w:tcW w:w="551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一、处置子公司及其他营业单位的有关信息：</w:t>
            </w:r>
          </w:p>
        </w:tc>
        <w:tc>
          <w:tcPr>
            <w:tcW w:w="1670" w:type="dxa"/>
            <w:tcBorders>
              <w:top w:val="single" w:sz="6" w:space="0" w:color="000000"/>
              <w:left w:val="single" w:sz="6" w:space="0" w:color="000000"/>
              <w:bottom w:val="single" w:sz="6" w:space="0" w:color="000000"/>
              <w:right w:val="single" w:sz="6" w:space="0" w:color="000000"/>
            </w:tcBorders>
          </w:tcPr>
          <w:p>
            <w:pPr/>
          </w:p>
        </w:tc>
        <w:tc>
          <w:tcPr>
            <w:tcW w:w="1672"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551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54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．处置子公司及其他营业单位的价格</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left="118" w:right="0"/>
              <w:jc w:val="center"/>
              <w:rPr>
                <w:rFonts w:ascii="Century Gothic" w:hAnsi="Century Gothic" w:cs="Century Gothic" w:eastAsia="Century Gothic" w:hint="default"/>
                <w:sz w:val="21"/>
                <w:szCs w:val="21"/>
              </w:rPr>
            </w:pPr>
            <w:r>
              <w:rPr>
                <w:rFonts w:ascii="Century Gothic"/>
                <w:sz w:val="21"/>
              </w:rPr>
              <w:t>87,116,000.00</w:t>
            </w:r>
          </w:p>
        </w:tc>
        <w:tc>
          <w:tcPr>
            <w:tcW w:w="16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left="110" w:right="0"/>
              <w:jc w:val="center"/>
              <w:rPr>
                <w:rFonts w:ascii="Century Gothic" w:hAnsi="Century Gothic" w:cs="Century Gothic" w:eastAsia="Century Gothic" w:hint="default"/>
                <w:sz w:val="21"/>
                <w:szCs w:val="21"/>
              </w:rPr>
            </w:pPr>
            <w:r>
              <w:rPr>
                <w:rFonts w:ascii="Century Gothic"/>
                <w:sz w:val="21"/>
              </w:rPr>
              <w:t>23,617,000.00</w:t>
            </w:r>
          </w:p>
        </w:tc>
      </w:tr>
      <w:tr>
        <w:trPr>
          <w:trHeight w:val="569" w:hRule="exact"/>
        </w:trPr>
        <w:tc>
          <w:tcPr>
            <w:tcW w:w="5510" w:type="dxa"/>
            <w:tcBorders>
              <w:top w:val="single" w:sz="6" w:space="0" w:color="000000"/>
              <w:left w:val="nil" w:sz="6" w:space="0" w:color="auto"/>
              <w:bottom w:val="single" w:sz="12" w:space="0" w:color="000000"/>
              <w:right w:val="single" w:sz="6" w:space="0" w:color="000000"/>
            </w:tcBorders>
          </w:tcPr>
          <w:p>
            <w:pPr>
              <w:pStyle w:val="TableParagraph"/>
              <w:spacing w:line="250" w:lineRule="exact"/>
              <w:ind w:left="542" w:right="0"/>
              <w:jc w:val="left"/>
              <w:rPr>
                <w:rFonts w:ascii="宋体" w:hAnsi="宋体" w:cs="宋体" w:eastAsia="宋体" w:hint="default"/>
                <w:sz w:val="21"/>
                <w:szCs w:val="21"/>
              </w:rPr>
            </w:pPr>
            <w:r>
              <w:rPr>
                <w:rFonts w:ascii="Century Gothic" w:hAnsi="Century Gothic" w:cs="Century Gothic" w:eastAsia="Century Gothic" w:hint="default"/>
                <w:w w:val="99"/>
                <w:sz w:val="21"/>
                <w:szCs w:val="21"/>
              </w:rPr>
              <w:t>2</w:t>
            </w:r>
            <w:r>
              <w:rPr>
                <w:rFonts w:ascii="宋体" w:hAnsi="宋体" w:cs="宋体" w:eastAsia="宋体" w:hint="default"/>
                <w:spacing w:val="-87"/>
                <w:sz w:val="21"/>
                <w:szCs w:val="21"/>
              </w:rPr>
              <w:t>．</w:t>
            </w:r>
            <w:r>
              <w:rPr>
                <w:rFonts w:ascii="宋体" w:hAnsi="宋体" w:cs="宋体" w:eastAsia="宋体" w:hint="default"/>
                <w:sz w:val="21"/>
                <w:szCs w:val="21"/>
              </w:rPr>
              <w:t>处置子公司及其他营业单位收到的现金和现金等价</w:t>
            </w:r>
          </w:p>
          <w:p>
            <w:pPr>
              <w:pStyle w:val="TableParagraph"/>
              <w:spacing w:line="266" w:lineRule="exact"/>
              <w:ind w:left="122"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18" w:right="0"/>
              <w:jc w:val="center"/>
              <w:rPr>
                <w:rFonts w:ascii="Century Gothic" w:hAnsi="Century Gothic" w:cs="Century Gothic" w:eastAsia="Century Gothic" w:hint="default"/>
                <w:sz w:val="21"/>
                <w:szCs w:val="21"/>
              </w:rPr>
            </w:pPr>
            <w:r>
              <w:rPr>
                <w:rFonts w:ascii="Century Gothic"/>
                <w:sz w:val="21"/>
              </w:rPr>
              <w:t>86,116,000.00</w:t>
            </w:r>
          </w:p>
        </w:tc>
        <w:tc>
          <w:tcPr>
            <w:tcW w:w="1672"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09" w:right="0"/>
              <w:jc w:val="center"/>
              <w:rPr>
                <w:rFonts w:ascii="Century Gothic" w:hAnsi="Century Gothic" w:cs="Century Gothic" w:eastAsia="Century Gothic" w:hint="default"/>
                <w:sz w:val="21"/>
                <w:szCs w:val="21"/>
              </w:rPr>
            </w:pPr>
            <w:r>
              <w:rPr>
                <w:rFonts w:ascii="Century Gothic"/>
                <w:sz w:val="21"/>
              </w:rPr>
              <w:t>23,617,000.00</w:t>
            </w:r>
          </w:p>
        </w:tc>
      </w:tr>
    </w:tbl>
    <w:p>
      <w:pPr>
        <w:spacing w:line="240" w:lineRule="auto" w:before="13"/>
        <w:rPr>
          <w:rFonts w:ascii="宋体" w:hAnsi="宋体" w:cs="宋体" w:eastAsia="宋体" w:hint="default"/>
          <w:sz w:val="26"/>
          <w:szCs w:val="26"/>
        </w:rPr>
      </w:pPr>
    </w:p>
    <w:p>
      <w:pPr>
        <w:spacing w:before="76"/>
        <w:ind w:left="482" w:right="320" w:firstLine="0"/>
        <w:jc w:val="center"/>
        <w:rPr>
          <w:rFonts w:ascii="Times New Roman" w:hAnsi="Times New Roman" w:cs="Times New Roman" w:eastAsia="Times New Roman" w:hint="default"/>
          <w:sz w:val="18"/>
          <w:szCs w:val="18"/>
        </w:rPr>
      </w:pPr>
      <w:r>
        <w:rPr>
          <w:rFonts w:ascii="Times New Roman"/>
          <w:sz w:val="18"/>
        </w:rPr>
        <w:t>92</w:t>
      </w:r>
    </w:p>
    <w:p>
      <w:pPr>
        <w:spacing w:after="0"/>
        <w:jc w:val="center"/>
        <w:rPr>
          <w:rFonts w:ascii="Times New Roman" w:hAnsi="Times New Roman" w:cs="Times New Roman" w:eastAsia="Times New Roman" w:hint="default"/>
          <w:sz w:val="18"/>
          <w:szCs w:val="18"/>
        </w:rPr>
        <w:sectPr>
          <w:pgSz w:w="11910" w:h="16840"/>
          <w:pgMar w:top="780" w:bottom="280" w:left="1160" w:right="144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70.860001pt;margin-top:-9.926001pt;width:84.0pt;height:23.94pt;mso-position-horizontal-relative:page;mso-position-vertical-relative:paragraph;z-index:6208"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85" w:type="dxa"/>
        <w:tblLayout w:type="fixed"/>
        <w:tblCellMar>
          <w:top w:w="0" w:type="dxa"/>
          <w:left w:w="0" w:type="dxa"/>
          <w:bottom w:w="0" w:type="dxa"/>
          <w:right w:w="0" w:type="dxa"/>
        </w:tblCellMar>
        <w:tblLook w:val="01E0"/>
      </w:tblPr>
      <w:tblGrid>
        <w:gridCol w:w="5510"/>
        <w:gridCol w:w="1670"/>
        <w:gridCol w:w="1672"/>
      </w:tblGrid>
      <w:tr>
        <w:trPr>
          <w:trHeight w:val="415" w:hRule="exact"/>
        </w:trPr>
        <w:tc>
          <w:tcPr>
            <w:tcW w:w="5510" w:type="dxa"/>
            <w:tcBorders>
              <w:top w:val="single" w:sz="12" w:space="0" w:color="000000"/>
              <w:left w:val="nil" w:sz="6" w:space="0" w:color="auto"/>
              <w:bottom w:val="single" w:sz="6" w:space="0" w:color="000000"/>
              <w:right w:val="single" w:sz="6" w:space="0" w:color="000000"/>
            </w:tcBorders>
          </w:tcPr>
          <w:p>
            <w:pPr>
              <w:pStyle w:val="TableParagraph"/>
              <w:tabs>
                <w:tab w:pos="526" w:val="left" w:leader="none"/>
              </w:tabs>
              <w:spacing w:line="240" w:lineRule="auto" w:before="26"/>
              <w:ind w:left="108"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45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7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6"/>
              <w:ind w:left="452"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562" w:hRule="exact"/>
        </w:trPr>
        <w:tc>
          <w:tcPr>
            <w:tcW w:w="551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752"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黑体" w:hAnsi="黑体" w:cs="黑体" w:eastAsia="黑体" w:hint="default"/>
                <w:b/>
                <w:bCs/>
                <w:sz w:val="22"/>
                <w:szCs w:val="22"/>
              </w:rPr>
            </w:pPr>
          </w:p>
          <w:p>
            <w:pPr>
              <w:pStyle w:val="TableParagraph"/>
              <w:spacing w:line="240" w:lineRule="auto"/>
              <w:ind w:right="97"/>
              <w:jc w:val="right"/>
              <w:rPr>
                <w:rFonts w:ascii="Century Gothic" w:hAnsi="Century Gothic" w:cs="Century Gothic" w:eastAsia="Century Gothic" w:hint="default"/>
                <w:sz w:val="21"/>
                <w:szCs w:val="21"/>
              </w:rPr>
            </w:pPr>
            <w:r>
              <w:rPr>
                <w:rFonts w:ascii="Century Gothic"/>
                <w:spacing w:val="-1"/>
                <w:sz w:val="21"/>
              </w:rPr>
              <w:t>36,222,740.27</w:t>
            </w:r>
          </w:p>
        </w:tc>
        <w:tc>
          <w:tcPr>
            <w:tcW w:w="1672"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黑体" w:hAnsi="黑体" w:cs="黑体" w:eastAsia="黑体" w:hint="default"/>
                <w:b/>
                <w:bCs/>
                <w:sz w:val="22"/>
                <w:szCs w:val="22"/>
              </w:rPr>
            </w:pPr>
          </w:p>
          <w:p>
            <w:pPr>
              <w:pStyle w:val="TableParagraph"/>
              <w:spacing w:line="240" w:lineRule="auto"/>
              <w:ind w:right="107"/>
              <w:jc w:val="right"/>
              <w:rPr>
                <w:rFonts w:ascii="Century Gothic" w:hAnsi="Century Gothic" w:cs="Century Gothic" w:eastAsia="Century Gothic" w:hint="default"/>
                <w:sz w:val="21"/>
                <w:szCs w:val="21"/>
              </w:rPr>
            </w:pPr>
            <w:r>
              <w:rPr>
                <w:rFonts w:ascii="Century Gothic"/>
                <w:spacing w:val="-1"/>
                <w:sz w:val="21"/>
              </w:rPr>
              <w:t>4,819,921.50</w:t>
            </w:r>
          </w:p>
        </w:tc>
      </w:tr>
      <w:tr>
        <w:trPr>
          <w:trHeight w:val="355" w:hRule="exact"/>
        </w:trPr>
        <w:tc>
          <w:tcPr>
            <w:tcW w:w="551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54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宋体" w:hAnsi="宋体" w:cs="宋体" w:eastAsia="宋体" w:hint="default"/>
                <w:sz w:val="21"/>
                <w:szCs w:val="21"/>
              </w:rPr>
              <w:t>．处置子公司及其他营业单位收到的现金净额</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Century Gothic" w:hAnsi="Century Gothic" w:cs="Century Gothic" w:eastAsia="Century Gothic" w:hint="default"/>
                <w:sz w:val="21"/>
                <w:szCs w:val="21"/>
              </w:rPr>
            </w:pPr>
            <w:r>
              <w:rPr>
                <w:rFonts w:ascii="Century Gothic"/>
                <w:spacing w:val="-1"/>
                <w:sz w:val="21"/>
              </w:rPr>
              <w:t>49,893,259.73</w:t>
            </w:r>
          </w:p>
        </w:tc>
        <w:tc>
          <w:tcPr>
            <w:tcW w:w="16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Century Gothic" w:hAnsi="Century Gothic" w:cs="Century Gothic" w:eastAsia="Century Gothic" w:hint="default"/>
                <w:sz w:val="21"/>
                <w:szCs w:val="21"/>
              </w:rPr>
            </w:pPr>
            <w:r>
              <w:rPr>
                <w:rFonts w:ascii="Century Gothic"/>
                <w:spacing w:val="-1"/>
                <w:sz w:val="21"/>
              </w:rPr>
              <w:t>18,797,078.50</w:t>
            </w:r>
          </w:p>
        </w:tc>
      </w:tr>
      <w:tr>
        <w:trPr>
          <w:trHeight w:val="355" w:hRule="exact"/>
        </w:trPr>
        <w:tc>
          <w:tcPr>
            <w:tcW w:w="551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542" w:right="0"/>
              <w:jc w:val="left"/>
              <w:rPr>
                <w:rFonts w:ascii="宋体" w:hAnsi="宋体" w:cs="宋体" w:eastAsia="宋体" w:hint="default"/>
                <w:sz w:val="21"/>
                <w:szCs w:val="21"/>
              </w:rPr>
            </w:pPr>
            <w:r>
              <w:rPr>
                <w:rFonts w:ascii="Century Gothic" w:hAnsi="Century Gothic" w:cs="Century Gothic" w:eastAsia="Century Gothic" w:hint="default"/>
                <w:sz w:val="21"/>
                <w:szCs w:val="21"/>
              </w:rPr>
              <w:t>4</w:t>
            </w:r>
            <w:r>
              <w:rPr>
                <w:rFonts w:ascii="宋体" w:hAnsi="宋体" w:cs="宋体" w:eastAsia="宋体" w:hint="default"/>
                <w:sz w:val="21"/>
                <w:szCs w:val="21"/>
              </w:rPr>
              <w:t>．处置子公司的净资产</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Century Gothic" w:hAnsi="Century Gothic" w:cs="Century Gothic" w:eastAsia="Century Gothic" w:hint="default"/>
                <w:sz w:val="21"/>
                <w:szCs w:val="21"/>
              </w:rPr>
            </w:pPr>
            <w:r>
              <w:rPr>
                <w:rFonts w:ascii="Century Gothic"/>
                <w:spacing w:val="-1"/>
                <w:sz w:val="21"/>
              </w:rPr>
              <w:t>87,833,270.51</w:t>
            </w:r>
          </w:p>
        </w:tc>
        <w:tc>
          <w:tcPr>
            <w:tcW w:w="16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Century Gothic" w:hAnsi="Century Gothic" w:cs="Century Gothic" w:eastAsia="Century Gothic" w:hint="default"/>
                <w:sz w:val="21"/>
                <w:szCs w:val="21"/>
              </w:rPr>
            </w:pPr>
            <w:r>
              <w:rPr>
                <w:rFonts w:ascii="Century Gothic"/>
                <w:spacing w:val="-1"/>
                <w:sz w:val="21"/>
              </w:rPr>
              <w:t>42,390,000.83</w:t>
            </w:r>
          </w:p>
        </w:tc>
      </w:tr>
      <w:tr>
        <w:trPr>
          <w:trHeight w:val="354" w:hRule="exact"/>
        </w:trPr>
        <w:tc>
          <w:tcPr>
            <w:tcW w:w="551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858"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Century Gothic" w:hAnsi="Century Gothic" w:cs="Century Gothic" w:eastAsia="Century Gothic" w:hint="default"/>
                <w:sz w:val="21"/>
                <w:szCs w:val="21"/>
              </w:rPr>
            </w:pPr>
            <w:r>
              <w:rPr>
                <w:rFonts w:ascii="Century Gothic"/>
                <w:spacing w:val="-1"/>
                <w:sz w:val="21"/>
              </w:rPr>
              <w:t>643,526,231.23</w:t>
            </w:r>
            <w:r>
              <w:rPr>
                <w:rFonts w:ascii="Century Gothic"/>
                <w:sz w:val="21"/>
              </w:rPr>
            </w:r>
          </w:p>
        </w:tc>
        <w:tc>
          <w:tcPr>
            <w:tcW w:w="16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Century Gothic" w:hAnsi="Century Gothic" w:cs="Century Gothic" w:eastAsia="Century Gothic" w:hint="default"/>
                <w:sz w:val="21"/>
                <w:szCs w:val="21"/>
              </w:rPr>
            </w:pPr>
            <w:r>
              <w:rPr>
                <w:rFonts w:ascii="Century Gothic"/>
                <w:spacing w:val="-1"/>
                <w:sz w:val="21"/>
              </w:rPr>
              <w:t>144,853,884.21</w:t>
            </w:r>
            <w:r>
              <w:rPr>
                <w:rFonts w:ascii="Century Gothic"/>
                <w:sz w:val="21"/>
              </w:rPr>
            </w:r>
          </w:p>
        </w:tc>
      </w:tr>
      <w:tr>
        <w:trPr>
          <w:trHeight w:val="355" w:hRule="exact"/>
        </w:trPr>
        <w:tc>
          <w:tcPr>
            <w:tcW w:w="551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858"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Century Gothic" w:hAnsi="Century Gothic" w:cs="Century Gothic" w:eastAsia="Century Gothic" w:hint="default"/>
                <w:sz w:val="21"/>
                <w:szCs w:val="21"/>
              </w:rPr>
            </w:pPr>
            <w:r>
              <w:rPr>
                <w:rFonts w:ascii="Century Gothic"/>
                <w:spacing w:val="-1"/>
                <w:sz w:val="21"/>
              </w:rPr>
              <w:t>74,842,273.93</w:t>
            </w:r>
          </w:p>
        </w:tc>
        <w:tc>
          <w:tcPr>
            <w:tcW w:w="16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Century Gothic" w:hAnsi="Century Gothic" w:cs="Century Gothic" w:eastAsia="Century Gothic" w:hint="default"/>
                <w:sz w:val="21"/>
                <w:szCs w:val="21"/>
              </w:rPr>
            </w:pPr>
            <w:r>
              <w:rPr>
                <w:rFonts w:ascii="Century Gothic"/>
                <w:spacing w:val="-1"/>
                <w:sz w:val="21"/>
              </w:rPr>
              <w:t>34,563,412.86</w:t>
            </w:r>
          </w:p>
        </w:tc>
      </w:tr>
      <w:tr>
        <w:trPr>
          <w:trHeight w:val="355" w:hRule="exact"/>
        </w:trPr>
        <w:tc>
          <w:tcPr>
            <w:tcW w:w="551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85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1"/>
              <w:ind w:right="97"/>
              <w:jc w:val="right"/>
              <w:rPr>
                <w:rFonts w:ascii="Century Gothic" w:hAnsi="Century Gothic" w:cs="Century Gothic" w:eastAsia="Century Gothic" w:hint="default"/>
                <w:sz w:val="21"/>
                <w:szCs w:val="21"/>
              </w:rPr>
            </w:pPr>
            <w:r>
              <w:rPr>
                <w:rFonts w:ascii="Century Gothic"/>
                <w:spacing w:val="-1"/>
                <w:sz w:val="21"/>
              </w:rPr>
              <w:t>627,565,234.65</w:t>
            </w:r>
            <w:r>
              <w:rPr>
                <w:rFonts w:ascii="Century Gothic"/>
                <w:sz w:val="21"/>
              </w:rPr>
            </w:r>
          </w:p>
        </w:tc>
        <w:tc>
          <w:tcPr>
            <w:tcW w:w="16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1"/>
              <w:ind w:right="106"/>
              <w:jc w:val="right"/>
              <w:rPr>
                <w:rFonts w:ascii="Century Gothic" w:hAnsi="Century Gothic" w:cs="Century Gothic" w:eastAsia="Century Gothic" w:hint="default"/>
                <w:sz w:val="21"/>
                <w:szCs w:val="21"/>
              </w:rPr>
            </w:pPr>
            <w:r>
              <w:rPr>
                <w:rFonts w:ascii="Century Gothic"/>
                <w:spacing w:val="-1"/>
                <w:sz w:val="21"/>
              </w:rPr>
              <w:t>137,027,296.24</w:t>
            </w:r>
            <w:r>
              <w:rPr>
                <w:rFonts w:ascii="Century Gothic"/>
                <w:sz w:val="21"/>
              </w:rPr>
            </w:r>
          </w:p>
        </w:tc>
      </w:tr>
      <w:tr>
        <w:trPr>
          <w:trHeight w:val="363" w:hRule="exact"/>
        </w:trPr>
        <w:tc>
          <w:tcPr>
            <w:tcW w:w="5510"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858"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98"/>
              <w:jc w:val="right"/>
              <w:rPr>
                <w:rFonts w:ascii="Century Gothic" w:hAnsi="Century Gothic" w:cs="Century Gothic" w:eastAsia="Century Gothic" w:hint="default"/>
                <w:sz w:val="21"/>
                <w:szCs w:val="21"/>
              </w:rPr>
            </w:pPr>
            <w:r>
              <w:rPr>
                <w:rFonts w:ascii="Century Gothic"/>
                <w:spacing w:val="-1"/>
                <w:sz w:val="21"/>
              </w:rPr>
              <w:t>2,970,000.00</w:t>
            </w:r>
          </w:p>
        </w:tc>
        <w:tc>
          <w:tcPr>
            <w:tcW w:w="1672"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94"/>
        <w:ind w:left="558" w:right="0"/>
        <w:jc w:val="left"/>
      </w:pPr>
      <w:r>
        <w:rPr/>
        <w:t>（</w:t>
      </w:r>
      <w:r>
        <w:rPr>
          <w:rFonts w:ascii="Century Gothic" w:hAnsi="Century Gothic" w:cs="Century Gothic" w:eastAsia="Century Gothic" w:hint="default"/>
        </w:rPr>
        <w:t>3</w:t>
      </w:r>
      <w:r>
        <w:rPr/>
        <w:t>）现金和现金等价物</w:t>
      </w:r>
    </w:p>
    <w:p>
      <w:pPr>
        <w:spacing w:line="240" w:lineRule="auto" w:before="10"/>
        <w:rPr>
          <w:rFonts w:ascii="宋体" w:hAnsi="宋体" w:cs="宋体" w:eastAsia="宋体" w:hint="default"/>
          <w:sz w:val="20"/>
          <w:szCs w:val="20"/>
        </w:rPr>
      </w:pPr>
    </w:p>
    <w:tbl>
      <w:tblPr>
        <w:tblW w:w="0" w:type="auto"/>
        <w:jc w:val="left"/>
        <w:tblInd w:w="281" w:type="dxa"/>
        <w:tblLayout w:type="fixed"/>
        <w:tblCellMar>
          <w:top w:w="0" w:type="dxa"/>
          <w:left w:w="0" w:type="dxa"/>
          <w:bottom w:w="0" w:type="dxa"/>
          <w:right w:w="0" w:type="dxa"/>
        </w:tblCellMar>
        <w:tblLook w:val="01E0"/>
      </w:tblPr>
      <w:tblGrid>
        <w:gridCol w:w="5516"/>
        <w:gridCol w:w="1672"/>
        <w:gridCol w:w="1670"/>
      </w:tblGrid>
      <w:tr>
        <w:trPr>
          <w:trHeight w:val="307" w:hRule="exact"/>
        </w:trPr>
        <w:tc>
          <w:tcPr>
            <w:tcW w:w="5516"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left="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72"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407"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70"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left="408"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99"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272,602,442.88</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5"/>
              <w:jc w:val="right"/>
              <w:rPr>
                <w:rFonts w:ascii="Century Gothic" w:hAnsi="Century Gothic" w:cs="Century Gothic" w:eastAsia="Century Gothic" w:hint="default"/>
                <w:sz w:val="21"/>
                <w:szCs w:val="21"/>
              </w:rPr>
            </w:pPr>
            <w:r>
              <w:rPr>
                <w:rFonts w:ascii="Century Gothic"/>
                <w:spacing w:val="-1"/>
                <w:sz w:val="21"/>
              </w:rPr>
              <w:t>254,201,202.52</w:t>
            </w:r>
            <w:r>
              <w:rPr>
                <w:rFonts w:ascii="Century Gothic"/>
                <w:sz w:val="21"/>
              </w:rPr>
            </w:r>
          </w:p>
        </w:tc>
      </w:tr>
      <w:tr>
        <w:trPr>
          <w:trHeight w:val="299"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1,115,925.06</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1,447,569.65</w:t>
            </w:r>
          </w:p>
        </w:tc>
      </w:tr>
      <w:tr>
        <w:trPr>
          <w:trHeight w:val="299"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75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271,486,517.82</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5"/>
              <w:jc w:val="right"/>
              <w:rPr>
                <w:rFonts w:ascii="Century Gothic" w:hAnsi="Century Gothic" w:cs="Century Gothic" w:eastAsia="Century Gothic" w:hint="default"/>
                <w:sz w:val="21"/>
                <w:szCs w:val="21"/>
              </w:rPr>
            </w:pPr>
            <w:r>
              <w:rPr>
                <w:rFonts w:ascii="Century Gothic"/>
                <w:spacing w:val="-1"/>
                <w:sz w:val="21"/>
              </w:rPr>
              <w:t>252,048,371.87</w:t>
            </w:r>
            <w:r>
              <w:rPr>
                <w:rFonts w:ascii="Century Gothic"/>
                <w:sz w:val="21"/>
              </w:rPr>
            </w:r>
          </w:p>
        </w:tc>
      </w:tr>
      <w:tr>
        <w:trPr>
          <w:trHeight w:val="300"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752"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705,261.00</w:t>
            </w:r>
          </w:p>
        </w:tc>
      </w:tr>
      <w:tr>
        <w:trPr>
          <w:trHeight w:val="299"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三、年末现金及现金等价物余额</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272,602,442.88</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5"/>
              <w:jc w:val="right"/>
              <w:rPr>
                <w:rFonts w:ascii="Century Gothic" w:hAnsi="Century Gothic" w:cs="Century Gothic" w:eastAsia="Century Gothic" w:hint="default"/>
                <w:sz w:val="21"/>
                <w:szCs w:val="21"/>
              </w:rPr>
            </w:pPr>
            <w:r>
              <w:rPr>
                <w:rFonts w:ascii="Century Gothic"/>
                <w:spacing w:val="-1"/>
                <w:sz w:val="21"/>
              </w:rPr>
              <w:t>254,201,202.52</w:t>
            </w:r>
            <w:r>
              <w:rPr>
                <w:rFonts w:ascii="Century Gothic"/>
                <w:sz w:val="21"/>
              </w:rPr>
            </w:r>
          </w:p>
        </w:tc>
      </w:tr>
      <w:tr>
        <w:trPr>
          <w:trHeight w:val="569" w:hRule="exact"/>
        </w:trPr>
        <w:tc>
          <w:tcPr>
            <w:tcW w:w="5516" w:type="dxa"/>
            <w:tcBorders>
              <w:top w:val="single" w:sz="6" w:space="0" w:color="000000"/>
              <w:left w:val="nil" w:sz="6" w:space="0" w:color="auto"/>
              <w:bottom w:val="single" w:sz="12"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四、母公司或集团内子公司使用受限制的现金和现金等价</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161,976,445.89</w:t>
            </w:r>
            <w:r>
              <w:rPr>
                <w:rFonts w:ascii="Century Gothic"/>
                <w:sz w:val="21"/>
              </w:rPr>
            </w:r>
          </w:p>
        </w:tc>
        <w:tc>
          <w:tcPr>
            <w:tcW w:w="16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2"/>
              <w:ind w:right="104"/>
              <w:jc w:val="right"/>
              <w:rPr>
                <w:rFonts w:ascii="Century Gothic" w:hAnsi="Century Gothic" w:cs="Century Gothic" w:eastAsia="Century Gothic" w:hint="default"/>
                <w:sz w:val="21"/>
                <w:szCs w:val="21"/>
              </w:rPr>
            </w:pPr>
            <w:r>
              <w:rPr>
                <w:rFonts w:ascii="Century Gothic"/>
                <w:spacing w:val="-1"/>
                <w:sz w:val="21"/>
              </w:rPr>
              <w:t>91,654,388.48</w:t>
            </w:r>
          </w:p>
        </w:tc>
      </w:tr>
    </w:tbl>
    <w:p>
      <w:pPr>
        <w:pStyle w:val="Heading4"/>
        <w:spacing w:line="240" w:lineRule="auto" w:before="86"/>
        <w:ind w:left="120" w:right="6773"/>
        <w:jc w:val="center"/>
        <w:rPr>
          <w:rFonts w:ascii="宋体" w:hAnsi="宋体" w:cs="宋体" w:eastAsia="宋体" w:hint="default"/>
          <w:b w:val="0"/>
          <w:bCs w:val="0"/>
        </w:rPr>
      </w:pPr>
      <w:r>
        <w:rPr>
          <w:rFonts w:ascii="宋体" w:hAnsi="宋体" w:cs="宋体" w:eastAsia="宋体" w:hint="default"/>
        </w:rPr>
        <w:t>六、</w:t>
      </w:r>
      <w:r>
        <w:rPr>
          <w:rFonts w:ascii="宋体" w:hAnsi="宋体" w:cs="宋体" w:eastAsia="宋体" w:hint="default"/>
          <w:spacing w:val="-54"/>
        </w:rPr>
        <w:t> </w:t>
      </w:r>
      <w:r>
        <w:rPr>
          <w:rFonts w:ascii="宋体" w:hAnsi="宋体" w:cs="宋体" w:eastAsia="宋体" w:hint="default"/>
        </w:rPr>
        <w:t>关联方关系及其交易</w:t>
      </w:r>
      <w:r>
        <w:rPr>
          <w:rFonts w:ascii="宋体" w:hAnsi="宋体" w:cs="宋体" w:eastAsia="宋体" w:hint="default"/>
          <w:b w:val="0"/>
          <w:bCs w:val="0"/>
        </w:rPr>
      </w:r>
    </w:p>
    <w:p>
      <w:pPr>
        <w:spacing w:line="240" w:lineRule="auto" w:before="11"/>
        <w:rPr>
          <w:rFonts w:ascii="宋体" w:hAnsi="宋体" w:cs="宋体" w:eastAsia="宋体" w:hint="default"/>
          <w:b/>
          <w:bCs/>
          <w:sz w:val="14"/>
          <w:szCs w:val="14"/>
        </w:rPr>
      </w:pPr>
    </w:p>
    <w:p>
      <w:pPr>
        <w:pStyle w:val="Heading4"/>
        <w:spacing w:line="240" w:lineRule="auto" w:before="0"/>
        <w:ind w:left="241" w:right="6773"/>
        <w:jc w:val="center"/>
        <w:rPr>
          <w:rFonts w:ascii="宋体" w:hAnsi="宋体" w:cs="宋体" w:eastAsia="宋体" w:hint="default"/>
          <w:b w:val="0"/>
          <w:bCs w:val="0"/>
        </w:rPr>
      </w:pPr>
      <w:r>
        <w:rPr>
          <w:rFonts w:ascii="宋体" w:hAnsi="宋体" w:cs="宋体" w:eastAsia="宋体" w:hint="default"/>
        </w:rPr>
        <w:t>（一）</w:t>
      </w:r>
      <w:r>
        <w:rPr>
          <w:rFonts w:ascii="宋体" w:hAnsi="宋体" w:cs="宋体" w:eastAsia="宋体" w:hint="default"/>
          <w:spacing w:val="-25"/>
        </w:rPr>
        <w:t> </w:t>
      </w:r>
      <w:r>
        <w:rPr>
          <w:rFonts w:ascii="宋体" w:hAnsi="宋体" w:cs="宋体" w:eastAsia="宋体" w:hint="default"/>
        </w:rPr>
        <w:t>关联方关系</w:t>
      </w:r>
      <w:r>
        <w:rPr>
          <w:rFonts w:ascii="宋体" w:hAnsi="宋体" w:cs="宋体" w:eastAsia="宋体" w:hint="default"/>
          <w:b w:val="0"/>
          <w:bCs w:val="0"/>
        </w:rPr>
      </w:r>
    </w:p>
    <w:p>
      <w:pPr>
        <w:spacing w:line="240" w:lineRule="auto" w:before="6"/>
        <w:rPr>
          <w:rFonts w:ascii="宋体" w:hAnsi="宋体" w:cs="宋体" w:eastAsia="宋体" w:hint="default"/>
          <w:b/>
          <w:bCs/>
          <w:sz w:val="19"/>
          <w:szCs w:val="19"/>
        </w:rPr>
      </w:pPr>
    </w:p>
    <w:p>
      <w:pPr>
        <w:pStyle w:val="Heading4"/>
        <w:spacing w:line="240" w:lineRule="auto" w:before="0"/>
        <w:ind w:left="674" w:right="0"/>
        <w:jc w:val="left"/>
        <w:rPr>
          <w:rFonts w:ascii="宋体" w:hAnsi="宋体" w:cs="宋体" w:eastAsia="宋体" w:hint="default"/>
          <w:b w:val="0"/>
          <w:bCs w:val="0"/>
        </w:rPr>
      </w:pPr>
      <w:r>
        <w:rPr>
          <w:rFonts w:ascii="Century Gothic" w:hAnsi="Century Gothic" w:cs="Century Gothic" w:eastAsia="Century Gothic" w:hint="default"/>
        </w:rPr>
        <w:t>1</w:t>
      </w:r>
      <w:r>
        <w:rPr>
          <w:rFonts w:ascii="宋体" w:hAnsi="宋体" w:cs="宋体" w:eastAsia="宋体" w:hint="default"/>
        </w:rPr>
        <w:t>．</w:t>
      </w:r>
      <w:r>
        <w:rPr>
          <w:rFonts w:ascii="宋体" w:hAnsi="宋体" w:cs="宋体" w:eastAsia="宋体" w:hint="default"/>
          <w:spacing w:val="-77"/>
        </w:rPr>
        <w:t> </w:t>
      </w:r>
      <w:r>
        <w:rPr>
          <w:rFonts w:ascii="宋体" w:hAnsi="宋体" w:cs="宋体" w:eastAsia="宋体" w:hint="default"/>
        </w:rPr>
        <w:t>本公司的母公司情况</w:t>
      </w:r>
      <w:r>
        <w:rPr>
          <w:rFonts w:ascii="宋体" w:hAnsi="宋体" w:cs="宋体" w:eastAsia="宋体" w:hint="default"/>
          <w:b w:val="0"/>
          <w:bCs w:val="0"/>
        </w:rPr>
      </w:r>
    </w:p>
    <w:p>
      <w:pPr>
        <w:spacing w:line="240" w:lineRule="auto" w:before="2"/>
        <w:rPr>
          <w:rFonts w:ascii="宋体" w:hAnsi="宋体" w:cs="宋体" w:eastAsia="宋体" w:hint="default"/>
          <w:b/>
          <w:bCs/>
          <w:sz w:val="16"/>
          <w:szCs w:val="16"/>
        </w:rPr>
      </w:pPr>
    </w:p>
    <w:tbl>
      <w:tblPr>
        <w:tblW w:w="0" w:type="auto"/>
        <w:jc w:val="left"/>
        <w:tblInd w:w="279" w:type="dxa"/>
        <w:tblLayout w:type="fixed"/>
        <w:tblCellMar>
          <w:top w:w="0" w:type="dxa"/>
          <w:left w:w="0" w:type="dxa"/>
          <w:bottom w:w="0" w:type="dxa"/>
          <w:right w:w="0" w:type="dxa"/>
        </w:tblCellMar>
        <w:tblLook w:val="01E0"/>
      </w:tblPr>
      <w:tblGrid>
        <w:gridCol w:w="1136"/>
        <w:gridCol w:w="607"/>
        <w:gridCol w:w="1446"/>
        <w:gridCol w:w="647"/>
        <w:gridCol w:w="640"/>
        <w:gridCol w:w="1014"/>
        <w:gridCol w:w="1174"/>
        <w:gridCol w:w="1078"/>
        <w:gridCol w:w="1123"/>
      </w:tblGrid>
      <w:tr>
        <w:trPr>
          <w:trHeight w:val="958" w:hRule="exact"/>
        </w:trPr>
        <w:tc>
          <w:tcPr>
            <w:tcW w:w="113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6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16" w:right="114"/>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14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4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35" w:right="134"/>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6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31" w:right="13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0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489" w:right="127"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c>
          <w:tcPr>
            <w:tcW w:w="1078" w:type="dxa"/>
            <w:tcBorders>
              <w:top w:val="single" w:sz="12"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母公司对</w:t>
            </w:r>
          </w:p>
          <w:p>
            <w:pPr>
              <w:pStyle w:val="TableParagraph"/>
              <w:spacing w:line="240" w:lineRule="auto"/>
              <w:ind w:left="171" w:right="169"/>
              <w:jc w:val="center"/>
              <w:rPr>
                <w:rFonts w:ascii="宋体" w:hAnsi="宋体" w:cs="宋体" w:eastAsia="宋体" w:hint="default"/>
                <w:sz w:val="18"/>
                <w:szCs w:val="18"/>
              </w:rPr>
            </w:pPr>
            <w:r>
              <w:rPr>
                <w:rFonts w:ascii="宋体" w:hAnsi="宋体" w:cs="宋体" w:eastAsia="宋体" w:hint="default"/>
                <w:sz w:val="18"/>
                <w:szCs w:val="18"/>
              </w:rPr>
              <w:t>本企业的 持股比例</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Century Gothic" w:hAnsi="Century Gothic" w:cs="Century Gothic" w:eastAsia="Century Gothic" w:hint="default"/>
                <w:sz w:val="18"/>
                <w:szCs w:val="18"/>
              </w:rPr>
              <w:t>%</w:t>
            </w:r>
            <w:r>
              <w:rPr>
                <w:rFonts w:ascii="宋体" w:hAnsi="宋体" w:cs="宋体" w:eastAsia="宋体" w:hint="default"/>
                <w:sz w:val="18"/>
                <w:szCs w:val="18"/>
              </w:rPr>
              <w:t>）</w:t>
            </w:r>
          </w:p>
        </w:tc>
        <w:tc>
          <w:tcPr>
            <w:tcW w:w="112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86"/>
              <w:ind w:left="100" w:right="16" w:firstLine="3"/>
              <w:jc w:val="both"/>
              <w:rPr>
                <w:rFonts w:ascii="宋体" w:hAnsi="宋体" w:cs="宋体" w:eastAsia="宋体" w:hint="default"/>
                <w:sz w:val="18"/>
                <w:szCs w:val="18"/>
              </w:rPr>
            </w:pPr>
            <w:r>
              <w:rPr>
                <w:rFonts w:ascii="宋体" w:hAnsi="宋体" w:cs="宋体" w:eastAsia="宋体" w:hint="default"/>
                <w:sz w:val="18"/>
                <w:szCs w:val="18"/>
              </w:rPr>
              <w:t>母公司对本 企业的表决 </w:t>
            </w:r>
            <w:r>
              <w:rPr>
                <w:rFonts w:ascii="宋体" w:hAnsi="宋体" w:cs="宋体" w:eastAsia="宋体" w:hint="default"/>
                <w:spacing w:val="-8"/>
                <w:sz w:val="18"/>
                <w:szCs w:val="18"/>
              </w:rPr>
              <w:t>权比例（</w:t>
            </w:r>
            <w:r>
              <w:rPr>
                <w:rFonts w:ascii="Century Gothic" w:hAnsi="Century Gothic" w:cs="Century Gothic" w:eastAsia="Century Gothic" w:hint="default"/>
                <w:spacing w:val="-8"/>
                <w:sz w:val="18"/>
                <w:szCs w:val="18"/>
              </w:rPr>
              <w:t>%</w:t>
            </w:r>
            <w:r>
              <w:rPr>
                <w:rFonts w:ascii="宋体" w:hAnsi="宋体" w:cs="宋体" w:eastAsia="宋体" w:hint="default"/>
                <w:spacing w:val="-8"/>
                <w:sz w:val="18"/>
                <w:szCs w:val="18"/>
              </w:rPr>
              <w:t>）</w:t>
            </w:r>
          </w:p>
        </w:tc>
      </w:tr>
      <w:tr>
        <w:trPr>
          <w:trHeight w:val="725" w:hRule="exact"/>
        </w:trPr>
        <w:tc>
          <w:tcPr>
            <w:tcW w:w="113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87"/>
              <w:ind w:left="124" w:right="102"/>
              <w:jc w:val="left"/>
              <w:rPr>
                <w:rFonts w:ascii="宋体" w:hAnsi="宋体" w:cs="宋体" w:eastAsia="宋体" w:hint="default"/>
                <w:sz w:val="18"/>
                <w:szCs w:val="18"/>
              </w:rPr>
            </w:pPr>
            <w:r>
              <w:rPr>
                <w:rFonts w:ascii="宋体" w:hAnsi="宋体" w:cs="宋体" w:eastAsia="宋体" w:hint="default"/>
                <w:sz w:val="18"/>
                <w:szCs w:val="18"/>
              </w:rPr>
              <w:t>华立集团股 份有限公司</w:t>
            </w:r>
          </w:p>
        </w:tc>
        <w:tc>
          <w:tcPr>
            <w:tcW w:w="6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16" w:right="114"/>
              <w:jc w:val="left"/>
              <w:rPr>
                <w:rFonts w:ascii="宋体" w:hAnsi="宋体" w:cs="宋体" w:eastAsia="宋体" w:hint="default"/>
                <w:sz w:val="18"/>
                <w:szCs w:val="18"/>
              </w:rPr>
            </w:pPr>
            <w:r>
              <w:rPr>
                <w:rFonts w:ascii="宋体" w:hAnsi="宋体" w:cs="宋体" w:eastAsia="宋体" w:hint="default"/>
                <w:sz w:val="18"/>
                <w:szCs w:val="18"/>
              </w:rPr>
              <w:t>股份 公司</w:t>
            </w:r>
          </w:p>
        </w:tc>
        <w:tc>
          <w:tcPr>
            <w:tcW w:w="1446" w:type="dxa"/>
            <w:tcBorders>
              <w:top w:val="single" w:sz="6" w:space="0" w:color="000000"/>
              <w:left w:val="single" w:sz="6" w:space="0" w:color="000000"/>
              <w:bottom w:val="single" w:sz="12" w:space="0" w:color="000000"/>
              <w:right w:val="single" w:sz="6"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杭州市余杭区</w:t>
            </w:r>
          </w:p>
          <w:p>
            <w:pPr>
              <w:pStyle w:val="TableParagraph"/>
              <w:spacing w:line="240" w:lineRule="auto"/>
              <w:ind w:left="252" w:right="174" w:hanging="77"/>
              <w:jc w:val="left"/>
              <w:rPr>
                <w:rFonts w:ascii="宋体" w:hAnsi="宋体" w:cs="宋体" w:eastAsia="宋体" w:hint="default"/>
                <w:sz w:val="18"/>
                <w:szCs w:val="18"/>
              </w:rPr>
            </w:pPr>
            <w:r>
              <w:rPr>
                <w:rFonts w:ascii="宋体" w:hAnsi="宋体" w:cs="宋体" w:eastAsia="宋体" w:hint="default"/>
                <w:sz w:val="18"/>
                <w:szCs w:val="18"/>
              </w:rPr>
              <w:t>五常街道五常 大道</w:t>
            </w:r>
            <w:r>
              <w:rPr>
                <w:rFonts w:ascii="宋体" w:hAnsi="宋体" w:cs="宋体" w:eastAsia="宋体" w:hint="default"/>
                <w:spacing w:val="-48"/>
                <w:sz w:val="18"/>
                <w:szCs w:val="18"/>
              </w:rPr>
              <w:t> </w:t>
            </w:r>
            <w:r>
              <w:rPr>
                <w:rFonts w:ascii="Century Gothic" w:hAnsi="Century Gothic" w:cs="Century Gothic" w:eastAsia="Century Gothic" w:hint="default"/>
                <w:sz w:val="18"/>
                <w:szCs w:val="18"/>
              </w:rPr>
              <w:t>181</w:t>
            </w:r>
            <w:r>
              <w:rPr>
                <w:rFonts w:ascii="Century Gothic" w:hAnsi="Century Gothic" w:cs="Century Gothic" w:eastAsia="Century Gothic" w:hint="default"/>
                <w:spacing w:val="-8"/>
                <w:sz w:val="18"/>
                <w:szCs w:val="18"/>
              </w:rPr>
              <w:t> </w:t>
            </w:r>
            <w:r>
              <w:rPr>
                <w:rFonts w:ascii="宋体" w:hAnsi="宋体" w:cs="宋体" w:eastAsia="宋体" w:hint="default"/>
                <w:sz w:val="18"/>
                <w:szCs w:val="18"/>
              </w:rPr>
              <w:t>号</w:t>
            </w:r>
          </w:p>
        </w:tc>
        <w:tc>
          <w:tcPr>
            <w:tcW w:w="6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225" w:right="134" w:hanging="90"/>
              <w:jc w:val="left"/>
              <w:rPr>
                <w:rFonts w:ascii="宋体" w:hAnsi="宋体" w:cs="宋体" w:eastAsia="宋体" w:hint="default"/>
                <w:sz w:val="18"/>
                <w:szCs w:val="18"/>
              </w:rPr>
            </w:pPr>
            <w:r>
              <w:rPr>
                <w:rFonts w:ascii="宋体" w:hAnsi="宋体" w:cs="宋体" w:eastAsia="宋体" w:hint="default"/>
                <w:sz w:val="18"/>
                <w:szCs w:val="18"/>
              </w:rPr>
              <w:t>汪力 成</w:t>
            </w:r>
          </w:p>
        </w:tc>
        <w:tc>
          <w:tcPr>
            <w:tcW w:w="6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0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0" w:right="0"/>
              <w:jc w:val="left"/>
              <w:rPr>
                <w:rFonts w:ascii="Century Gothic" w:hAnsi="Century Gothic" w:cs="Century Gothic" w:eastAsia="Century Gothic" w:hint="default"/>
                <w:sz w:val="18"/>
                <w:szCs w:val="18"/>
              </w:rPr>
            </w:pPr>
            <w:r>
              <w:rPr>
                <w:rFonts w:ascii="Century Gothic"/>
                <w:sz w:val="18"/>
              </w:rPr>
              <w:t>30,338.00</w:t>
            </w:r>
          </w:p>
        </w:tc>
        <w:tc>
          <w:tcPr>
            <w:tcW w:w="11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0" w:right="0"/>
              <w:jc w:val="left"/>
              <w:rPr>
                <w:rFonts w:ascii="Century Gothic" w:hAnsi="Century Gothic" w:cs="Century Gothic" w:eastAsia="Century Gothic" w:hint="default"/>
                <w:sz w:val="18"/>
                <w:szCs w:val="18"/>
              </w:rPr>
            </w:pPr>
            <w:r>
              <w:rPr>
                <w:rFonts w:ascii="Century Gothic"/>
                <w:sz w:val="18"/>
              </w:rPr>
              <w:t>70420699-8</w:t>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07" w:right="0"/>
              <w:jc w:val="left"/>
              <w:rPr>
                <w:rFonts w:ascii="Century Gothic" w:hAnsi="Century Gothic" w:cs="Century Gothic" w:eastAsia="Century Gothic" w:hint="default"/>
                <w:sz w:val="18"/>
                <w:szCs w:val="18"/>
              </w:rPr>
            </w:pPr>
            <w:r>
              <w:rPr>
                <w:rFonts w:ascii="Century Gothic"/>
                <w:sz w:val="18"/>
              </w:rPr>
              <w:t>23.52</w:t>
            </w:r>
          </w:p>
        </w:tc>
        <w:tc>
          <w:tcPr>
            <w:tcW w:w="11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329" w:right="0"/>
              <w:jc w:val="left"/>
              <w:rPr>
                <w:rFonts w:ascii="Century Gothic" w:hAnsi="Century Gothic" w:cs="Century Gothic" w:eastAsia="Century Gothic" w:hint="default"/>
                <w:sz w:val="18"/>
                <w:szCs w:val="18"/>
              </w:rPr>
            </w:pPr>
            <w:r>
              <w:rPr>
                <w:rFonts w:ascii="Century Gothic"/>
                <w:sz w:val="18"/>
              </w:rPr>
              <w:t>23.52</w:t>
            </w:r>
          </w:p>
        </w:tc>
      </w:tr>
    </w:tbl>
    <w:p>
      <w:pPr>
        <w:spacing w:line="348" w:lineRule="auto" w:before="86"/>
        <w:ind w:left="558" w:right="2958" w:firstLine="116"/>
        <w:jc w:val="left"/>
        <w:rPr>
          <w:rFonts w:ascii="宋体" w:hAnsi="宋体" w:cs="宋体" w:eastAsia="宋体" w:hint="default"/>
          <w:sz w:val="21"/>
          <w:szCs w:val="21"/>
        </w:rPr>
      </w:pPr>
      <w:r>
        <w:rPr>
          <w:rFonts w:ascii="Century Gothic" w:hAnsi="Century Gothic" w:cs="Century Gothic" w:eastAsia="Century Gothic"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71"/>
          <w:sz w:val="21"/>
          <w:szCs w:val="21"/>
        </w:rPr>
        <w:t> </w:t>
      </w:r>
      <w:r>
        <w:rPr>
          <w:rFonts w:ascii="宋体" w:hAnsi="宋体" w:cs="宋体" w:eastAsia="宋体" w:hint="default"/>
          <w:b/>
          <w:bCs/>
          <w:sz w:val="21"/>
          <w:szCs w:val="21"/>
        </w:rPr>
        <w:t>本公司的子公司情况</w:t>
      </w:r>
      <w:r>
        <w:rPr>
          <w:rFonts w:ascii="宋体" w:hAnsi="宋体" w:cs="宋体" w:eastAsia="宋体" w:hint="default"/>
          <w:b/>
          <w:bCs/>
          <w:w w:val="99"/>
          <w:sz w:val="21"/>
          <w:szCs w:val="21"/>
        </w:rPr>
        <w:t> </w:t>
      </w:r>
      <w:r>
        <w:rPr>
          <w:rFonts w:ascii="宋体" w:hAnsi="宋体" w:cs="宋体" w:eastAsia="宋体" w:hint="default"/>
          <w:spacing w:val="-4"/>
          <w:sz w:val="21"/>
          <w:szCs w:val="21"/>
        </w:rPr>
        <w:t>子公司情况详见本附注四、企业合并及合并财务报表之（一）。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Century Gothic" w:hAnsi="Century Gothic" w:cs="Century Gothic" w:eastAsia="Century Gothic"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81"/>
          <w:sz w:val="21"/>
          <w:szCs w:val="21"/>
        </w:rPr>
        <w:t> </w:t>
      </w:r>
      <w:r>
        <w:rPr>
          <w:rFonts w:ascii="宋体" w:hAnsi="宋体" w:cs="宋体" w:eastAsia="宋体" w:hint="default"/>
          <w:b/>
          <w:bCs/>
          <w:sz w:val="21"/>
          <w:szCs w:val="21"/>
        </w:rPr>
        <w:t>本公司的合营企业和联营企业情况</w:t>
      </w:r>
      <w:r>
        <w:rPr>
          <w:rFonts w:ascii="宋体" w:hAnsi="宋体" w:cs="宋体" w:eastAsia="宋体" w:hint="default"/>
          <w:sz w:val="21"/>
          <w:szCs w:val="21"/>
        </w:rPr>
      </w:r>
    </w:p>
    <w:p>
      <w:pPr>
        <w:pStyle w:val="BodyText"/>
        <w:spacing w:line="240" w:lineRule="auto" w:before="4"/>
        <w:ind w:left="558" w:right="0"/>
        <w:jc w:val="left"/>
      </w:pPr>
      <w:r>
        <w:rPr/>
        <w:t>合营企业及联营企业情况详见本附注五</w:t>
      </w:r>
      <w:r>
        <w:rPr>
          <w:spacing w:val="-105"/>
        </w:rPr>
        <w:t>、</w:t>
      </w:r>
      <w:r>
        <w:rPr/>
        <w:t>（七</w:t>
      </w:r>
      <w:r>
        <w:rPr>
          <w:spacing w:val="-2"/>
        </w:rPr>
        <w:t>）</w:t>
      </w:r>
      <w:r>
        <w:rPr/>
        <w:t>对合营企业投资和对联营企业投资。</w:t>
      </w:r>
    </w:p>
    <w:p>
      <w:pPr>
        <w:pStyle w:val="Heading4"/>
        <w:spacing w:line="240" w:lineRule="auto" w:before="134"/>
        <w:ind w:left="674" w:right="0"/>
        <w:jc w:val="left"/>
        <w:rPr>
          <w:rFonts w:ascii="宋体" w:hAnsi="宋体" w:cs="宋体" w:eastAsia="宋体" w:hint="default"/>
          <w:b w:val="0"/>
          <w:bCs w:val="0"/>
        </w:rPr>
      </w:pPr>
      <w:r>
        <w:rPr>
          <w:rFonts w:ascii="Century Gothic" w:hAnsi="Century Gothic" w:cs="Century Gothic" w:eastAsia="Century Gothic" w:hint="default"/>
        </w:rPr>
        <w:t>4</w:t>
      </w:r>
      <w:r>
        <w:rPr>
          <w:rFonts w:ascii="宋体" w:hAnsi="宋体" w:cs="宋体" w:eastAsia="宋体" w:hint="default"/>
        </w:rPr>
        <w:t>．</w:t>
      </w:r>
      <w:r>
        <w:rPr>
          <w:rFonts w:ascii="宋体" w:hAnsi="宋体" w:cs="宋体" w:eastAsia="宋体" w:hint="default"/>
          <w:spacing w:val="-78"/>
        </w:rPr>
        <w:t> </w:t>
      </w:r>
      <w:r>
        <w:rPr>
          <w:rFonts w:ascii="宋体" w:hAnsi="宋体" w:cs="宋体" w:eastAsia="宋体" w:hint="default"/>
        </w:rPr>
        <w:t>本公司的其他关联方情况</w:t>
      </w:r>
      <w:r>
        <w:rPr>
          <w:rFonts w:ascii="宋体" w:hAnsi="宋体" w:cs="宋体" w:eastAsia="宋体" w:hint="default"/>
          <w:b w:val="0"/>
          <w:bCs w:val="0"/>
        </w:rPr>
      </w:r>
    </w:p>
    <w:p>
      <w:pPr>
        <w:spacing w:line="240" w:lineRule="auto" w:before="8"/>
        <w:rPr>
          <w:rFonts w:ascii="宋体" w:hAnsi="宋体" w:cs="宋体" w:eastAsia="宋体" w:hint="default"/>
          <w:b/>
          <w:bCs/>
          <w:sz w:val="11"/>
          <w:szCs w:val="11"/>
        </w:rPr>
      </w:pPr>
    </w:p>
    <w:tbl>
      <w:tblPr>
        <w:tblW w:w="0" w:type="auto"/>
        <w:jc w:val="left"/>
        <w:tblInd w:w="281" w:type="dxa"/>
        <w:tblLayout w:type="fixed"/>
        <w:tblCellMar>
          <w:top w:w="0" w:type="dxa"/>
          <w:left w:w="0" w:type="dxa"/>
          <w:bottom w:w="0" w:type="dxa"/>
          <w:right w:w="0" w:type="dxa"/>
        </w:tblCellMar>
        <w:tblLook w:val="01E0"/>
      </w:tblPr>
      <w:tblGrid>
        <w:gridCol w:w="3614"/>
        <w:gridCol w:w="3600"/>
        <w:gridCol w:w="1644"/>
      </w:tblGrid>
      <w:tr>
        <w:trPr>
          <w:trHeight w:val="419" w:hRule="exact"/>
        </w:trPr>
        <w:tc>
          <w:tcPr>
            <w:tcW w:w="361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8"/>
              <w:ind w:left="125"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36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1215"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4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8"/>
              <w:ind w:left="237"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12" w:hRule="exact"/>
        </w:trPr>
        <w:tc>
          <w:tcPr>
            <w:tcW w:w="36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华方医药科技有限公司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left="255" w:right="0"/>
              <w:jc w:val="left"/>
              <w:rPr>
                <w:rFonts w:ascii="Century Gothic" w:hAnsi="Century Gothic" w:cs="Century Gothic" w:eastAsia="Century Gothic" w:hint="default"/>
                <w:sz w:val="21"/>
                <w:szCs w:val="21"/>
              </w:rPr>
            </w:pPr>
            <w:r>
              <w:rPr>
                <w:rFonts w:ascii="Century Gothic"/>
                <w:sz w:val="21"/>
              </w:rPr>
              <w:t>14291820-4</w:t>
            </w:r>
          </w:p>
        </w:tc>
      </w:tr>
      <w:tr>
        <w:trPr>
          <w:trHeight w:val="413" w:hRule="exact"/>
        </w:trPr>
        <w:tc>
          <w:tcPr>
            <w:tcW w:w="36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浙江华立电力科技有限公司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left="255" w:right="0"/>
              <w:jc w:val="left"/>
              <w:rPr>
                <w:rFonts w:ascii="Century Gothic" w:hAnsi="Century Gothic" w:cs="Century Gothic" w:eastAsia="Century Gothic" w:hint="default"/>
                <w:sz w:val="21"/>
                <w:szCs w:val="21"/>
              </w:rPr>
            </w:pPr>
            <w:r>
              <w:rPr>
                <w:rFonts w:ascii="Century Gothic"/>
                <w:sz w:val="21"/>
              </w:rPr>
              <w:t>67722908-5</w:t>
            </w:r>
          </w:p>
        </w:tc>
      </w:tr>
      <w:tr>
        <w:trPr>
          <w:trHeight w:val="419" w:hRule="exact"/>
        </w:trPr>
        <w:tc>
          <w:tcPr>
            <w:tcW w:w="361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昆明制药集团股份有限公司</w:t>
            </w:r>
          </w:p>
        </w:tc>
        <w:tc>
          <w:tcPr>
            <w:tcW w:w="36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8"/>
              <w:ind w:left="255" w:right="0"/>
              <w:jc w:val="left"/>
              <w:rPr>
                <w:rFonts w:ascii="Century Gothic" w:hAnsi="Century Gothic" w:cs="Century Gothic" w:eastAsia="Century Gothic" w:hint="default"/>
                <w:sz w:val="21"/>
                <w:szCs w:val="21"/>
              </w:rPr>
            </w:pPr>
            <w:r>
              <w:rPr>
                <w:rFonts w:ascii="Century Gothic"/>
                <w:sz w:val="21"/>
              </w:rPr>
              <w:t>21656228-0</w:t>
            </w:r>
          </w:p>
        </w:tc>
      </w:tr>
    </w:tbl>
    <w:p>
      <w:pPr>
        <w:spacing w:line="240" w:lineRule="auto" w:before="13"/>
        <w:rPr>
          <w:rFonts w:ascii="宋体" w:hAnsi="宋体" w:cs="宋体" w:eastAsia="宋体" w:hint="default"/>
          <w:b/>
          <w:bCs/>
          <w:sz w:val="9"/>
          <w:szCs w:val="9"/>
        </w:rPr>
      </w:pPr>
    </w:p>
    <w:p>
      <w:pPr>
        <w:spacing w:before="76"/>
        <w:ind w:left="482" w:right="320" w:firstLine="0"/>
        <w:jc w:val="center"/>
        <w:rPr>
          <w:rFonts w:ascii="Times New Roman" w:hAnsi="Times New Roman" w:cs="Times New Roman" w:eastAsia="Times New Roman" w:hint="default"/>
          <w:sz w:val="18"/>
          <w:szCs w:val="18"/>
        </w:rPr>
      </w:pPr>
      <w:r>
        <w:rPr>
          <w:rFonts w:ascii="Times New Roman"/>
          <w:sz w:val="18"/>
        </w:rPr>
        <w:t>93</w:t>
      </w:r>
    </w:p>
    <w:p>
      <w:pPr>
        <w:spacing w:after="0"/>
        <w:jc w:val="center"/>
        <w:rPr>
          <w:rFonts w:ascii="Times New Roman" w:hAnsi="Times New Roman" w:cs="Times New Roman" w:eastAsia="Times New Roman" w:hint="default"/>
          <w:sz w:val="18"/>
          <w:szCs w:val="18"/>
        </w:rPr>
        <w:sectPr>
          <w:pgSz w:w="11910" w:h="16840"/>
          <w:pgMar w:top="780" w:bottom="280" w:left="1280" w:right="132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6256"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81" w:type="dxa"/>
        <w:tblLayout w:type="fixed"/>
        <w:tblCellMar>
          <w:top w:w="0" w:type="dxa"/>
          <w:left w:w="0" w:type="dxa"/>
          <w:bottom w:w="0" w:type="dxa"/>
          <w:right w:w="0" w:type="dxa"/>
        </w:tblCellMar>
        <w:tblLook w:val="01E0"/>
      </w:tblPr>
      <w:tblGrid>
        <w:gridCol w:w="3614"/>
        <w:gridCol w:w="3600"/>
        <w:gridCol w:w="1644"/>
      </w:tblGrid>
      <w:tr>
        <w:trPr>
          <w:trHeight w:val="419" w:hRule="exact"/>
        </w:trPr>
        <w:tc>
          <w:tcPr>
            <w:tcW w:w="361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8"/>
              <w:ind w:left="126"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36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1215"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44"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8"/>
              <w:ind w:left="237"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12" w:hRule="exact"/>
        </w:trPr>
        <w:tc>
          <w:tcPr>
            <w:tcW w:w="36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武汉健民药业集团股份有限公司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left="255" w:right="0"/>
              <w:jc w:val="left"/>
              <w:rPr>
                <w:rFonts w:ascii="Century Gothic" w:hAnsi="Century Gothic" w:cs="Century Gothic" w:eastAsia="Century Gothic" w:hint="default"/>
                <w:sz w:val="21"/>
                <w:szCs w:val="21"/>
              </w:rPr>
            </w:pPr>
            <w:r>
              <w:rPr>
                <w:rFonts w:ascii="Century Gothic"/>
                <w:sz w:val="21"/>
              </w:rPr>
              <w:t>17770184-9</w:t>
            </w:r>
          </w:p>
        </w:tc>
      </w:tr>
      <w:tr>
        <w:trPr>
          <w:trHeight w:val="413" w:hRule="exact"/>
        </w:trPr>
        <w:tc>
          <w:tcPr>
            <w:tcW w:w="36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昆明制药集团医药商业有限公司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left="250" w:right="0"/>
              <w:jc w:val="left"/>
              <w:rPr>
                <w:rFonts w:ascii="Century Gothic" w:hAnsi="Century Gothic" w:cs="Century Gothic" w:eastAsia="Century Gothic" w:hint="default"/>
                <w:sz w:val="21"/>
                <w:szCs w:val="21"/>
              </w:rPr>
            </w:pPr>
            <w:r>
              <w:rPr>
                <w:rFonts w:ascii="Century Gothic"/>
                <w:sz w:val="21"/>
              </w:rPr>
              <w:t>70971262-X</w:t>
            </w:r>
          </w:p>
        </w:tc>
      </w:tr>
      <w:tr>
        <w:trPr>
          <w:trHeight w:val="412" w:hRule="exact"/>
        </w:trPr>
        <w:tc>
          <w:tcPr>
            <w:tcW w:w="36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昆明中药厂有限公司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left="255" w:right="0"/>
              <w:jc w:val="left"/>
              <w:rPr>
                <w:rFonts w:ascii="Century Gothic" w:hAnsi="Century Gothic" w:cs="Century Gothic" w:eastAsia="Century Gothic" w:hint="default"/>
                <w:sz w:val="21"/>
                <w:szCs w:val="21"/>
              </w:rPr>
            </w:pPr>
            <w:r>
              <w:rPr>
                <w:rFonts w:ascii="Century Gothic"/>
                <w:sz w:val="21"/>
              </w:rPr>
              <w:t>21658512-4</w:t>
            </w:r>
          </w:p>
        </w:tc>
      </w:tr>
      <w:tr>
        <w:trPr>
          <w:trHeight w:val="412" w:hRule="exact"/>
        </w:trPr>
        <w:tc>
          <w:tcPr>
            <w:tcW w:w="36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武汉健民集团随州瑞康药业有限公司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left="255" w:right="0"/>
              <w:jc w:val="left"/>
              <w:rPr>
                <w:rFonts w:ascii="Century Gothic" w:hAnsi="Century Gothic" w:cs="Century Gothic" w:eastAsia="Century Gothic" w:hint="default"/>
                <w:sz w:val="21"/>
                <w:szCs w:val="21"/>
              </w:rPr>
            </w:pPr>
            <w:r>
              <w:rPr>
                <w:rFonts w:ascii="Century Gothic"/>
                <w:sz w:val="21"/>
              </w:rPr>
              <w:t>67978085-8</w:t>
            </w:r>
          </w:p>
        </w:tc>
      </w:tr>
      <w:tr>
        <w:trPr>
          <w:trHeight w:val="413" w:hRule="exact"/>
        </w:trPr>
        <w:tc>
          <w:tcPr>
            <w:tcW w:w="36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武汉健民集团随州药业有限公司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left="198" w:right="0"/>
              <w:jc w:val="left"/>
              <w:rPr>
                <w:rFonts w:ascii="Century Gothic" w:hAnsi="Century Gothic" w:cs="Century Gothic" w:eastAsia="Century Gothic" w:hint="default"/>
                <w:sz w:val="21"/>
                <w:szCs w:val="21"/>
              </w:rPr>
            </w:pPr>
            <w:r>
              <w:rPr>
                <w:rFonts w:ascii="Century Gothic"/>
                <w:sz w:val="21"/>
              </w:rPr>
              <w:t>747673289-9</w:t>
            </w:r>
          </w:p>
        </w:tc>
      </w:tr>
      <w:tr>
        <w:trPr>
          <w:trHeight w:val="412" w:hRule="exact"/>
        </w:trPr>
        <w:tc>
          <w:tcPr>
            <w:tcW w:w="36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湖北华立正源医药有限公司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left="255" w:right="0"/>
              <w:jc w:val="left"/>
              <w:rPr>
                <w:rFonts w:ascii="Century Gothic" w:hAnsi="Century Gothic" w:cs="Century Gothic" w:eastAsia="Century Gothic" w:hint="default"/>
                <w:sz w:val="21"/>
                <w:szCs w:val="21"/>
              </w:rPr>
            </w:pPr>
            <w:r>
              <w:rPr>
                <w:rFonts w:ascii="Century Gothic"/>
                <w:sz w:val="21"/>
              </w:rPr>
              <w:t>76742373-8</w:t>
            </w:r>
          </w:p>
        </w:tc>
      </w:tr>
      <w:tr>
        <w:trPr>
          <w:trHeight w:val="412" w:hRule="exact"/>
        </w:trPr>
        <w:tc>
          <w:tcPr>
            <w:tcW w:w="36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浙江华立通信集团有限公司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left="255" w:right="0"/>
              <w:jc w:val="left"/>
              <w:rPr>
                <w:rFonts w:ascii="Century Gothic" w:hAnsi="Century Gothic" w:cs="Century Gothic" w:eastAsia="Century Gothic" w:hint="default"/>
                <w:sz w:val="21"/>
                <w:szCs w:val="21"/>
              </w:rPr>
            </w:pPr>
            <w:r>
              <w:rPr>
                <w:rFonts w:ascii="Century Gothic"/>
                <w:sz w:val="21"/>
              </w:rPr>
              <w:t>76799998-0</w:t>
            </w:r>
          </w:p>
        </w:tc>
      </w:tr>
      <w:tr>
        <w:trPr>
          <w:trHeight w:val="413" w:hRule="exact"/>
        </w:trPr>
        <w:tc>
          <w:tcPr>
            <w:tcW w:w="36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浙江华科实业开发有限公司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left="255" w:right="0"/>
              <w:jc w:val="left"/>
              <w:rPr>
                <w:rFonts w:ascii="Century Gothic" w:hAnsi="Century Gothic" w:cs="Century Gothic" w:eastAsia="Century Gothic" w:hint="default"/>
                <w:sz w:val="21"/>
                <w:szCs w:val="21"/>
              </w:rPr>
            </w:pPr>
            <w:r>
              <w:rPr>
                <w:rFonts w:ascii="Century Gothic"/>
                <w:sz w:val="21"/>
              </w:rPr>
              <w:t>79558094-1</w:t>
            </w:r>
          </w:p>
        </w:tc>
      </w:tr>
      <w:tr>
        <w:trPr>
          <w:trHeight w:val="412" w:hRule="exact"/>
        </w:trPr>
        <w:tc>
          <w:tcPr>
            <w:tcW w:w="36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浙江华立国际发展有限公司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left="255" w:right="0"/>
              <w:jc w:val="left"/>
              <w:rPr>
                <w:rFonts w:ascii="Century Gothic" w:hAnsi="Century Gothic" w:cs="Century Gothic" w:eastAsia="Century Gothic" w:hint="default"/>
                <w:sz w:val="21"/>
                <w:szCs w:val="21"/>
              </w:rPr>
            </w:pPr>
            <w:r>
              <w:rPr>
                <w:rFonts w:ascii="Century Gothic"/>
                <w:sz w:val="21"/>
              </w:rPr>
              <w:t>70420257-5</w:t>
            </w:r>
          </w:p>
        </w:tc>
      </w:tr>
      <w:tr>
        <w:trPr>
          <w:trHeight w:val="412" w:hRule="exact"/>
        </w:trPr>
        <w:tc>
          <w:tcPr>
            <w:tcW w:w="36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华立集团（泰国）电气有限公司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
        </w:tc>
      </w:tr>
      <w:tr>
        <w:trPr>
          <w:trHeight w:val="413" w:hRule="exact"/>
        </w:trPr>
        <w:tc>
          <w:tcPr>
            <w:tcW w:w="36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浙江华凯新农业开发有限公司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8"/>
              <w:ind w:left="186" w:right="0"/>
              <w:jc w:val="left"/>
              <w:rPr>
                <w:rFonts w:ascii="Century Gothic" w:hAnsi="Century Gothic" w:cs="Century Gothic" w:eastAsia="Century Gothic" w:hint="default"/>
                <w:sz w:val="21"/>
                <w:szCs w:val="21"/>
              </w:rPr>
            </w:pPr>
            <w:r>
              <w:rPr>
                <w:rFonts w:ascii="Century Gothic" w:hAnsi="Century Gothic" w:cs="Century Gothic" w:eastAsia="Century Gothic" w:hint="default"/>
                <w:sz w:val="21"/>
                <w:szCs w:val="21"/>
              </w:rPr>
              <w:t>79855391</w:t>
            </w:r>
            <w:r>
              <w:rPr>
                <w:rFonts w:ascii="宋体" w:hAnsi="宋体" w:cs="宋体" w:eastAsia="宋体" w:hint="default"/>
                <w:sz w:val="21"/>
                <w:szCs w:val="21"/>
              </w:rPr>
              <w:t>－</w:t>
            </w:r>
            <w:r>
              <w:rPr>
                <w:rFonts w:ascii="Century Gothic" w:hAnsi="Century Gothic" w:cs="Century Gothic" w:eastAsia="Century Gothic" w:hint="default"/>
                <w:sz w:val="21"/>
                <w:szCs w:val="21"/>
              </w:rPr>
              <w:t>4</w:t>
            </w:r>
          </w:p>
        </w:tc>
      </w:tr>
      <w:tr>
        <w:trPr>
          <w:trHeight w:val="412" w:hRule="exact"/>
        </w:trPr>
        <w:tc>
          <w:tcPr>
            <w:tcW w:w="36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杭州华立电力系统工程有限公司</w:t>
            </w:r>
          </w:p>
        </w:tc>
        <w:tc>
          <w:tcPr>
            <w:tcW w:w="3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8"/>
              <w:ind w:left="255" w:right="0"/>
              <w:jc w:val="left"/>
              <w:rPr>
                <w:rFonts w:ascii="Century Gothic" w:hAnsi="Century Gothic" w:cs="Century Gothic" w:eastAsia="Century Gothic" w:hint="default"/>
                <w:sz w:val="21"/>
                <w:szCs w:val="21"/>
              </w:rPr>
            </w:pPr>
            <w:r>
              <w:rPr>
                <w:rFonts w:ascii="Century Gothic"/>
                <w:sz w:val="21"/>
              </w:rPr>
              <w:t>77925500-6</w:t>
            </w:r>
          </w:p>
        </w:tc>
      </w:tr>
      <w:tr>
        <w:trPr>
          <w:trHeight w:val="419" w:hRule="exact"/>
        </w:trPr>
        <w:tc>
          <w:tcPr>
            <w:tcW w:w="361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浙江华立电网控制系统有限公司</w:t>
            </w:r>
          </w:p>
        </w:tc>
        <w:tc>
          <w:tcPr>
            <w:tcW w:w="36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同受华立集团股份有限公司控制</w:t>
            </w:r>
          </w:p>
        </w:tc>
        <w:tc>
          <w:tcPr>
            <w:tcW w:w="164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8"/>
              <w:ind w:left="255" w:right="0"/>
              <w:jc w:val="left"/>
              <w:rPr>
                <w:rFonts w:ascii="Century Gothic" w:hAnsi="Century Gothic" w:cs="Century Gothic" w:eastAsia="Century Gothic" w:hint="default"/>
                <w:sz w:val="21"/>
                <w:szCs w:val="21"/>
              </w:rPr>
            </w:pPr>
            <w:r>
              <w:rPr>
                <w:rFonts w:ascii="Century Gothic"/>
                <w:sz w:val="21"/>
              </w:rPr>
              <w:t>71253357-7</w:t>
            </w:r>
          </w:p>
        </w:tc>
      </w:tr>
    </w:tbl>
    <w:p>
      <w:pPr>
        <w:pStyle w:val="Heading4"/>
        <w:spacing w:line="240" w:lineRule="auto" w:before="94"/>
        <w:ind w:left="500" w:right="0"/>
        <w:jc w:val="left"/>
        <w:rPr>
          <w:rFonts w:ascii="宋体" w:hAnsi="宋体" w:cs="宋体" w:eastAsia="宋体" w:hint="default"/>
          <w:b w:val="0"/>
          <w:bCs w:val="0"/>
        </w:rPr>
      </w:pPr>
      <w:r>
        <w:rPr>
          <w:rFonts w:ascii="宋体" w:hAnsi="宋体" w:cs="宋体" w:eastAsia="宋体" w:hint="default"/>
        </w:rPr>
        <w:t>（二）</w:t>
      </w:r>
      <w:r>
        <w:rPr>
          <w:rFonts w:ascii="宋体" w:hAnsi="宋体" w:cs="宋体" w:eastAsia="宋体" w:hint="default"/>
          <w:spacing w:val="-25"/>
        </w:rPr>
        <w:t> </w:t>
      </w:r>
      <w:r>
        <w:rPr>
          <w:rFonts w:ascii="宋体" w:hAnsi="宋体" w:cs="宋体" w:eastAsia="宋体" w:hint="default"/>
        </w:rPr>
        <w:t>关联方交易</w:t>
      </w:r>
      <w:r>
        <w:rPr>
          <w:rFonts w:ascii="宋体" w:hAnsi="宋体" w:cs="宋体" w:eastAsia="宋体" w:hint="default"/>
          <w:b w:val="0"/>
          <w:bCs w:val="0"/>
        </w:rPr>
      </w:r>
    </w:p>
    <w:p>
      <w:pPr>
        <w:pStyle w:val="Heading4"/>
        <w:spacing w:line="240" w:lineRule="auto" w:before="134"/>
        <w:ind w:right="0"/>
        <w:jc w:val="left"/>
        <w:rPr>
          <w:rFonts w:ascii="宋体" w:hAnsi="宋体" w:cs="宋体" w:eastAsia="宋体" w:hint="default"/>
          <w:b w:val="0"/>
          <w:bCs w:val="0"/>
        </w:rPr>
      </w:pPr>
      <w:r>
        <w:rPr>
          <w:rFonts w:ascii="Century Gothic" w:hAnsi="Century Gothic" w:cs="Century Gothic" w:eastAsia="Century Gothic" w:hint="default"/>
        </w:rPr>
        <w:t>1. </w:t>
      </w:r>
      <w:r>
        <w:rPr>
          <w:rFonts w:ascii="Century Gothic" w:hAnsi="Century Gothic" w:cs="Century Gothic" w:eastAsia="Century Gothic" w:hint="default"/>
          <w:spacing w:val="38"/>
        </w:rPr>
        <w:t> </w:t>
      </w:r>
      <w:r>
        <w:rPr>
          <w:rFonts w:ascii="宋体" w:hAnsi="宋体" w:cs="宋体" w:eastAsia="宋体" w:hint="default"/>
        </w:rPr>
        <w:t>销售商品</w:t>
      </w:r>
      <w:r>
        <w:rPr>
          <w:rFonts w:ascii="宋体" w:hAnsi="宋体" w:cs="宋体" w:eastAsia="宋体" w:hint="default"/>
          <w:b w:val="0"/>
          <w:bCs w:val="0"/>
        </w:rPr>
      </w:r>
    </w:p>
    <w:p>
      <w:pPr>
        <w:spacing w:line="240" w:lineRule="auto" w:before="9"/>
        <w:rPr>
          <w:rFonts w:ascii="宋体" w:hAnsi="宋体" w:cs="宋体" w:eastAsia="宋体" w:hint="default"/>
          <w:b/>
          <w:bCs/>
          <w:sz w:val="11"/>
          <w:szCs w:val="11"/>
        </w:rPr>
      </w:pPr>
    </w:p>
    <w:tbl>
      <w:tblPr>
        <w:tblW w:w="0" w:type="auto"/>
        <w:jc w:val="left"/>
        <w:tblInd w:w="286" w:type="dxa"/>
        <w:tblLayout w:type="fixed"/>
        <w:tblCellMar>
          <w:top w:w="0" w:type="dxa"/>
          <w:left w:w="0" w:type="dxa"/>
          <w:bottom w:w="0" w:type="dxa"/>
          <w:right w:w="0" w:type="dxa"/>
        </w:tblCellMar>
        <w:tblLook w:val="01E0"/>
      </w:tblPr>
      <w:tblGrid>
        <w:gridCol w:w="1630"/>
        <w:gridCol w:w="1132"/>
        <w:gridCol w:w="1477"/>
        <w:gridCol w:w="959"/>
        <w:gridCol w:w="1390"/>
        <w:gridCol w:w="1170"/>
        <w:gridCol w:w="1092"/>
      </w:tblGrid>
      <w:tr>
        <w:trPr>
          <w:trHeight w:val="362" w:hRule="exact"/>
        </w:trPr>
        <w:tc>
          <w:tcPr>
            <w:tcW w:w="1630"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96"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132"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pacing w:val="-33"/>
                <w:sz w:val="21"/>
                <w:szCs w:val="21"/>
              </w:rPr>
              <w:t>交易内容</w:t>
            </w:r>
            <w:r>
              <w:rPr>
                <w:rFonts w:ascii="宋体" w:hAnsi="宋体" w:cs="宋体" w:eastAsia="宋体" w:hint="default"/>
                <w:sz w:val="21"/>
                <w:szCs w:val="21"/>
              </w:rPr>
            </w:r>
          </w:p>
        </w:tc>
        <w:tc>
          <w:tcPr>
            <w:tcW w:w="243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764" w:right="0"/>
              <w:jc w:val="left"/>
              <w:rPr>
                <w:rFonts w:ascii="宋体" w:hAnsi="宋体" w:cs="宋体" w:eastAsia="宋体" w:hint="default"/>
                <w:sz w:val="21"/>
                <w:szCs w:val="21"/>
              </w:rPr>
            </w:pPr>
            <w:r>
              <w:rPr>
                <w:rFonts w:ascii="宋体" w:hAnsi="宋体" w:cs="宋体" w:eastAsia="宋体" w:hint="default"/>
                <w:spacing w:val="-26"/>
                <w:sz w:val="21"/>
                <w:szCs w:val="21"/>
              </w:rPr>
              <w:t>本年发生额</w:t>
            </w:r>
          </w:p>
        </w:tc>
        <w:tc>
          <w:tcPr>
            <w:tcW w:w="2560"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826" w:right="0"/>
              <w:jc w:val="left"/>
              <w:rPr>
                <w:rFonts w:ascii="宋体" w:hAnsi="宋体" w:cs="宋体" w:eastAsia="宋体" w:hint="default"/>
                <w:sz w:val="21"/>
                <w:szCs w:val="21"/>
              </w:rPr>
            </w:pPr>
            <w:r>
              <w:rPr>
                <w:rFonts w:ascii="宋体" w:hAnsi="宋体" w:cs="宋体" w:eastAsia="宋体" w:hint="default"/>
                <w:spacing w:val="-26"/>
                <w:sz w:val="21"/>
                <w:szCs w:val="21"/>
              </w:rPr>
              <w:t>上年发生额</w:t>
            </w:r>
          </w:p>
        </w:tc>
        <w:tc>
          <w:tcPr>
            <w:tcW w:w="1092" w:type="dxa"/>
            <w:vMerge w:val="restart"/>
            <w:tcBorders>
              <w:top w:val="single" w:sz="12" w:space="0" w:color="000000"/>
              <w:left w:val="single" w:sz="6" w:space="0" w:color="000000"/>
              <w:right w:val="nil" w:sz="6" w:space="0" w:color="auto"/>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37" w:lineRule="auto"/>
              <w:ind w:left="182" w:right="188"/>
              <w:jc w:val="center"/>
              <w:rPr>
                <w:rFonts w:ascii="宋体" w:hAnsi="宋体" w:cs="宋体" w:eastAsia="宋体" w:hint="default"/>
                <w:sz w:val="21"/>
                <w:szCs w:val="21"/>
              </w:rPr>
            </w:pPr>
            <w:r>
              <w:rPr>
                <w:rFonts w:ascii="宋体" w:hAnsi="宋体" w:cs="宋体" w:eastAsia="宋体" w:hint="default"/>
                <w:spacing w:val="-33"/>
                <w:sz w:val="21"/>
                <w:szCs w:val="21"/>
              </w:rPr>
              <w:t>定价方式 及决策程 </w:t>
            </w:r>
            <w:r>
              <w:rPr>
                <w:rFonts w:ascii="宋体" w:hAnsi="宋体" w:cs="宋体" w:eastAsia="宋体" w:hint="default"/>
                <w:sz w:val="21"/>
                <w:szCs w:val="21"/>
              </w:rPr>
              <w:t>序</w:t>
            </w:r>
          </w:p>
        </w:tc>
      </w:tr>
      <w:tr>
        <w:trPr>
          <w:trHeight w:val="1108" w:hRule="exact"/>
        </w:trPr>
        <w:tc>
          <w:tcPr>
            <w:tcW w:w="1630" w:type="dxa"/>
            <w:vMerge/>
            <w:tcBorders>
              <w:left w:val="nil" w:sz="6" w:space="0" w:color="auto"/>
              <w:bottom w:val="single" w:sz="6" w:space="0" w:color="000000"/>
              <w:right w:val="single" w:sz="6" w:space="0" w:color="000000"/>
            </w:tcBorders>
          </w:tcPr>
          <w:p>
            <w:pPr/>
          </w:p>
        </w:tc>
        <w:tc>
          <w:tcPr>
            <w:tcW w:w="1132" w:type="dxa"/>
            <w:vMerge/>
            <w:tcBorders>
              <w:left w:val="single" w:sz="6" w:space="0" w:color="000000"/>
              <w:bottom w:val="single" w:sz="6" w:space="0" w:color="000000"/>
              <w:right w:val="single" w:sz="6" w:space="0" w:color="000000"/>
            </w:tcBorders>
          </w:tcPr>
          <w:p>
            <w:pP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7"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37" w:lineRule="auto" w:before="2"/>
              <w:ind w:left="100" w:right="48" w:firstLine="56"/>
              <w:jc w:val="both"/>
              <w:rPr>
                <w:rFonts w:ascii="宋体" w:hAnsi="宋体" w:cs="宋体" w:eastAsia="宋体" w:hint="default"/>
                <w:sz w:val="21"/>
                <w:szCs w:val="21"/>
              </w:rPr>
            </w:pPr>
            <w:r>
              <w:rPr>
                <w:rFonts w:ascii="宋体" w:hAnsi="宋体" w:cs="宋体" w:eastAsia="宋体" w:hint="default"/>
                <w:sz w:val="21"/>
                <w:szCs w:val="21"/>
              </w:rPr>
              <w:t>交易金 额的比 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49" w:firstLine="56"/>
              <w:jc w:val="both"/>
              <w:rPr>
                <w:rFonts w:ascii="宋体" w:hAnsi="宋体" w:cs="宋体" w:eastAsia="宋体" w:hint="default"/>
                <w:sz w:val="21"/>
                <w:szCs w:val="21"/>
              </w:rPr>
            </w:pPr>
            <w:r>
              <w:rPr>
                <w:rFonts w:ascii="宋体" w:hAnsi="宋体" w:cs="宋体" w:eastAsia="宋体" w:hint="default"/>
                <w:sz w:val="21"/>
                <w:szCs w:val="21"/>
              </w:rPr>
              <w:t>占同类交 易金额的 比例（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092" w:type="dxa"/>
            <w:vMerge/>
            <w:tcBorders>
              <w:left w:val="single" w:sz="6" w:space="0" w:color="000000"/>
              <w:bottom w:val="single" w:sz="6" w:space="0" w:color="000000"/>
              <w:right w:val="nil" w:sz="6" w:space="0" w:color="auto"/>
            </w:tcBorders>
          </w:tcPr>
          <w:p>
            <w:pPr/>
          </w:p>
        </w:tc>
      </w:tr>
      <w:tr>
        <w:trPr>
          <w:trHeight w:val="482" w:hRule="exact"/>
        </w:trPr>
        <w:tc>
          <w:tcPr>
            <w:tcW w:w="163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浙江华立电</w:t>
            </w:r>
            <w:r>
              <w:rPr>
                <w:rFonts w:ascii="宋体" w:hAnsi="宋体" w:cs="宋体" w:eastAsia="宋体" w:hint="default"/>
                <w:spacing w:val="-65"/>
                <w:sz w:val="18"/>
                <w:szCs w:val="18"/>
              </w:rPr>
              <w:t> </w:t>
            </w:r>
            <w:r>
              <w:rPr>
                <w:rFonts w:ascii="宋体" w:hAnsi="宋体" w:cs="宋体" w:eastAsia="宋体" w:hint="default"/>
                <w:sz w:val="18"/>
                <w:szCs w:val="18"/>
              </w:rPr>
              <w:t>力</w:t>
            </w:r>
            <w:r>
              <w:rPr>
                <w:rFonts w:ascii="宋体" w:hAnsi="宋体" w:cs="宋体" w:eastAsia="宋体" w:hint="default"/>
                <w:spacing w:val="-65"/>
                <w:sz w:val="18"/>
                <w:szCs w:val="18"/>
              </w:rPr>
              <w:t> </w:t>
            </w:r>
            <w:r>
              <w:rPr>
                <w:rFonts w:ascii="宋体" w:hAnsi="宋体" w:cs="宋体" w:eastAsia="宋体" w:hint="default"/>
                <w:sz w:val="18"/>
                <w:szCs w:val="18"/>
              </w:rPr>
              <w:t>科</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7" w:right="0"/>
              <w:jc w:val="left"/>
              <w:rPr>
                <w:rFonts w:ascii="宋体" w:hAnsi="宋体" w:cs="宋体" w:eastAsia="宋体" w:hint="default"/>
                <w:sz w:val="18"/>
                <w:szCs w:val="18"/>
              </w:rPr>
            </w:pPr>
            <w:r>
              <w:rPr>
                <w:rFonts w:ascii="宋体" w:hAnsi="宋体" w:cs="宋体" w:eastAsia="宋体" w:hint="default"/>
                <w:sz w:val="18"/>
                <w:szCs w:val="18"/>
              </w:rPr>
              <w:t>销售仪表</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4,398,639.96</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0.22</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82,945.13</w:t>
            </w:r>
          </w:p>
        </w:tc>
        <w:tc>
          <w:tcPr>
            <w:tcW w:w="117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85"/>
              <w:jc w:val="right"/>
              <w:rPr>
                <w:rFonts w:ascii="宋体" w:hAnsi="宋体" w:cs="宋体" w:eastAsia="宋体" w:hint="default"/>
                <w:sz w:val="18"/>
                <w:szCs w:val="18"/>
              </w:rPr>
            </w:pPr>
            <w:r>
              <w:rPr>
                <w:rFonts w:ascii="宋体" w:hAnsi="宋体" w:cs="宋体" w:eastAsia="宋体" w:hint="default"/>
                <w:sz w:val="18"/>
                <w:szCs w:val="18"/>
              </w:rPr>
              <w:t>市场价格</w:t>
            </w:r>
          </w:p>
        </w:tc>
      </w:tr>
      <w:tr>
        <w:trPr>
          <w:trHeight w:val="484" w:hRule="exact"/>
        </w:trPr>
        <w:tc>
          <w:tcPr>
            <w:tcW w:w="163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浙江华立国</w:t>
            </w:r>
            <w:r>
              <w:rPr>
                <w:rFonts w:ascii="宋体" w:hAnsi="宋体" w:cs="宋体" w:eastAsia="宋体" w:hint="default"/>
                <w:spacing w:val="-65"/>
                <w:sz w:val="18"/>
                <w:szCs w:val="18"/>
              </w:rPr>
              <w:t> </w:t>
            </w:r>
            <w:r>
              <w:rPr>
                <w:rFonts w:ascii="宋体" w:hAnsi="宋体" w:cs="宋体" w:eastAsia="宋体" w:hint="default"/>
                <w:sz w:val="18"/>
                <w:szCs w:val="18"/>
              </w:rPr>
              <w:t>际</w:t>
            </w:r>
            <w:r>
              <w:rPr>
                <w:rFonts w:ascii="宋体" w:hAnsi="宋体" w:cs="宋体" w:eastAsia="宋体" w:hint="default"/>
                <w:spacing w:val="-65"/>
                <w:sz w:val="18"/>
                <w:szCs w:val="18"/>
              </w:rPr>
              <w:t> </w:t>
            </w:r>
            <w:r>
              <w:rPr>
                <w:rFonts w:ascii="宋体" w:hAnsi="宋体" w:cs="宋体" w:eastAsia="宋体" w:hint="default"/>
                <w:sz w:val="18"/>
                <w:szCs w:val="18"/>
              </w:rPr>
              <w:t>发</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7" w:right="0"/>
              <w:jc w:val="left"/>
              <w:rPr>
                <w:rFonts w:ascii="宋体" w:hAnsi="宋体" w:cs="宋体" w:eastAsia="宋体" w:hint="default"/>
                <w:sz w:val="18"/>
                <w:szCs w:val="18"/>
              </w:rPr>
            </w:pPr>
            <w:r>
              <w:rPr>
                <w:rFonts w:ascii="宋体" w:hAnsi="宋体" w:cs="宋体" w:eastAsia="宋体" w:hint="default"/>
                <w:sz w:val="18"/>
                <w:szCs w:val="18"/>
              </w:rPr>
              <w:t>销售仪表</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6,001,576.65</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0.31</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21,696,380.42</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0.76</w:t>
            </w:r>
          </w:p>
        </w:tc>
        <w:tc>
          <w:tcPr>
            <w:tcW w:w="10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84"/>
              <w:jc w:val="right"/>
              <w:rPr>
                <w:rFonts w:ascii="宋体" w:hAnsi="宋体" w:cs="宋体" w:eastAsia="宋体" w:hint="default"/>
                <w:sz w:val="18"/>
                <w:szCs w:val="18"/>
              </w:rPr>
            </w:pPr>
            <w:r>
              <w:rPr>
                <w:rFonts w:ascii="宋体" w:hAnsi="宋体" w:cs="宋体" w:eastAsia="宋体" w:hint="default"/>
                <w:sz w:val="18"/>
                <w:szCs w:val="18"/>
              </w:rPr>
              <w:t>市场价格</w:t>
            </w:r>
          </w:p>
        </w:tc>
      </w:tr>
      <w:tr>
        <w:trPr>
          <w:trHeight w:val="482" w:hRule="exact"/>
        </w:trPr>
        <w:tc>
          <w:tcPr>
            <w:tcW w:w="163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华立集团（泰国）</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电气有限公司</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7" w:right="0"/>
              <w:jc w:val="left"/>
              <w:rPr>
                <w:rFonts w:ascii="宋体" w:hAnsi="宋体" w:cs="宋体" w:eastAsia="宋体" w:hint="default"/>
                <w:sz w:val="18"/>
                <w:szCs w:val="18"/>
              </w:rPr>
            </w:pPr>
            <w:r>
              <w:rPr>
                <w:rFonts w:ascii="宋体" w:hAnsi="宋体" w:cs="宋体" w:eastAsia="宋体" w:hint="default"/>
                <w:sz w:val="18"/>
                <w:szCs w:val="18"/>
              </w:rPr>
              <w:t>销售仪表</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38,099,930.22</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1.95</w:t>
            </w:r>
          </w:p>
        </w:tc>
        <w:tc>
          <w:tcPr>
            <w:tcW w:w="1390" w:type="dxa"/>
            <w:tcBorders>
              <w:top w:val="single" w:sz="6" w:space="0" w:color="000000"/>
              <w:left w:val="single" w:sz="6" w:space="0" w:color="000000"/>
              <w:bottom w:val="single" w:sz="6" w:space="0" w:color="000000"/>
              <w:right w:val="single" w:sz="6" w:space="0" w:color="000000"/>
            </w:tcBorders>
          </w:tcPr>
          <w:p>
            <w:pPr/>
          </w:p>
        </w:tc>
        <w:tc>
          <w:tcPr>
            <w:tcW w:w="1170" w:type="dxa"/>
            <w:tcBorders>
              <w:top w:val="single" w:sz="6" w:space="0" w:color="000000"/>
              <w:left w:val="single" w:sz="6" w:space="0" w:color="000000"/>
              <w:bottom w:val="single" w:sz="6" w:space="0" w:color="000000"/>
              <w:right w:val="single" w:sz="6" w:space="0" w:color="000000"/>
            </w:tcBorders>
          </w:tcPr>
          <w:p>
            <w:pPr/>
          </w:p>
        </w:tc>
        <w:tc>
          <w:tcPr>
            <w:tcW w:w="10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85"/>
              <w:jc w:val="right"/>
              <w:rPr>
                <w:rFonts w:ascii="宋体" w:hAnsi="宋体" w:cs="宋体" w:eastAsia="宋体" w:hint="default"/>
                <w:sz w:val="18"/>
                <w:szCs w:val="18"/>
              </w:rPr>
            </w:pPr>
            <w:r>
              <w:rPr>
                <w:rFonts w:ascii="宋体" w:hAnsi="宋体" w:cs="宋体" w:eastAsia="宋体" w:hint="default"/>
                <w:sz w:val="18"/>
                <w:szCs w:val="18"/>
              </w:rPr>
              <w:t>市场价格</w:t>
            </w:r>
          </w:p>
        </w:tc>
      </w:tr>
      <w:tr>
        <w:trPr>
          <w:trHeight w:val="484" w:hRule="exact"/>
        </w:trPr>
        <w:tc>
          <w:tcPr>
            <w:tcW w:w="163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杭州华立电</w:t>
            </w:r>
            <w:r>
              <w:rPr>
                <w:rFonts w:ascii="宋体" w:hAnsi="宋体" w:cs="宋体" w:eastAsia="宋体" w:hint="default"/>
                <w:spacing w:val="-65"/>
                <w:sz w:val="18"/>
                <w:szCs w:val="18"/>
              </w:rPr>
              <w:t> </w:t>
            </w:r>
            <w:r>
              <w:rPr>
                <w:rFonts w:ascii="宋体" w:hAnsi="宋体" w:cs="宋体" w:eastAsia="宋体" w:hint="default"/>
                <w:sz w:val="18"/>
                <w:szCs w:val="18"/>
              </w:rPr>
              <w:t>力</w:t>
            </w:r>
            <w:r>
              <w:rPr>
                <w:rFonts w:ascii="宋体" w:hAnsi="宋体" w:cs="宋体" w:eastAsia="宋体" w:hint="default"/>
                <w:spacing w:val="-65"/>
                <w:sz w:val="18"/>
                <w:szCs w:val="18"/>
              </w:rPr>
              <w:t> </w:t>
            </w:r>
            <w:r>
              <w:rPr>
                <w:rFonts w:ascii="宋体" w:hAnsi="宋体" w:cs="宋体" w:eastAsia="宋体" w:hint="default"/>
                <w:sz w:val="18"/>
                <w:szCs w:val="18"/>
              </w:rPr>
              <w:t>系</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统工程有限公司</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7" w:right="0"/>
              <w:jc w:val="left"/>
              <w:rPr>
                <w:rFonts w:ascii="宋体" w:hAnsi="宋体" w:cs="宋体" w:eastAsia="宋体" w:hint="default"/>
                <w:sz w:val="18"/>
                <w:szCs w:val="18"/>
              </w:rPr>
            </w:pPr>
            <w:r>
              <w:rPr>
                <w:rFonts w:ascii="宋体" w:hAnsi="宋体" w:cs="宋体" w:eastAsia="宋体" w:hint="default"/>
                <w:sz w:val="18"/>
                <w:szCs w:val="18"/>
              </w:rPr>
              <w:t>销售仪表</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1,606,081.03</w:t>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0.08</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648,326.71</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0.02</w:t>
            </w:r>
          </w:p>
        </w:tc>
        <w:tc>
          <w:tcPr>
            <w:tcW w:w="10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85"/>
              <w:jc w:val="right"/>
              <w:rPr>
                <w:rFonts w:ascii="宋体" w:hAnsi="宋体" w:cs="宋体" w:eastAsia="宋体" w:hint="default"/>
                <w:sz w:val="18"/>
                <w:szCs w:val="18"/>
              </w:rPr>
            </w:pPr>
            <w:r>
              <w:rPr>
                <w:rFonts w:ascii="宋体" w:hAnsi="宋体" w:cs="宋体" w:eastAsia="宋体" w:hint="default"/>
                <w:sz w:val="18"/>
                <w:szCs w:val="18"/>
              </w:rPr>
              <w:t>市场价格</w:t>
            </w:r>
          </w:p>
        </w:tc>
      </w:tr>
      <w:tr>
        <w:trPr>
          <w:trHeight w:val="482" w:hRule="exact"/>
        </w:trPr>
        <w:tc>
          <w:tcPr>
            <w:tcW w:w="163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昆明制药集</w:t>
            </w:r>
            <w:r>
              <w:rPr>
                <w:rFonts w:ascii="宋体" w:hAnsi="宋体" w:cs="宋体" w:eastAsia="宋体" w:hint="default"/>
                <w:spacing w:val="-65"/>
                <w:sz w:val="18"/>
                <w:szCs w:val="18"/>
              </w:rPr>
              <w:t> </w:t>
            </w:r>
            <w:r>
              <w:rPr>
                <w:rFonts w:ascii="宋体" w:hAnsi="宋体" w:cs="宋体" w:eastAsia="宋体" w:hint="default"/>
                <w:sz w:val="18"/>
                <w:szCs w:val="18"/>
              </w:rPr>
              <w:t>团</w:t>
            </w:r>
            <w:r>
              <w:rPr>
                <w:rFonts w:ascii="宋体" w:hAnsi="宋体" w:cs="宋体" w:eastAsia="宋体" w:hint="default"/>
                <w:spacing w:val="-65"/>
                <w:sz w:val="18"/>
                <w:szCs w:val="18"/>
              </w:rPr>
              <w:t> </w:t>
            </w:r>
            <w:r>
              <w:rPr>
                <w:rFonts w:ascii="宋体" w:hAnsi="宋体" w:cs="宋体" w:eastAsia="宋体" w:hint="default"/>
                <w:sz w:val="18"/>
                <w:szCs w:val="18"/>
              </w:rPr>
              <w:t>股</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7" w:right="0"/>
              <w:jc w:val="left"/>
              <w:rPr>
                <w:rFonts w:ascii="宋体" w:hAnsi="宋体" w:cs="宋体" w:eastAsia="宋体" w:hint="default"/>
                <w:sz w:val="18"/>
                <w:szCs w:val="18"/>
              </w:rPr>
            </w:pPr>
            <w:r>
              <w:rPr>
                <w:rFonts w:ascii="宋体" w:hAnsi="宋体" w:cs="宋体" w:eastAsia="宋体" w:hint="default"/>
                <w:sz w:val="18"/>
                <w:szCs w:val="18"/>
              </w:rPr>
              <w:t>销售药品</w:t>
            </w:r>
          </w:p>
        </w:tc>
        <w:tc>
          <w:tcPr>
            <w:tcW w:w="1477" w:type="dxa"/>
            <w:tcBorders>
              <w:top w:val="single" w:sz="6" w:space="0" w:color="000000"/>
              <w:left w:val="single" w:sz="6" w:space="0" w:color="000000"/>
              <w:bottom w:val="single" w:sz="6" w:space="0" w:color="000000"/>
              <w:right w:val="single" w:sz="6" w:space="0" w:color="000000"/>
            </w:tcBorders>
          </w:tcPr>
          <w:p>
            <w:pPr/>
          </w:p>
        </w:tc>
        <w:tc>
          <w:tcPr>
            <w:tcW w:w="959"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1,109,884.62</w:t>
            </w:r>
          </w:p>
        </w:tc>
        <w:tc>
          <w:tcPr>
            <w:tcW w:w="11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0.04</w:t>
            </w:r>
          </w:p>
        </w:tc>
        <w:tc>
          <w:tcPr>
            <w:tcW w:w="109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184"/>
              <w:jc w:val="right"/>
              <w:rPr>
                <w:rFonts w:ascii="宋体" w:hAnsi="宋体" w:cs="宋体" w:eastAsia="宋体" w:hint="default"/>
                <w:sz w:val="18"/>
                <w:szCs w:val="18"/>
              </w:rPr>
            </w:pPr>
            <w:r>
              <w:rPr>
                <w:rFonts w:ascii="宋体" w:hAnsi="宋体" w:cs="宋体" w:eastAsia="宋体" w:hint="default"/>
                <w:sz w:val="18"/>
                <w:szCs w:val="18"/>
              </w:rPr>
              <w:t>市场价格</w:t>
            </w:r>
          </w:p>
        </w:tc>
      </w:tr>
      <w:tr>
        <w:trPr>
          <w:trHeight w:val="491" w:hRule="exact"/>
        </w:trPr>
        <w:tc>
          <w:tcPr>
            <w:tcW w:w="1630"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7"/>
                <w:sz w:val="18"/>
                <w:szCs w:val="18"/>
              </w:rPr>
              <w:t>昆明制药集</w:t>
            </w:r>
            <w:r>
              <w:rPr>
                <w:rFonts w:ascii="宋体" w:hAnsi="宋体" w:cs="宋体" w:eastAsia="宋体" w:hint="default"/>
                <w:spacing w:val="-65"/>
                <w:sz w:val="18"/>
                <w:szCs w:val="18"/>
              </w:rPr>
              <w:t> </w:t>
            </w:r>
            <w:r>
              <w:rPr>
                <w:rFonts w:ascii="宋体" w:hAnsi="宋体" w:cs="宋体" w:eastAsia="宋体" w:hint="default"/>
                <w:sz w:val="18"/>
                <w:szCs w:val="18"/>
              </w:rPr>
              <w:t>团</w:t>
            </w:r>
            <w:r>
              <w:rPr>
                <w:rFonts w:ascii="宋体" w:hAnsi="宋体" w:cs="宋体" w:eastAsia="宋体" w:hint="default"/>
                <w:spacing w:val="-65"/>
                <w:sz w:val="18"/>
                <w:szCs w:val="18"/>
              </w:rPr>
              <w:t> </w:t>
            </w:r>
            <w:r>
              <w:rPr>
                <w:rFonts w:ascii="宋体" w:hAnsi="宋体" w:cs="宋体" w:eastAsia="宋体" w:hint="default"/>
                <w:sz w:val="18"/>
                <w:szCs w:val="18"/>
              </w:rPr>
              <w:t>医</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药商业有限公司</w:t>
            </w:r>
          </w:p>
        </w:tc>
        <w:tc>
          <w:tcPr>
            <w:tcW w:w="1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97" w:right="0"/>
              <w:jc w:val="left"/>
              <w:rPr>
                <w:rFonts w:ascii="宋体" w:hAnsi="宋体" w:cs="宋体" w:eastAsia="宋体" w:hint="default"/>
                <w:sz w:val="18"/>
                <w:szCs w:val="18"/>
              </w:rPr>
            </w:pPr>
            <w:r>
              <w:rPr>
                <w:rFonts w:ascii="宋体" w:hAnsi="宋体" w:cs="宋体" w:eastAsia="宋体" w:hint="default"/>
                <w:sz w:val="18"/>
                <w:szCs w:val="18"/>
              </w:rPr>
              <w:t>销售药品</w:t>
            </w:r>
          </w:p>
        </w:tc>
        <w:tc>
          <w:tcPr>
            <w:tcW w:w="1477" w:type="dxa"/>
            <w:tcBorders>
              <w:top w:val="single" w:sz="6" w:space="0" w:color="000000"/>
              <w:left w:val="single" w:sz="6" w:space="0" w:color="000000"/>
              <w:bottom w:val="single" w:sz="12" w:space="0" w:color="000000"/>
              <w:right w:val="single" w:sz="6" w:space="0" w:color="000000"/>
            </w:tcBorders>
          </w:tcPr>
          <w:p>
            <w:pPr/>
          </w:p>
        </w:tc>
        <w:tc>
          <w:tcPr>
            <w:tcW w:w="959" w:type="dxa"/>
            <w:tcBorders>
              <w:top w:val="single" w:sz="6" w:space="0" w:color="000000"/>
              <w:left w:val="single" w:sz="6" w:space="0" w:color="000000"/>
              <w:bottom w:val="single" w:sz="12" w:space="0" w:color="000000"/>
              <w:right w:val="single" w:sz="6" w:space="0" w:color="000000"/>
            </w:tcBorders>
          </w:tcPr>
          <w:p>
            <w:pPr/>
          </w:p>
        </w:tc>
        <w:tc>
          <w:tcPr>
            <w:tcW w:w="13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10,967,945.37</w:t>
            </w:r>
          </w:p>
        </w:tc>
        <w:tc>
          <w:tcPr>
            <w:tcW w:w="11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0.38</w:t>
            </w:r>
          </w:p>
        </w:tc>
        <w:tc>
          <w:tcPr>
            <w:tcW w:w="109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7"/>
              <w:ind w:right="184"/>
              <w:jc w:val="right"/>
              <w:rPr>
                <w:rFonts w:ascii="宋体" w:hAnsi="宋体" w:cs="宋体" w:eastAsia="宋体" w:hint="default"/>
                <w:sz w:val="18"/>
                <w:szCs w:val="18"/>
              </w:rPr>
            </w:pPr>
            <w:r>
              <w:rPr>
                <w:rFonts w:ascii="宋体" w:hAnsi="宋体" w:cs="宋体" w:eastAsia="宋体" w:hint="default"/>
                <w:sz w:val="18"/>
                <w:szCs w:val="18"/>
              </w:rPr>
              <w:t>市场价格</w:t>
            </w:r>
          </w:p>
        </w:tc>
      </w:tr>
    </w:tbl>
    <w:p>
      <w:pPr>
        <w:pStyle w:val="Heading4"/>
        <w:spacing w:line="240" w:lineRule="auto" w:before="86"/>
        <w:ind w:right="0"/>
        <w:jc w:val="left"/>
        <w:rPr>
          <w:rFonts w:ascii="宋体" w:hAnsi="宋体" w:cs="宋体" w:eastAsia="宋体" w:hint="default"/>
          <w:b w:val="0"/>
          <w:bCs w:val="0"/>
        </w:rPr>
      </w:pPr>
      <w:r>
        <w:rPr>
          <w:rFonts w:ascii="Century Gothic" w:hAnsi="Century Gothic" w:cs="Century Gothic" w:eastAsia="Century Gothic" w:hint="default"/>
        </w:rPr>
        <w:t>2. </w:t>
      </w:r>
      <w:r>
        <w:rPr>
          <w:rFonts w:ascii="Century Gothic" w:hAnsi="Century Gothic" w:cs="Century Gothic" w:eastAsia="Century Gothic" w:hint="default"/>
          <w:spacing w:val="33"/>
        </w:rPr>
        <w:t> </w:t>
      </w:r>
      <w:r>
        <w:rPr>
          <w:rFonts w:ascii="宋体" w:hAnsi="宋体" w:cs="宋体" w:eastAsia="宋体" w:hint="default"/>
        </w:rPr>
        <w:t>销售商品以外的其他资产</w:t>
      </w:r>
      <w:r>
        <w:rPr>
          <w:rFonts w:ascii="宋体" w:hAnsi="宋体" w:cs="宋体" w:eastAsia="宋体" w:hint="default"/>
          <w:b w:val="0"/>
          <w:bCs w:val="0"/>
        </w:rPr>
      </w:r>
    </w:p>
    <w:p>
      <w:pPr>
        <w:pStyle w:val="BodyText"/>
        <w:spacing w:line="240" w:lineRule="auto"/>
        <w:ind w:left="559" w:right="0"/>
        <w:jc w:val="left"/>
      </w:pPr>
      <w:r>
        <w:rPr>
          <w:rFonts w:ascii="Century Gothic" w:hAnsi="Century Gothic" w:cs="Century Gothic" w:eastAsia="Century Gothic" w:hint="default"/>
        </w:rPr>
        <w:t>A</w:t>
      </w:r>
      <w:r>
        <w:rPr/>
        <w:t>、在建工程转让</w:t>
      </w:r>
    </w:p>
    <w:p>
      <w:pPr>
        <w:pStyle w:val="BodyText"/>
        <w:spacing w:line="343" w:lineRule="auto"/>
        <w:ind w:right="113" w:firstLine="420"/>
        <w:jc w:val="both"/>
      </w:pPr>
      <w:r>
        <w:rPr>
          <w:rFonts w:ascii="Century Gothic" w:hAnsi="Century Gothic" w:cs="Century Gothic" w:eastAsia="Century Gothic" w:hint="default"/>
          <w:w w:val="99"/>
        </w:rPr>
        <w:t>2007</w:t>
      </w:r>
      <w:r>
        <w:rPr>
          <w:rFonts w:ascii="Century Gothic" w:hAnsi="Century Gothic" w:cs="Century Gothic" w:eastAsia="Century Gothic" w:hint="default"/>
          <w:spacing w:val="-4"/>
          <w:w w:val="99"/>
        </w:rPr>
        <w:t> </w:t>
      </w:r>
      <w:r>
        <w:rPr/>
        <w:t>年</w:t>
      </w:r>
      <w:r>
        <w:rPr>
          <w:spacing w:val="-51"/>
        </w:rPr>
        <w:t> </w:t>
      </w:r>
      <w:r>
        <w:rPr>
          <w:rFonts w:ascii="Century Gothic" w:hAnsi="Century Gothic" w:cs="Century Gothic" w:eastAsia="Century Gothic" w:hint="default"/>
          <w:w w:val="99"/>
        </w:rPr>
        <w:t>11</w:t>
      </w:r>
      <w:r>
        <w:rPr>
          <w:rFonts w:ascii="Century Gothic" w:hAnsi="Century Gothic" w:cs="Century Gothic" w:eastAsia="Century Gothic" w:hint="default"/>
          <w:spacing w:val="-5"/>
          <w:w w:val="99"/>
        </w:rPr>
        <w:t> </w:t>
      </w:r>
      <w:r>
        <w:rPr/>
        <w:t>月</w:t>
      </w:r>
      <w:r>
        <w:rPr>
          <w:spacing w:val="-51"/>
        </w:rPr>
        <w:t> </w:t>
      </w:r>
      <w:r>
        <w:rPr>
          <w:rFonts w:ascii="Century Gothic" w:hAnsi="Century Gothic" w:cs="Century Gothic" w:eastAsia="Century Gothic" w:hint="default"/>
          <w:w w:val="99"/>
        </w:rPr>
        <w:t>14</w:t>
      </w:r>
      <w:r>
        <w:rPr>
          <w:rFonts w:ascii="Century Gothic" w:hAnsi="Century Gothic" w:cs="Century Gothic" w:eastAsia="Century Gothic" w:hint="default"/>
          <w:spacing w:val="-4"/>
          <w:w w:val="99"/>
        </w:rPr>
        <w:t> </w:t>
      </w:r>
      <w:r>
        <w:rPr>
          <w:spacing w:val="-6"/>
        </w:rPr>
        <w:t>日，子公司华立仪表集团股份有限公司（以下简称“华立仪表集团”）与浙江华</w:t>
      </w:r>
      <w:r>
        <w:rPr/>
        <w:t> </w:t>
      </w:r>
      <w:r>
        <w:rPr>
          <w:spacing w:val="-6"/>
        </w:rPr>
        <w:t>科实业开发有限公司（简称“华科实业”）签订《余杭五常工业园区在建工程转让合同》，将公司持有</w:t>
      </w:r>
      <w:r>
        <w:rPr>
          <w:spacing w:val="-98"/>
        </w:rPr>
        <w:t> </w:t>
      </w:r>
      <w:r>
        <w:rPr>
          <w:spacing w:val="-98"/>
        </w:rPr>
      </w:r>
      <w:r>
        <w:rPr/>
        <w:t>的余杭五常工业园区项目中的两块共计</w:t>
      </w:r>
      <w:r>
        <w:rPr>
          <w:spacing w:val="-45"/>
        </w:rPr>
        <w:t> </w:t>
      </w:r>
      <w:r>
        <w:rPr>
          <w:rFonts w:ascii="Century Gothic" w:hAnsi="Century Gothic" w:cs="Century Gothic" w:eastAsia="Century Gothic" w:hint="default"/>
        </w:rPr>
        <w:t>235.975</w:t>
      </w:r>
      <w:r>
        <w:rPr>
          <w:rFonts w:ascii="Century Gothic" w:hAnsi="Century Gothic" w:cs="Century Gothic" w:eastAsia="Century Gothic" w:hint="default"/>
          <w:spacing w:val="3"/>
        </w:rPr>
        <w:t> </w:t>
      </w:r>
      <w:r>
        <w:rPr>
          <w:spacing w:val="-4"/>
        </w:rPr>
        <w:t>亩工业用地的使用权、该项目土地的开发建设权以及</w:t>
      </w:r>
      <w:r>
        <w:rPr/>
        <w:t> </w:t>
      </w:r>
      <w:r>
        <w:rPr>
          <w:spacing w:val="-2"/>
        </w:rPr>
        <w:t>在前述土地上的在建及已建工程的所有权转让给华科实业，同时与该土地开发以及在建工程建设合同</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0"/>
        <w:ind w:left="4577" w:right="4555" w:firstLine="0"/>
        <w:jc w:val="center"/>
        <w:rPr>
          <w:rFonts w:ascii="Times New Roman" w:hAnsi="Times New Roman" w:cs="Times New Roman" w:eastAsia="Times New Roman" w:hint="default"/>
          <w:sz w:val="18"/>
          <w:szCs w:val="18"/>
        </w:rPr>
      </w:pPr>
      <w:r>
        <w:rPr>
          <w:rFonts w:ascii="Times New Roman"/>
          <w:sz w:val="18"/>
        </w:rPr>
        <w:t>94</w:t>
      </w:r>
    </w:p>
    <w:p>
      <w:pPr>
        <w:spacing w:after="0"/>
        <w:jc w:val="center"/>
        <w:rPr>
          <w:rFonts w:ascii="Times New Roman" w:hAnsi="Times New Roman" w:cs="Times New Roman" w:eastAsia="Times New Roman" w:hint="default"/>
          <w:sz w:val="18"/>
          <w:szCs w:val="18"/>
        </w:rPr>
        <w:sectPr>
          <w:pgSz w:w="11910" w:h="16840"/>
          <w:pgMar w:top="780" w:bottom="280" w:left="1160" w:right="130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70.860001pt;margin-top:-9.926001pt;width:84.0pt;height:23.94pt;mso-position-horizontal-relative:page;mso-position-vertical-relative:paragraph;z-index:6304"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0"/>
        <w:ind w:right="152"/>
        <w:jc w:val="left"/>
      </w:pPr>
      <w:r>
        <w:rPr/>
        <w:t>相关的未履行完毕的部分合同一并转让。</w:t>
      </w:r>
    </w:p>
    <w:p>
      <w:pPr>
        <w:pStyle w:val="BodyText"/>
        <w:spacing w:line="240" w:lineRule="auto" w:before="134"/>
        <w:ind w:left="558" w:right="152"/>
        <w:jc w:val="left"/>
      </w:pPr>
      <w:r>
        <w:rPr/>
        <w:t>双方根据浙江勤信资产评估有限公司出具的基准日为</w:t>
      </w:r>
      <w:r>
        <w:rPr>
          <w:spacing w:val="-52"/>
        </w:rPr>
        <w:t> </w:t>
      </w:r>
      <w:r>
        <w:rPr>
          <w:rFonts w:ascii="Century Gothic" w:hAnsi="Century Gothic" w:cs="Century Gothic" w:eastAsia="Century Gothic" w:hint="default"/>
        </w:rPr>
        <w:t>2007</w:t>
      </w:r>
      <w:r>
        <w:rPr>
          <w:rFonts w:ascii="Century Gothic" w:hAnsi="Century Gothic" w:cs="Century Gothic" w:eastAsia="Century Gothic" w:hint="default"/>
          <w:spacing w:val="-6"/>
        </w:rPr>
        <w:t> </w:t>
      </w:r>
      <w:r>
        <w:rPr/>
        <w:t>年</w:t>
      </w:r>
      <w:r>
        <w:rPr>
          <w:spacing w:val="-52"/>
        </w:rPr>
        <w:t> </w:t>
      </w:r>
      <w:r>
        <w:rPr>
          <w:rFonts w:ascii="Century Gothic" w:hAnsi="Century Gothic" w:cs="Century Gothic" w:eastAsia="Century Gothic" w:hint="default"/>
        </w:rPr>
        <w:t>10</w:t>
      </w:r>
      <w:r>
        <w:rPr>
          <w:rFonts w:ascii="Century Gothic" w:hAnsi="Century Gothic" w:cs="Century Gothic" w:eastAsia="Century Gothic" w:hint="default"/>
          <w:spacing w:val="-5"/>
        </w:rPr>
        <w:t> </w:t>
      </w:r>
      <w:r>
        <w:rPr/>
        <w:t>月</w:t>
      </w:r>
      <w:r>
        <w:rPr>
          <w:spacing w:val="-52"/>
        </w:rPr>
        <w:t> </w:t>
      </w:r>
      <w:r>
        <w:rPr>
          <w:rFonts w:ascii="Century Gothic" w:hAnsi="Century Gothic" w:cs="Century Gothic" w:eastAsia="Century Gothic" w:hint="default"/>
        </w:rPr>
        <w:t>31</w:t>
      </w:r>
      <w:r>
        <w:rPr>
          <w:rFonts w:ascii="Century Gothic" w:hAnsi="Century Gothic" w:cs="Century Gothic" w:eastAsia="Century Gothic" w:hint="default"/>
          <w:spacing w:val="-6"/>
        </w:rPr>
        <w:t> </w:t>
      </w:r>
      <w:r>
        <w:rPr>
          <w:spacing w:val="-4"/>
        </w:rPr>
        <w:t>日的评估报告（浙勤评报</w:t>
      </w:r>
    </w:p>
    <w:p>
      <w:pPr>
        <w:pStyle w:val="BodyText"/>
        <w:spacing w:line="338" w:lineRule="auto"/>
        <w:ind w:right="80"/>
        <w:jc w:val="left"/>
      </w:pPr>
      <w:r>
        <w:rPr/>
        <w:t>字</w:t>
      </w:r>
      <w:r>
        <w:rPr>
          <w:spacing w:val="-51"/>
        </w:rPr>
        <w:t> </w:t>
      </w:r>
      <w:r>
        <w:rPr>
          <w:rFonts w:ascii="Century Gothic" w:hAnsi="Century Gothic" w:cs="Century Gothic" w:eastAsia="Century Gothic" w:hint="default"/>
          <w:w w:val="99"/>
        </w:rPr>
        <w:t>2007</w:t>
      </w:r>
      <w:r>
        <w:rPr>
          <w:rFonts w:ascii="Century Gothic" w:hAnsi="Century Gothic" w:cs="Century Gothic" w:eastAsia="Century Gothic" w:hint="default"/>
          <w:spacing w:val="-4"/>
          <w:w w:val="99"/>
        </w:rPr>
        <w:t> </w:t>
      </w:r>
      <w:r>
        <w:rPr/>
        <w:t>第</w:t>
      </w:r>
      <w:r>
        <w:rPr>
          <w:spacing w:val="-51"/>
        </w:rPr>
        <w:t> </w:t>
      </w:r>
      <w:r>
        <w:rPr>
          <w:rFonts w:ascii="Century Gothic" w:hAnsi="Century Gothic" w:cs="Century Gothic" w:eastAsia="Century Gothic" w:hint="default"/>
          <w:spacing w:val="-1"/>
          <w:w w:val="99"/>
        </w:rPr>
        <w:t>177</w:t>
      </w:r>
      <w:r>
        <w:rPr>
          <w:rFonts w:ascii="Century Gothic" w:hAnsi="Century Gothic" w:cs="Century Gothic" w:eastAsia="Century Gothic" w:hint="default"/>
          <w:spacing w:val="-4"/>
          <w:w w:val="99"/>
        </w:rPr>
        <w:t> </w:t>
      </w:r>
      <w:r>
        <w:rPr>
          <w:spacing w:val="-16"/>
        </w:rPr>
        <w:t>号），以土地使用权评估价值</w:t>
      </w:r>
      <w:r>
        <w:rPr>
          <w:spacing w:val="-51"/>
        </w:rPr>
        <w:t> </w:t>
      </w:r>
      <w:r>
        <w:rPr>
          <w:rFonts w:ascii="Century Gothic" w:hAnsi="Century Gothic" w:cs="Century Gothic" w:eastAsia="Century Gothic" w:hint="default"/>
          <w:spacing w:val="-1"/>
          <w:w w:val="99"/>
        </w:rPr>
        <w:t>71,029,000.00</w:t>
      </w:r>
      <w:r>
        <w:rPr>
          <w:rFonts w:ascii="Century Gothic" w:hAnsi="Century Gothic" w:cs="Century Gothic" w:eastAsia="Century Gothic" w:hint="default"/>
          <w:spacing w:val="-4"/>
          <w:w w:val="99"/>
        </w:rPr>
        <w:t> </w:t>
      </w:r>
      <w:r>
        <w:rPr>
          <w:spacing w:val="-9"/>
        </w:rPr>
        <w:t>元、在建工程评估价值</w:t>
      </w:r>
      <w:r>
        <w:rPr>
          <w:spacing w:val="-51"/>
        </w:rPr>
        <w:t> </w:t>
      </w:r>
      <w:r>
        <w:rPr>
          <w:rFonts w:ascii="Century Gothic" w:hAnsi="Century Gothic" w:cs="Century Gothic" w:eastAsia="Century Gothic" w:hint="default"/>
          <w:spacing w:val="-1"/>
          <w:w w:val="99"/>
        </w:rPr>
        <w:t>61,371,499.98</w:t>
      </w:r>
      <w:r>
        <w:rPr>
          <w:rFonts w:ascii="Century Gothic" w:hAnsi="Century Gothic" w:cs="Century Gothic" w:eastAsia="Century Gothic" w:hint="default"/>
          <w:spacing w:val="-4"/>
          <w:w w:val="99"/>
        </w:rPr>
        <w:t> </w:t>
      </w:r>
      <w:r>
        <w:rPr/>
        <w:t>元， </w:t>
      </w:r>
      <w:r>
        <w:rPr>
          <w:spacing w:val="16"/>
        </w:rPr>
        <w:t>合计</w:t>
      </w:r>
      <w:r>
        <w:rPr>
          <w:spacing w:val="33"/>
        </w:rPr>
        <w:t> </w:t>
      </w:r>
      <w:r>
        <w:rPr>
          <w:rFonts w:ascii="Century Gothic" w:hAnsi="Century Gothic" w:cs="Century Gothic" w:eastAsia="Century Gothic" w:hint="default"/>
        </w:rPr>
        <w:t>132,400,499.98</w:t>
      </w:r>
      <w:r>
        <w:rPr>
          <w:rFonts w:ascii="Century Gothic" w:hAnsi="Century Gothic" w:cs="Century Gothic" w:eastAsia="Century Gothic" w:hint="default"/>
          <w:spacing w:val="22"/>
        </w:rPr>
        <w:t> </w:t>
      </w:r>
      <w:r>
        <w:rPr>
          <w:spacing w:val="25"/>
        </w:rPr>
        <w:t>元作为转让</w:t>
      </w:r>
      <w:r>
        <w:rPr>
          <w:spacing w:val="-72"/>
        </w:rPr>
        <w:t> </w:t>
      </w:r>
      <w:r>
        <w:rPr>
          <w:spacing w:val="25"/>
        </w:rPr>
        <w:t>价格，同时</w:t>
      </w:r>
      <w:r>
        <w:rPr>
          <w:spacing w:val="-72"/>
        </w:rPr>
        <w:t> </w:t>
      </w:r>
      <w:r>
        <w:rPr>
          <w:spacing w:val="25"/>
        </w:rPr>
        <w:t>相关在建工</w:t>
      </w:r>
      <w:r>
        <w:rPr>
          <w:spacing w:val="-72"/>
        </w:rPr>
        <w:t> </w:t>
      </w:r>
      <w:r>
        <w:rPr>
          <w:spacing w:val="25"/>
        </w:rPr>
        <w:t>程未履行完</w:t>
      </w:r>
      <w:r>
        <w:rPr>
          <w:spacing w:val="-72"/>
        </w:rPr>
        <w:t> </w:t>
      </w:r>
      <w:r>
        <w:rPr>
          <w:spacing w:val="25"/>
        </w:rPr>
        <w:t>毕而支付的</w:t>
      </w:r>
      <w:r>
        <w:rPr>
          <w:spacing w:val="-72"/>
        </w:rPr>
        <w:t> </w:t>
      </w:r>
      <w:r>
        <w:rPr>
          <w:spacing w:val="16"/>
        </w:rPr>
        <w:t>合同</w:t>
      </w:r>
      <w:r>
        <w:rPr>
          <w:spacing w:val="-72"/>
        </w:rPr>
        <w:t> </w:t>
      </w:r>
      <w:r>
        <w:rPr/>
        <w:t>价</w:t>
      </w:r>
      <w:r>
        <w:rPr>
          <w:spacing w:val="-72"/>
        </w:rPr>
        <w:t> </w:t>
      </w:r>
      <w:r>
        <w:rPr/>
        <w:t>款</w:t>
      </w:r>
      <w:r>
        <w:rPr/>
        <w:t> </w:t>
      </w:r>
      <w:r>
        <w:rPr>
          <w:rFonts w:ascii="Century Gothic" w:hAnsi="Century Gothic" w:cs="Century Gothic" w:eastAsia="Century Gothic" w:hint="default"/>
        </w:rPr>
        <w:t>30,669,440.00</w:t>
      </w:r>
      <w:r>
        <w:rPr>
          <w:rFonts w:ascii="Century Gothic" w:hAnsi="Century Gothic" w:cs="Century Gothic" w:eastAsia="Century Gothic" w:hint="default"/>
          <w:spacing w:val="-16"/>
        </w:rPr>
        <w:t> </w:t>
      </w:r>
      <w:r>
        <w:rPr/>
        <w:t>元，一并转出由华科实业承担。</w:t>
      </w:r>
    </w:p>
    <w:p>
      <w:pPr>
        <w:pStyle w:val="BodyText"/>
        <w:spacing w:line="240" w:lineRule="auto" w:before="15"/>
        <w:ind w:left="558" w:right="152"/>
        <w:jc w:val="left"/>
      </w:pPr>
      <w:r>
        <w:rPr>
          <w:rFonts w:ascii="Century Gothic" w:hAnsi="Century Gothic" w:cs="Century Gothic" w:eastAsia="Century Gothic" w:hint="default"/>
          <w:w w:val="99"/>
        </w:rPr>
        <w:t>2009</w:t>
      </w:r>
      <w:r>
        <w:rPr>
          <w:rFonts w:ascii="Century Gothic" w:hAnsi="Century Gothic" w:cs="Century Gothic" w:eastAsia="Century Gothic" w:hint="default"/>
          <w:spacing w:val="-6"/>
        </w:rPr>
        <w:t> </w:t>
      </w:r>
      <w:r>
        <w:rPr/>
        <w:t>年</w:t>
      </w:r>
      <w:r>
        <w:rPr>
          <w:spacing w:val="-53"/>
        </w:rPr>
        <w:t> </w:t>
      </w:r>
      <w:r>
        <w:rPr>
          <w:rFonts w:ascii="Century Gothic" w:hAnsi="Century Gothic" w:cs="Century Gothic" w:eastAsia="Century Gothic" w:hint="default"/>
          <w:w w:val="99"/>
        </w:rPr>
        <w:t>10</w:t>
      </w:r>
      <w:r>
        <w:rPr>
          <w:rFonts w:ascii="Century Gothic" w:hAnsi="Century Gothic" w:cs="Century Gothic" w:eastAsia="Century Gothic" w:hint="default"/>
          <w:spacing w:val="-7"/>
        </w:rPr>
        <w:t> </w:t>
      </w:r>
      <w:r>
        <w:rPr/>
        <w:t>月</w:t>
      </w:r>
      <w:r>
        <w:rPr>
          <w:spacing w:val="-53"/>
        </w:rPr>
        <w:t> </w:t>
      </w:r>
      <w:r>
        <w:rPr>
          <w:rFonts w:ascii="Century Gothic" w:hAnsi="Century Gothic" w:cs="Century Gothic" w:eastAsia="Century Gothic" w:hint="default"/>
          <w:w w:val="99"/>
        </w:rPr>
        <w:t>13</w:t>
      </w:r>
      <w:r>
        <w:rPr>
          <w:rFonts w:ascii="Century Gothic" w:hAnsi="Century Gothic" w:cs="Century Gothic" w:eastAsia="Century Gothic" w:hint="default"/>
          <w:spacing w:val="-6"/>
        </w:rPr>
        <w:t> </w:t>
      </w:r>
      <w:r>
        <w:rPr/>
        <w:t>日</w:t>
      </w:r>
      <w:r>
        <w:rPr>
          <w:spacing w:val="-30"/>
        </w:rPr>
        <w:t>，</w:t>
      </w:r>
      <w:r>
        <w:rPr/>
        <w:t>公司与华科实业签</w:t>
      </w:r>
      <w:r>
        <w:rPr>
          <w:spacing w:val="-29"/>
        </w:rPr>
        <w:t>订</w:t>
      </w:r>
      <w:r>
        <w:rPr/>
        <w:t>《</w:t>
      </w:r>
      <w:r>
        <w:rPr>
          <w:spacing w:val="-2"/>
        </w:rPr>
        <w:t>补</w:t>
      </w:r>
      <w:r>
        <w:rPr/>
        <w:t>充协议</w:t>
      </w:r>
      <w:r>
        <w:rPr>
          <w:spacing w:val="-105"/>
        </w:rPr>
        <w:t>》</w:t>
      </w:r>
      <w:r>
        <w:rPr>
          <w:spacing w:val="-29"/>
        </w:rPr>
        <w:t>，</w:t>
      </w:r>
      <w:r>
        <w:rPr>
          <w:spacing w:val="-2"/>
        </w:rPr>
        <w:t>协</w:t>
      </w:r>
      <w:r>
        <w:rPr/>
        <w:t>议约定根据合同实际结算的情况将在</w:t>
      </w:r>
    </w:p>
    <w:p>
      <w:pPr>
        <w:pStyle w:val="BodyText"/>
        <w:spacing w:line="240" w:lineRule="auto"/>
        <w:ind w:right="152"/>
        <w:jc w:val="left"/>
        <w:rPr>
          <w:rFonts w:ascii="Century Gothic" w:hAnsi="Century Gothic" w:cs="Century Gothic" w:eastAsia="Century Gothic" w:hint="default"/>
        </w:rPr>
      </w:pPr>
      <w:r>
        <w:rPr/>
        <w:t>建工程转让价格调整为</w:t>
      </w:r>
      <w:r>
        <w:rPr>
          <w:spacing w:val="-68"/>
        </w:rPr>
        <w:t> </w:t>
      </w:r>
      <w:r>
        <w:rPr>
          <w:rFonts w:ascii="Century Gothic" w:hAnsi="Century Gothic" w:cs="Century Gothic" w:eastAsia="Century Gothic" w:hint="default"/>
        </w:rPr>
        <w:t>140,791,900.00</w:t>
      </w:r>
      <w:r>
        <w:rPr>
          <w:rFonts w:ascii="Century Gothic" w:hAnsi="Century Gothic" w:cs="Century Gothic" w:eastAsia="Century Gothic" w:hint="default"/>
          <w:spacing w:val="-21"/>
        </w:rPr>
        <w:t> </w:t>
      </w:r>
      <w:r>
        <w:rPr/>
        <w:t>元，并由华科实业承担本次转让涉及的所有税费。截至</w:t>
      </w:r>
      <w:r>
        <w:rPr>
          <w:spacing w:val="-68"/>
        </w:rPr>
        <w:t> </w:t>
      </w:r>
      <w:r>
        <w:rPr>
          <w:rFonts w:ascii="Century Gothic" w:hAnsi="Century Gothic" w:cs="Century Gothic" w:eastAsia="Century Gothic" w:hint="default"/>
        </w:rPr>
        <w:t>2009</w:t>
      </w:r>
    </w:p>
    <w:p>
      <w:pPr>
        <w:pStyle w:val="BodyText"/>
        <w:spacing w:line="336" w:lineRule="auto" w:before="119"/>
        <w:ind w:right="211" w:hanging="1"/>
        <w:jc w:val="left"/>
      </w:pPr>
      <w:r>
        <w:rPr/>
        <w:t>年</w:t>
      </w:r>
      <w:r>
        <w:rPr>
          <w:spacing w:val="-51"/>
        </w:rPr>
        <w:t> </w:t>
      </w:r>
      <w:r>
        <w:rPr>
          <w:rFonts w:ascii="Century Gothic" w:hAnsi="Century Gothic" w:cs="Century Gothic" w:eastAsia="Century Gothic" w:hint="default"/>
        </w:rPr>
        <w:t>12</w:t>
      </w:r>
      <w:r>
        <w:rPr>
          <w:rFonts w:ascii="Century Gothic" w:hAnsi="Century Gothic" w:cs="Century Gothic" w:eastAsia="Century Gothic" w:hint="default"/>
          <w:spacing w:val="-4"/>
        </w:rPr>
        <w:t> </w:t>
      </w:r>
      <w:r>
        <w:rPr/>
        <w:t>月</w:t>
      </w:r>
      <w:r>
        <w:rPr>
          <w:spacing w:val="-51"/>
        </w:rPr>
        <w:t> </w:t>
      </w:r>
      <w:r>
        <w:rPr>
          <w:rFonts w:ascii="Century Gothic" w:hAnsi="Century Gothic" w:cs="Century Gothic" w:eastAsia="Century Gothic" w:hint="default"/>
        </w:rPr>
        <w:t>31</w:t>
      </w:r>
      <w:r>
        <w:rPr>
          <w:rFonts w:ascii="Century Gothic" w:hAnsi="Century Gothic" w:cs="Century Gothic" w:eastAsia="Century Gothic" w:hint="default"/>
          <w:spacing w:val="-3"/>
        </w:rPr>
        <w:t> </w:t>
      </w:r>
      <w:r>
        <w:rPr/>
        <w:t>日，华立仪表集团已收讫上述在建工程转让款</w:t>
      </w:r>
      <w:r>
        <w:rPr>
          <w:spacing w:val="-51"/>
        </w:rPr>
        <w:t> </w:t>
      </w:r>
      <w:r>
        <w:rPr>
          <w:rFonts w:ascii="Century Gothic" w:hAnsi="Century Gothic" w:cs="Century Gothic" w:eastAsia="Century Gothic" w:hint="default"/>
        </w:rPr>
        <w:t>140,791,900.00</w:t>
      </w:r>
      <w:r>
        <w:rPr>
          <w:rFonts w:ascii="Century Gothic" w:hAnsi="Century Gothic" w:cs="Century Gothic" w:eastAsia="Century Gothic" w:hint="default"/>
          <w:spacing w:val="-4"/>
        </w:rPr>
        <w:t> </w:t>
      </w:r>
      <w:r>
        <w:rPr/>
        <w:t>元，上述在建工程转让已 办理产权过户手续。</w:t>
      </w:r>
    </w:p>
    <w:p>
      <w:pPr>
        <w:pStyle w:val="BodyText"/>
        <w:spacing w:line="336" w:lineRule="auto" w:before="50"/>
        <w:ind w:left="558" w:right="152"/>
        <w:jc w:val="left"/>
      </w:pPr>
      <w:r>
        <w:rPr>
          <w:rFonts w:ascii="Century Gothic" w:hAnsi="Century Gothic" w:cs="Century Gothic" w:eastAsia="Century Gothic" w:hint="default"/>
        </w:rPr>
        <w:t>B</w:t>
      </w:r>
      <w:r>
        <w:rPr/>
        <w:t>、股权转让 </w:t>
      </w:r>
      <w:r>
        <w:rPr>
          <w:spacing w:val="-7"/>
        </w:rPr>
        <w:t>根据子公司华立仪表集团与浙江华立电力科技有限公司（以下简称“华立电力科技”）签订的《股</w:t>
      </w:r>
    </w:p>
    <w:p>
      <w:pPr>
        <w:pStyle w:val="BodyText"/>
        <w:spacing w:line="336" w:lineRule="auto" w:before="51"/>
        <w:ind w:right="204"/>
        <w:jc w:val="left"/>
      </w:pPr>
      <w:r>
        <w:rPr>
          <w:spacing w:val="-4"/>
        </w:rPr>
        <w:t>权转让协议》，华立仪表集团将所持有浙江华立电网控制系统有限公司</w:t>
      </w:r>
      <w:r>
        <w:rPr/>
        <w:t> </w:t>
      </w:r>
      <w:r>
        <w:rPr>
          <w:rFonts w:ascii="Century Gothic" w:hAnsi="Century Gothic" w:cs="Century Gothic" w:eastAsia="Century Gothic" w:hint="default"/>
          <w:spacing w:val="-1"/>
          <w:w w:val="99"/>
        </w:rPr>
        <w:t>12%</w:t>
      </w:r>
      <w:r>
        <w:rPr>
          <w:spacing w:val="-1"/>
          <w:w w:val="99"/>
        </w:rPr>
        <w:t>的股权转让给华立电力科</w:t>
      </w:r>
      <w:r>
        <w:rPr>
          <w:spacing w:val="-101"/>
          <w:w w:val="99"/>
        </w:rPr>
        <w:t> </w:t>
      </w:r>
      <w:r>
        <w:rPr>
          <w:spacing w:val="-101"/>
          <w:w w:val="99"/>
        </w:rPr>
      </w:r>
      <w:r>
        <w:rPr/>
        <w:t>技，股权转让价格为</w:t>
      </w:r>
      <w:r>
        <w:rPr>
          <w:spacing w:val="-46"/>
        </w:rPr>
        <w:t> </w:t>
      </w:r>
      <w:r>
        <w:rPr>
          <w:rFonts w:ascii="Century Gothic" w:hAnsi="Century Gothic" w:cs="Century Gothic" w:eastAsia="Century Gothic" w:hint="default"/>
        </w:rPr>
        <w:t>252.00</w:t>
      </w:r>
      <w:r>
        <w:rPr>
          <w:rFonts w:ascii="Century Gothic" w:hAnsi="Century Gothic" w:cs="Century Gothic" w:eastAsia="Century Gothic" w:hint="default"/>
          <w:spacing w:val="1"/>
        </w:rPr>
        <w:t> </w:t>
      </w:r>
      <w:r>
        <w:rPr/>
        <w:t>万元。截至</w:t>
      </w:r>
      <w:r>
        <w:rPr>
          <w:spacing w:val="-46"/>
        </w:rPr>
        <w:t> </w:t>
      </w:r>
      <w:r>
        <w:rPr>
          <w:rFonts w:ascii="Century Gothic" w:hAnsi="Century Gothic" w:cs="Century Gothic" w:eastAsia="Century Gothic" w:hint="default"/>
        </w:rPr>
        <w:t>2009</w:t>
      </w:r>
      <w:r>
        <w:rPr>
          <w:rFonts w:ascii="Century Gothic" w:hAnsi="Century Gothic" w:cs="Century Gothic" w:eastAsia="Century Gothic" w:hint="default"/>
          <w:spacing w:val="1"/>
        </w:rPr>
        <w:t> </w:t>
      </w:r>
      <w:r>
        <w:rPr/>
        <w:t>年</w:t>
      </w:r>
      <w:r>
        <w:rPr>
          <w:spacing w:val="-46"/>
        </w:rPr>
        <w:t> </w:t>
      </w:r>
      <w:r>
        <w:rPr>
          <w:rFonts w:ascii="Century Gothic" w:hAnsi="Century Gothic" w:cs="Century Gothic" w:eastAsia="Century Gothic" w:hint="default"/>
        </w:rPr>
        <w:t>12 </w:t>
      </w:r>
      <w:r>
        <w:rPr/>
        <w:t>月</w:t>
      </w:r>
      <w:r>
        <w:rPr>
          <w:spacing w:val="-46"/>
        </w:rPr>
        <w:t> </w:t>
      </w:r>
      <w:r>
        <w:rPr>
          <w:rFonts w:ascii="Century Gothic" w:hAnsi="Century Gothic" w:cs="Century Gothic" w:eastAsia="Century Gothic" w:hint="default"/>
        </w:rPr>
        <w:t>31 </w:t>
      </w:r>
      <w:r>
        <w:rPr/>
        <w:t>日，上述股权转让已办理工商变更手续。</w:t>
      </w:r>
    </w:p>
    <w:p>
      <w:pPr>
        <w:pStyle w:val="BodyText"/>
        <w:spacing w:line="240" w:lineRule="auto" w:before="17"/>
        <w:ind w:right="152"/>
        <w:jc w:val="left"/>
      </w:pPr>
      <w:r>
        <w:rPr/>
        <w:t>华立仪表集团已于</w:t>
      </w:r>
      <w:r>
        <w:rPr>
          <w:spacing w:val="-54"/>
        </w:rPr>
        <w:t> </w:t>
      </w:r>
      <w:r>
        <w:rPr>
          <w:rFonts w:ascii="Century Gothic" w:hAnsi="Century Gothic" w:cs="Century Gothic" w:eastAsia="Century Gothic" w:hint="default"/>
        </w:rPr>
        <w:t>2010</w:t>
      </w:r>
      <w:r>
        <w:rPr>
          <w:rFonts w:ascii="Century Gothic" w:hAnsi="Century Gothic" w:cs="Century Gothic" w:eastAsia="Century Gothic" w:hint="default"/>
          <w:spacing w:val="-8"/>
        </w:rPr>
        <w:t> </w:t>
      </w:r>
      <w:r>
        <w:rPr/>
        <w:t>年</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15</w:t>
      </w:r>
      <w:r>
        <w:rPr>
          <w:rFonts w:ascii="Century Gothic" w:hAnsi="Century Gothic" w:cs="Century Gothic" w:eastAsia="Century Gothic" w:hint="default"/>
          <w:spacing w:val="-7"/>
        </w:rPr>
        <w:t> </w:t>
      </w:r>
      <w:r>
        <w:rPr/>
        <w:t>日收讫上述股权转让款。</w:t>
      </w:r>
    </w:p>
    <w:p>
      <w:pPr>
        <w:pStyle w:val="Heading4"/>
        <w:spacing w:line="240" w:lineRule="auto" w:before="117"/>
        <w:ind w:right="152"/>
        <w:jc w:val="left"/>
        <w:rPr>
          <w:rFonts w:ascii="宋体" w:hAnsi="宋体" w:cs="宋体" w:eastAsia="宋体" w:hint="default"/>
          <w:b w:val="0"/>
          <w:bCs w:val="0"/>
        </w:rPr>
      </w:pPr>
      <w:r>
        <w:rPr>
          <w:rFonts w:ascii="Century Gothic" w:hAnsi="Century Gothic" w:cs="Century Gothic" w:eastAsia="Century Gothic" w:hint="default"/>
        </w:rPr>
        <w:t>3. </w:t>
      </w:r>
      <w:r>
        <w:rPr>
          <w:rFonts w:ascii="Century Gothic" w:hAnsi="Century Gothic" w:cs="Century Gothic" w:eastAsia="Century Gothic" w:hint="default"/>
          <w:spacing w:val="38"/>
        </w:rPr>
        <w:t> </w:t>
      </w:r>
      <w:r>
        <w:rPr>
          <w:rFonts w:ascii="宋体" w:hAnsi="宋体" w:cs="宋体" w:eastAsia="宋体" w:hint="default"/>
        </w:rPr>
        <w:t>购买商品</w:t>
      </w:r>
      <w:r>
        <w:rPr>
          <w:rFonts w:ascii="宋体" w:hAnsi="宋体" w:cs="宋体" w:eastAsia="宋体" w:hint="default"/>
          <w:b w:val="0"/>
          <w:bCs w:val="0"/>
        </w:rPr>
      </w:r>
    </w:p>
    <w:p>
      <w:pPr>
        <w:spacing w:line="240" w:lineRule="auto" w:before="9"/>
        <w:rPr>
          <w:rFonts w:ascii="宋体" w:hAnsi="宋体" w:cs="宋体" w:eastAsia="宋体" w:hint="default"/>
          <w:b/>
          <w:bCs/>
          <w:sz w:val="11"/>
          <w:szCs w:val="11"/>
        </w:rPr>
      </w:pPr>
    </w:p>
    <w:tbl>
      <w:tblPr>
        <w:tblW w:w="0" w:type="auto"/>
        <w:jc w:val="left"/>
        <w:tblInd w:w="299" w:type="dxa"/>
        <w:tblLayout w:type="fixed"/>
        <w:tblCellMar>
          <w:top w:w="0" w:type="dxa"/>
          <w:left w:w="0" w:type="dxa"/>
          <w:bottom w:w="0" w:type="dxa"/>
          <w:right w:w="0" w:type="dxa"/>
        </w:tblCellMar>
        <w:tblLook w:val="01E0"/>
      </w:tblPr>
      <w:tblGrid>
        <w:gridCol w:w="1764"/>
        <w:gridCol w:w="1045"/>
        <w:gridCol w:w="1410"/>
        <w:gridCol w:w="1019"/>
        <w:gridCol w:w="1363"/>
        <w:gridCol w:w="1194"/>
        <w:gridCol w:w="1027"/>
      </w:tblGrid>
      <w:tr>
        <w:trPr>
          <w:trHeight w:val="362" w:hRule="exact"/>
        </w:trPr>
        <w:tc>
          <w:tcPr>
            <w:tcW w:w="176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363"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045"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67"/>
              <w:ind w:left="410" w:right="198" w:hanging="210"/>
              <w:jc w:val="left"/>
              <w:rPr>
                <w:rFonts w:ascii="宋体" w:hAnsi="宋体" w:cs="宋体" w:eastAsia="宋体" w:hint="default"/>
                <w:sz w:val="21"/>
                <w:szCs w:val="21"/>
              </w:rPr>
            </w:pPr>
            <w:r>
              <w:rPr>
                <w:rFonts w:ascii="宋体" w:hAnsi="宋体" w:cs="宋体" w:eastAsia="宋体" w:hint="default"/>
                <w:sz w:val="21"/>
                <w:szCs w:val="21"/>
              </w:rPr>
              <w:t>交易内 容</w:t>
            </w:r>
          </w:p>
        </w:tc>
        <w:tc>
          <w:tcPr>
            <w:tcW w:w="242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760" w:right="0"/>
              <w:jc w:val="left"/>
              <w:rPr>
                <w:rFonts w:ascii="宋体" w:hAnsi="宋体" w:cs="宋体" w:eastAsia="宋体" w:hint="default"/>
                <w:sz w:val="21"/>
                <w:szCs w:val="21"/>
              </w:rPr>
            </w:pPr>
            <w:r>
              <w:rPr>
                <w:rFonts w:ascii="宋体" w:hAnsi="宋体" w:cs="宋体" w:eastAsia="宋体" w:hint="default"/>
                <w:spacing w:val="-26"/>
                <w:sz w:val="21"/>
                <w:szCs w:val="21"/>
              </w:rPr>
              <w:t>本年发生额</w:t>
            </w:r>
          </w:p>
        </w:tc>
        <w:tc>
          <w:tcPr>
            <w:tcW w:w="255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825" w:right="0"/>
              <w:jc w:val="left"/>
              <w:rPr>
                <w:rFonts w:ascii="宋体" w:hAnsi="宋体" w:cs="宋体" w:eastAsia="宋体" w:hint="default"/>
                <w:sz w:val="21"/>
                <w:szCs w:val="21"/>
              </w:rPr>
            </w:pPr>
            <w:r>
              <w:rPr>
                <w:rFonts w:ascii="宋体" w:hAnsi="宋体" w:cs="宋体" w:eastAsia="宋体" w:hint="default"/>
                <w:spacing w:val="-26"/>
                <w:sz w:val="21"/>
                <w:szCs w:val="21"/>
              </w:rPr>
              <w:t>上年发生额</w:t>
            </w:r>
          </w:p>
        </w:tc>
        <w:tc>
          <w:tcPr>
            <w:tcW w:w="1027" w:type="dxa"/>
            <w:vMerge w:val="restart"/>
            <w:tcBorders>
              <w:top w:val="single" w:sz="12" w:space="0" w:color="000000"/>
              <w:left w:val="single" w:sz="6" w:space="0" w:color="000000"/>
              <w:right w:val="nil" w:sz="6" w:space="0" w:color="auto"/>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37" w:lineRule="auto"/>
              <w:ind w:left="149" w:right="156"/>
              <w:jc w:val="center"/>
              <w:rPr>
                <w:rFonts w:ascii="宋体" w:hAnsi="宋体" w:cs="宋体" w:eastAsia="宋体" w:hint="default"/>
                <w:sz w:val="21"/>
                <w:szCs w:val="21"/>
              </w:rPr>
            </w:pPr>
            <w:r>
              <w:rPr>
                <w:rFonts w:ascii="宋体" w:hAnsi="宋体" w:cs="宋体" w:eastAsia="宋体" w:hint="default"/>
                <w:spacing w:val="-33"/>
                <w:sz w:val="21"/>
                <w:szCs w:val="21"/>
              </w:rPr>
              <w:t>定价方式 及决策程 </w:t>
            </w:r>
            <w:r>
              <w:rPr>
                <w:rFonts w:ascii="宋体" w:hAnsi="宋体" w:cs="宋体" w:eastAsia="宋体" w:hint="default"/>
                <w:sz w:val="21"/>
                <w:szCs w:val="21"/>
              </w:rPr>
              <w:t>序</w:t>
            </w:r>
          </w:p>
        </w:tc>
      </w:tr>
      <w:tr>
        <w:trPr>
          <w:trHeight w:val="1108" w:hRule="exact"/>
        </w:trPr>
        <w:tc>
          <w:tcPr>
            <w:tcW w:w="1764" w:type="dxa"/>
            <w:vMerge/>
            <w:tcBorders>
              <w:left w:val="nil" w:sz="6" w:space="0" w:color="auto"/>
              <w:bottom w:val="single" w:sz="6" w:space="0" w:color="000000"/>
              <w:right w:val="single" w:sz="6" w:space="0" w:color="000000"/>
            </w:tcBorders>
          </w:tcPr>
          <w:p>
            <w:pPr/>
          </w:p>
        </w:tc>
        <w:tc>
          <w:tcPr>
            <w:tcW w:w="1045" w:type="dxa"/>
            <w:vMerge/>
            <w:tcBorders>
              <w:left w:val="single" w:sz="6" w:space="0" w:color="000000"/>
              <w:bottom w:val="single" w:sz="6" w:space="0" w:color="000000"/>
              <w:right w:val="single" w:sz="6" w:space="0" w:color="000000"/>
            </w:tcBorders>
          </w:tcPr>
          <w:p>
            <w:pP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37" w:lineRule="auto" w:before="2"/>
              <w:ind w:left="105" w:right="103" w:firstLine="81"/>
              <w:jc w:val="both"/>
              <w:rPr>
                <w:rFonts w:ascii="宋体" w:hAnsi="宋体" w:cs="宋体" w:eastAsia="宋体" w:hint="default"/>
                <w:sz w:val="21"/>
                <w:szCs w:val="21"/>
              </w:rPr>
            </w:pPr>
            <w:r>
              <w:rPr>
                <w:rFonts w:ascii="宋体" w:hAnsi="宋体" w:cs="宋体" w:eastAsia="宋体" w:hint="default"/>
                <w:sz w:val="21"/>
                <w:szCs w:val="21"/>
              </w:rPr>
              <w:t>交易金 额的比 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73" w:firstLine="69"/>
              <w:jc w:val="both"/>
              <w:rPr>
                <w:rFonts w:ascii="宋体" w:hAnsi="宋体" w:cs="宋体" w:eastAsia="宋体" w:hint="default"/>
                <w:sz w:val="21"/>
                <w:szCs w:val="21"/>
              </w:rPr>
            </w:pPr>
            <w:r>
              <w:rPr>
                <w:rFonts w:ascii="宋体" w:hAnsi="宋体" w:cs="宋体" w:eastAsia="宋体" w:hint="default"/>
                <w:sz w:val="21"/>
                <w:szCs w:val="21"/>
              </w:rPr>
              <w:t>占同类交 易金额的 比例（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027" w:type="dxa"/>
            <w:vMerge/>
            <w:tcBorders>
              <w:left w:val="single" w:sz="6" w:space="0" w:color="000000"/>
              <w:bottom w:val="single" w:sz="6" w:space="0" w:color="000000"/>
              <w:right w:val="nil" w:sz="6" w:space="0" w:color="auto"/>
            </w:tcBorders>
          </w:tcPr>
          <w:p>
            <w:pPr/>
          </w:p>
        </w:tc>
      </w:tr>
      <w:tr>
        <w:trPr>
          <w:trHeight w:val="482" w:hRule="exact"/>
        </w:trPr>
        <w:tc>
          <w:tcPr>
            <w:tcW w:w="176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华方医药科技有限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采购药品</w:t>
            </w:r>
          </w:p>
        </w:tc>
        <w:tc>
          <w:tcPr>
            <w:tcW w:w="1410" w:type="dxa"/>
            <w:tcBorders>
              <w:top w:val="single" w:sz="6" w:space="0" w:color="000000"/>
              <w:left w:val="single" w:sz="6" w:space="0" w:color="000000"/>
              <w:bottom w:val="single" w:sz="6" w:space="0" w:color="000000"/>
              <w:right w:val="single" w:sz="6" w:space="0" w:color="000000"/>
            </w:tcBorders>
          </w:tcPr>
          <w:p>
            <w:pPr/>
          </w:p>
        </w:tc>
        <w:tc>
          <w:tcPr>
            <w:tcW w:w="1019"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Century Gothic" w:hAnsi="Century Gothic" w:cs="Century Gothic" w:eastAsia="Century Gothic" w:hint="default"/>
                <w:sz w:val="18"/>
                <w:szCs w:val="18"/>
              </w:rPr>
            </w:pPr>
            <w:r>
              <w:rPr>
                <w:rFonts w:ascii="Century Gothic"/>
                <w:sz w:val="18"/>
              </w:rPr>
              <w:t>13,591,588.11</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13"/>
              <w:jc w:val="right"/>
              <w:rPr>
                <w:rFonts w:ascii="Century Gothic" w:hAnsi="Century Gothic" w:cs="Century Gothic" w:eastAsia="Century Gothic" w:hint="default"/>
                <w:sz w:val="18"/>
                <w:szCs w:val="18"/>
              </w:rPr>
            </w:pPr>
            <w:r>
              <w:rPr>
                <w:rFonts w:ascii="Century Gothic"/>
                <w:spacing w:val="-1"/>
                <w:sz w:val="18"/>
              </w:rPr>
              <w:t>0.56</w:t>
            </w:r>
            <w:r>
              <w:rPr>
                <w:rFonts w:ascii="Century Gothic"/>
                <w:sz w:val="18"/>
              </w:rPr>
            </w:r>
          </w:p>
        </w:tc>
        <w:tc>
          <w:tcPr>
            <w:tcW w:w="1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市场价格</w:t>
            </w:r>
          </w:p>
        </w:tc>
      </w:tr>
      <w:tr>
        <w:trPr>
          <w:trHeight w:val="484" w:hRule="exact"/>
        </w:trPr>
        <w:tc>
          <w:tcPr>
            <w:tcW w:w="176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浙江华立电力科技</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采购仪表</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8,964,063.27</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0.61</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25" w:right="0"/>
              <w:jc w:val="left"/>
              <w:rPr>
                <w:rFonts w:ascii="Century Gothic" w:hAnsi="Century Gothic" w:cs="Century Gothic" w:eastAsia="Century Gothic" w:hint="default"/>
                <w:sz w:val="18"/>
                <w:szCs w:val="18"/>
              </w:rPr>
            </w:pPr>
            <w:r>
              <w:rPr>
                <w:rFonts w:ascii="Century Gothic"/>
                <w:sz w:val="18"/>
              </w:rPr>
              <w:t>907,269.05</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13"/>
              <w:jc w:val="right"/>
              <w:rPr>
                <w:rFonts w:ascii="Century Gothic" w:hAnsi="Century Gothic" w:cs="Century Gothic" w:eastAsia="Century Gothic" w:hint="default"/>
                <w:sz w:val="18"/>
                <w:szCs w:val="18"/>
              </w:rPr>
            </w:pPr>
            <w:r>
              <w:rPr>
                <w:rFonts w:ascii="Century Gothic"/>
                <w:spacing w:val="-1"/>
                <w:sz w:val="18"/>
              </w:rPr>
              <w:t>0.04</w:t>
            </w:r>
            <w:r>
              <w:rPr>
                <w:rFonts w:ascii="Century Gothic"/>
                <w:sz w:val="18"/>
              </w:rPr>
            </w:r>
          </w:p>
        </w:tc>
        <w:tc>
          <w:tcPr>
            <w:tcW w:w="1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市场价格</w:t>
            </w:r>
          </w:p>
        </w:tc>
      </w:tr>
      <w:tr>
        <w:trPr>
          <w:trHeight w:val="482" w:hRule="exact"/>
        </w:trPr>
        <w:tc>
          <w:tcPr>
            <w:tcW w:w="176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浙江华立国际发展</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采购仪表</w:t>
            </w:r>
          </w:p>
        </w:tc>
        <w:tc>
          <w:tcPr>
            <w:tcW w:w="1410" w:type="dxa"/>
            <w:tcBorders>
              <w:top w:val="single" w:sz="6" w:space="0" w:color="000000"/>
              <w:left w:val="single" w:sz="6" w:space="0" w:color="000000"/>
              <w:bottom w:val="single" w:sz="6" w:space="0" w:color="000000"/>
              <w:right w:val="single" w:sz="6" w:space="0" w:color="000000"/>
            </w:tcBorders>
          </w:tcPr>
          <w:p>
            <w:pPr/>
          </w:p>
        </w:tc>
        <w:tc>
          <w:tcPr>
            <w:tcW w:w="1019"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76" w:right="0"/>
              <w:jc w:val="left"/>
              <w:rPr>
                <w:rFonts w:ascii="Century Gothic" w:hAnsi="Century Gothic" w:cs="Century Gothic" w:eastAsia="Century Gothic" w:hint="default"/>
                <w:sz w:val="18"/>
                <w:szCs w:val="18"/>
              </w:rPr>
            </w:pPr>
            <w:r>
              <w:rPr>
                <w:rFonts w:ascii="Century Gothic"/>
                <w:sz w:val="18"/>
              </w:rPr>
              <w:t>14,102.56</w:t>
            </w:r>
          </w:p>
        </w:tc>
        <w:tc>
          <w:tcPr>
            <w:tcW w:w="1194"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市场价格</w:t>
            </w:r>
          </w:p>
        </w:tc>
      </w:tr>
      <w:tr>
        <w:trPr>
          <w:trHeight w:val="484" w:hRule="exact"/>
        </w:trPr>
        <w:tc>
          <w:tcPr>
            <w:tcW w:w="176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深圳华立南方电子</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采购仪表</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30,273,024.37</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2.05</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00" w:right="0"/>
              <w:jc w:val="left"/>
              <w:rPr>
                <w:rFonts w:ascii="Century Gothic" w:hAnsi="Century Gothic" w:cs="Century Gothic" w:eastAsia="Century Gothic" w:hint="default"/>
                <w:sz w:val="18"/>
                <w:szCs w:val="18"/>
              </w:rPr>
            </w:pPr>
            <w:r>
              <w:rPr>
                <w:rFonts w:ascii="Century Gothic"/>
                <w:sz w:val="18"/>
              </w:rPr>
              <w:t>24,002,071.79</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13"/>
              <w:jc w:val="right"/>
              <w:rPr>
                <w:rFonts w:ascii="Century Gothic" w:hAnsi="Century Gothic" w:cs="Century Gothic" w:eastAsia="Century Gothic" w:hint="default"/>
                <w:sz w:val="18"/>
                <w:szCs w:val="18"/>
              </w:rPr>
            </w:pPr>
            <w:r>
              <w:rPr>
                <w:rFonts w:ascii="Century Gothic"/>
                <w:spacing w:val="-1"/>
                <w:sz w:val="18"/>
              </w:rPr>
              <w:t>0.98</w:t>
            </w:r>
            <w:r>
              <w:rPr>
                <w:rFonts w:ascii="Century Gothic"/>
                <w:sz w:val="18"/>
              </w:rPr>
            </w:r>
          </w:p>
        </w:tc>
        <w:tc>
          <w:tcPr>
            <w:tcW w:w="1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市场价格</w:t>
            </w:r>
          </w:p>
        </w:tc>
      </w:tr>
      <w:tr>
        <w:trPr>
          <w:trHeight w:val="482" w:hRule="exact"/>
        </w:trPr>
        <w:tc>
          <w:tcPr>
            <w:tcW w:w="176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昆明制药集团股份</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采购药品</w:t>
            </w:r>
          </w:p>
        </w:tc>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4,799,404.45</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0.33</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50" w:right="0"/>
              <w:jc w:val="left"/>
              <w:rPr>
                <w:rFonts w:ascii="Century Gothic" w:hAnsi="Century Gothic" w:cs="Century Gothic" w:eastAsia="Century Gothic" w:hint="default"/>
                <w:sz w:val="18"/>
                <w:szCs w:val="18"/>
              </w:rPr>
            </w:pPr>
            <w:r>
              <w:rPr>
                <w:rFonts w:ascii="Century Gothic"/>
                <w:sz w:val="18"/>
              </w:rPr>
              <w:t>6,077,655.21</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13"/>
              <w:jc w:val="right"/>
              <w:rPr>
                <w:rFonts w:ascii="Century Gothic" w:hAnsi="Century Gothic" w:cs="Century Gothic" w:eastAsia="Century Gothic" w:hint="default"/>
                <w:sz w:val="18"/>
                <w:szCs w:val="18"/>
              </w:rPr>
            </w:pPr>
            <w:r>
              <w:rPr>
                <w:rFonts w:ascii="Century Gothic"/>
                <w:spacing w:val="-1"/>
                <w:sz w:val="18"/>
              </w:rPr>
              <w:t>0.25</w:t>
            </w:r>
            <w:r>
              <w:rPr>
                <w:rFonts w:ascii="Century Gothic"/>
                <w:sz w:val="18"/>
              </w:rPr>
            </w:r>
          </w:p>
        </w:tc>
        <w:tc>
          <w:tcPr>
            <w:tcW w:w="1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市场价格</w:t>
            </w:r>
          </w:p>
        </w:tc>
      </w:tr>
      <w:tr>
        <w:trPr>
          <w:trHeight w:val="484" w:hRule="exact"/>
        </w:trPr>
        <w:tc>
          <w:tcPr>
            <w:tcW w:w="176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昆明制药集团医药</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商业有限公司</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采购药品</w:t>
            </w:r>
          </w:p>
        </w:tc>
        <w:tc>
          <w:tcPr>
            <w:tcW w:w="1410" w:type="dxa"/>
            <w:tcBorders>
              <w:top w:val="single" w:sz="6" w:space="0" w:color="000000"/>
              <w:left w:val="single" w:sz="6" w:space="0" w:color="000000"/>
              <w:bottom w:val="single" w:sz="6" w:space="0" w:color="000000"/>
              <w:right w:val="single" w:sz="6" w:space="0" w:color="000000"/>
            </w:tcBorders>
          </w:tcPr>
          <w:p>
            <w:pPr/>
          </w:p>
        </w:tc>
        <w:tc>
          <w:tcPr>
            <w:tcW w:w="1019"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25" w:right="0"/>
              <w:jc w:val="left"/>
              <w:rPr>
                <w:rFonts w:ascii="Century Gothic" w:hAnsi="Century Gothic" w:cs="Century Gothic" w:eastAsia="Century Gothic" w:hint="default"/>
                <w:sz w:val="18"/>
                <w:szCs w:val="18"/>
              </w:rPr>
            </w:pPr>
            <w:r>
              <w:rPr>
                <w:rFonts w:ascii="Century Gothic"/>
                <w:sz w:val="18"/>
              </w:rPr>
              <w:t>632,743.59</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13"/>
              <w:jc w:val="right"/>
              <w:rPr>
                <w:rFonts w:ascii="Century Gothic" w:hAnsi="Century Gothic" w:cs="Century Gothic" w:eastAsia="Century Gothic" w:hint="default"/>
                <w:sz w:val="18"/>
                <w:szCs w:val="18"/>
              </w:rPr>
            </w:pPr>
            <w:r>
              <w:rPr>
                <w:rFonts w:ascii="Century Gothic"/>
                <w:spacing w:val="-1"/>
                <w:sz w:val="18"/>
              </w:rPr>
              <w:t>0.03</w:t>
            </w:r>
            <w:r>
              <w:rPr>
                <w:rFonts w:ascii="Century Gothic"/>
                <w:sz w:val="18"/>
              </w:rPr>
            </w:r>
          </w:p>
        </w:tc>
        <w:tc>
          <w:tcPr>
            <w:tcW w:w="1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市场价格</w:t>
            </w:r>
          </w:p>
        </w:tc>
      </w:tr>
      <w:tr>
        <w:trPr>
          <w:trHeight w:val="482" w:hRule="exact"/>
        </w:trPr>
        <w:tc>
          <w:tcPr>
            <w:tcW w:w="176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昆明中药厂有限公</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采购药品</w:t>
            </w:r>
          </w:p>
        </w:tc>
        <w:tc>
          <w:tcPr>
            <w:tcW w:w="1410" w:type="dxa"/>
            <w:tcBorders>
              <w:top w:val="single" w:sz="6" w:space="0" w:color="000000"/>
              <w:left w:val="single" w:sz="6" w:space="0" w:color="000000"/>
              <w:bottom w:val="single" w:sz="6" w:space="0" w:color="000000"/>
              <w:right w:val="single" w:sz="6" w:space="0" w:color="000000"/>
            </w:tcBorders>
          </w:tcPr>
          <w:p>
            <w:pPr/>
          </w:p>
        </w:tc>
        <w:tc>
          <w:tcPr>
            <w:tcW w:w="1019"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51" w:right="0"/>
              <w:jc w:val="left"/>
              <w:rPr>
                <w:rFonts w:ascii="Century Gothic" w:hAnsi="Century Gothic" w:cs="Century Gothic" w:eastAsia="Century Gothic" w:hint="default"/>
                <w:sz w:val="18"/>
                <w:szCs w:val="18"/>
              </w:rPr>
            </w:pPr>
            <w:r>
              <w:rPr>
                <w:rFonts w:ascii="Century Gothic"/>
                <w:sz w:val="18"/>
              </w:rPr>
              <w:t>2,061,376.62</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13"/>
              <w:jc w:val="right"/>
              <w:rPr>
                <w:rFonts w:ascii="Century Gothic" w:hAnsi="Century Gothic" w:cs="Century Gothic" w:eastAsia="Century Gothic" w:hint="default"/>
                <w:sz w:val="18"/>
                <w:szCs w:val="18"/>
              </w:rPr>
            </w:pPr>
            <w:r>
              <w:rPr>
                <w:rFonts w:ascii="Century Gothic"/>
                <w:spacing w:val="-1"/>
                <w:sz w:val="18"/>
              </w:rPr>
              <w:t>0.08</w:t>
            </w:r>
            <w:r>
              <w:rPr>
                <w:rFonts w:ascii="Century Gothic"/>
                <w:sz w:val="18"/>
              </w:rPr>
            </w:r>
          </w:p>
        </w:tc>
        <w:tc>
          <w:tcPr>
            <w:tcW w:w="1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市场价格</w:t>
            </w:r>
          </w:p>
        </w:tc>
      </w:tr>
      <w:tr>
        <w:trPr>
          <w:trHeight w:val="484" w:hRule="exact"/>
        </w:trPr>
        <w:tc>
          <w:tcPr>
            <w:tcW w:w="176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武汉健民药业集团</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采购药品</w:t>
            </w:r>
          </w:p>
        </w:tc>
        <w:tc>
          <w:tcPr>
            <w:tcW w:w="1410" w:type="dxa"/>
            <w:tcBorders>
              <w:top w:val="single" w:sz="6" w:space="0" w:color="000000"/>
              <w:left w:val="single" w:sz="6" w:space="0" w:color="000000"/>
              <w:bottom w:val="single" w:sz="6" w:space="0" w:color="000000"/>
              <w:right w:val="single" w:sz="6" w:space="0" w:color="000000"/>
            </w:tcBorders>
          </w:tcPr>
          <w:p>
            <w:pPr/>
          </w:p>
        </w:tc>
        <w:tc>
          <w:tcPr>
            <w:tcW w:w="1019"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51" w:right="0"/>
              <w:jc w:val="left"/>
              <w:rPr>
                <w:rFonts w:ascii="Century Gothic" w:hAnsi="Century Gothic" w:cs="Century Gothic" w:eastAsia="Century Gothic" w:hint="default"/>
                <w:sz w:val="18"/>
                <w:szCs w:val="18"/>
              </w:rPr>
            </w:pPr>
            <w:r>
              <w:rPr>
                <w:rFonts w:ascii="Century Gothic"/>
                <w:sz w:val="18"/>
              </w:rPr>
              <w:t>4,978,320.14</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413"/>
              <w:jc w:val="right"/>
              <w:rPr>
                <w:rFonts w:ascii="Century Gothic" w:hAnsi="Century Gothic" w:cs="Century Gothic" w:eastAsia="Century Gothic" w:hint="default"/>
                <w:sz w:val="18"/>
                <w:szCs w:val="18"/>
              </w:rPr>
            </w:pPr>
            <w:r>
              <w:rPr>
                <w:rFonts w:ascii="Century Gothic"/>
                <w:spacing w:val="-1"/>
                <w:sz w:val="18"/>
              </w:rPr>
              <w:t>0.20</w:t>
            </w:r>
            <w:r>
              <w:rPr>
                <w:rFonts w:ascii="Century Gothic"/>
                <w:sz w:val="18"/>
              </w:rPr>
            </w:r>
          </w:p>
        </w:tc>
        <w:tc>
          <w:tcPr>
            <w:tcW w:w="1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市场价格</w:t>
            </w:r>
          </w:p>
        </w:tc>
      </w:tr>
      <w:tr>
        <w:trPr>
          <w:trHeight w:val="482" w:hRule="exact"/>
        </w:trPr>
        <w:tc>
          <w:tcPr>
            <w:tcW w:w="176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武汉健民集团随州</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药业有限公司</w:t>
            </w:r>
          </w:p>
        </w:tc>
        <w:tc>
          <w:tcPr>
            <w:tcW w:w="10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采购药品</w:t>
            </w:r>
          </w:p>
        </w:tc>
        <w:tc>
          <w:tcPr>
            <w:tcW w:w="1410" w:type="dxa"/>
            <w:tcBorders>
              <w:top w:val="single" w:sz="6" w:space="0" w:color="000000"/>
              <w:left w:val="single" w:sz="6" w:space="0" w:color="000000"/>
              <w:bottom w:val="single" w:sz="6" w:space="0" w:color="000000"/>
              <w:right w:val="single" w:sz="6" w:space="0" w:color="000000"/>
            </w:tcBorders>
          </w:tcPr>
          <w:p>
            <w:pPr/>
          </w:p>
        </w:tc>
        <w:tc>
          <w:tcPr>
            <w:tcW w:w="1019"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76" w:right="0"/>
              <w:jc w:val="left"/>
              <w:rPr>
                <w:rFonts w:ascii="Century Gothic" w:hAnsi="Century Gothic" w:cs="Century Gothic" w:eastAsia="Century Gothic" w:hint="default"/>
                <w:sz w:val="18"/>
                <w:szCs w:val="18"/>
              </w:rPr>
            </w:pPr>
            <w:r>
              <w:rPr>
                <w:rFonts w:ascii="Century Gothic"/>
                <w:sz w:val="18"/>
              </w:rPr>
              <w:t>81,512.31</w:t>
            </w:r>
          </w:p>
        </w:tc>
        <w:tc>
          <w:tcPr>
            <w:tcW w:w="1194"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市场价格</w:t>
            </w:r>
          </w:p>
        </w:tc>
      </w:tr>
      <w:tr>
        <w:trPr>
          <w:trHeight w:val="491" w:hRule="exact"/>
        </w:trPr>
        <w:tc>
          <w:tcPr>
            <w:tcW w:w="1764" w:type="dxa"/>
            <w:tcBorders>
              <w:top w:val="single" w:sz="6" w:space="0" w:color="000000"/>
              <w:left w:val="nil" w:sz="6" w:space="0" w:color="auto"/>
              <w:bottom w:val="single" w:sz="12"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3"/>
                <w:sz w:val="18"/>
                <w:szCs w:val="18"/>
              </w:rPr>
              <w:t>武汉健民集团随州</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瑞康药业有限公司</w:t>
            </w:r>
          </w:p>
        </w:tc>
        <w:tc>
          <w:tcPr>
            <w:tcW w:w="10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采购药品</w:t>
            </w:r>
          </w:p>
        </w:tc>
        <w:tc>
          <w:tcPr>
            <w:tcW w:w="1410" w:type="dxa"/>
            <w:tcBorders>
              <w:top w:val="single" w:sz="6" w:space="0" w:color="000000"/>
              <w:left w:val="single" w:sz="6" w:space="0" w:color="000000"/>
              <w:bottom w:val="single" w:sz="12" w:space="0" w:color="000000"/>
              <w:right w:val="single" w:sz="6" w:space="0" w:color="000000"/>
            </w:tcBorders>
          </w:tcPr>
          <w:p>
            <w:pPr/>
          </w:p>
        </w:tc>
        <w:tc>
          <w:tcPr>
            <w:tcW w:w="1019" w:type="dxa"/>
            <w:tcBorders>
              <w:top w:val="single" w:sz="6" w:space="0" w:color="000000"/>
              <w:left w:val="single" w:sz="6" w:space="0" w:color="000000"/>
              <w:bottom w:val="single" w:sz="12" w:space="0" w:color="000000"/>
              <w:right w:val="single" w:sz="6" w:space="0" w:color="000000"/>
            </w:tcBorders>
          </w:tcPr>
          <w:p>
            <w:pPr/>
          </w:p>
        </w:tc>
        <w:tc>
          <w:tcPr>
            <w:tcW w:w="1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left="276" w:right="0"/>
              <w:jc w:val="left"/>
              <w:rPr>
                <w:rFonts w:ascii="Century Gothic" w:hAnsi="Century Gothic" w:cs="Century Gothic" w:eastAsia="Century Gothic" w:hint="default"/>
                <w:sz w:val="18"/>
                <w:szCs w:val="18"/>
              </w:rPr>
            </w:pPr>
            <w:r>
              <w:rPr>
                <w:rFonts w:ascii="Century Gothic"/>
                <w:sz w:val="18"/>
              </w:rPr>
              <w:t>30,201.86</w:t>
            </w:r>
          </w:p>
        </w:tc>
        <w:tc>
          <w:tcPr>
            <w:tcW w:w="1194" w:type="dxa"/>
            <w:tcBorders>
              <w:top w:val="single" w:sz="6" w:space="0" w:color="000000"/>
              <w:left w:val="single" w:sz="6" w:space="0" w:color="000000"/>
              <w:bottom w:val="single" w:sz="12" w:space="0" w:color="000000"/>
              <w:right w:val="single" w:sz="6" w:space="0" w:color="000000"/>
            </w:tcBorders>
          </w:tcPr>
          <w:p>
            <w:pPr/>
          </w:p>
        </w:tc>
        <w:tc>
          <w:tcPr>
            <w:tcW w:w="10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市场价格</w:t>
            </w:r>
          </w:p>
        </w:tc>
      </w:tr>
    </w:tbl>
    <w:p>
      <w:pPr>
        <w:pStyle w:val="Heading4"/>
        <w:spacing w:line="240" w:lineRule="auto" w:before="86"/>
        <w:ind w:right="152"/>
        <w:jc w:val="left"/>
        <w:rPr>
          <w:rFonts w:ascii="宋体" w:hAnsi="宋体" w:cs="宋体" w:eastAsia="宋体" w:hint="default"/>
          <w:b w:val="0"/>
          <w:bCs w:val="0"/>
        </w:rPr>
      </w:pPr>
      <w:r>
        <w:rPr>
          <w:rFonts w:ascii="Century Gothic" w:hAnsi="Century Gothic" w:cs="Century Gothic" w:eastAsia="Century Gothic" w:hint="default"/>
        </w:rPr>
        <w:t>4. </w:t>
      </w:r>
      <w:r>
        <w:rPr>
          <w:rFonts w:ascii="Century Gothic" w:hAnsi="Century Gothic" w:cs="Century Gothic" w:eastAsia="Century Gothic" w:hint="default"/>
          <w:spacing w:val="36"/>
        </w:rPr>
        <w:t> </w:t>
      </w:r>
      <w:r>
        <w:rPr>
          <w:rFonts w:ascii="宋体" w:hAnsi="宋体" w:cs="宋体" w:eastAsia="宋体" w:hint="default"/>
        </w:rPr>
        <w:t>关联租赁情况</w:t>
      </w:r>
      <w:r>
        <w:rPr>
          <w:rFonts w:ascii="宋体" w:hAnsi="宋体" w:cs="宋体" w:eastAsia="宋体" w:hint="default"/>
          <w:b w:val="0"/>
          <w:bCs w:val="0"/>
        </w:rPr>
      </w:r>
    </w:p>
    <w:p>
      <w:pPr>
        <w:pStyle w:val="BodyText"/>
        <w:spacing w:line="336" w:lineRule="auto"/>
        <w:ind w:right="101" w:firstLine="420"/>
        <w:jc w:val="left"/>
      </w:pPr>
      <w:r>
        <w:rPr>
          <w:spacing w:val="-4"/>
          <w:w w:val="99"/>
        </w:rPr>
        <w:t>（</w:t>
      </w:r>
      <w:r>
        <w:rPr>
          <w:rFonts w:ascii="Century Gothic" w:hAnsi="Century Gothic" w:cs="Century Gothic" w:eastAsia="Century Gothic" w:hint="default"/>
          <w:spacing w:val="-4"/>
          <w:w w:val="99"/>
        </w:rPr>
        <w:t>1</w:t>
      </w:r>
      <w:r>
        <w:rPr>
          <w:spacing w:val="-4"/>
          <w:w w:val="99"/>
        </w:rPr>
        <w:t>）子公司华立仪表集团与浙江华立电力科技有限公司签订的《房屋租赁合同》，华立仪表集团</w:t>
      </w:r>
      <w:r>
        <w:rPr/>
        <w:t> 将五常华立科技园南区</w:t>
      </w:r>
      <w:r>
        <w:rPr>
          <w:spacing w:val="-64"/>
        </w:rPr>
        <w:t> </w:t>
      </w:r>
      <w:r>
        <w:rPr>
          <w:rFonts w:ascii="Century Gothic" w:hAnsi="Century Gothic" w:cs="Century Gothic" w:eastAsia="Century Gothic" w:hint="default"/>
        </w:rPr>
        <w:t>2</w:t>
      </w:r>
      <w:r>
        <w:rPr>
          <w:rFonts w:ascii="Century Gothic" w:hAnsi="Century Gothic" w:cs="Century Gothic" w:eastAsia="Century Gothic" w:hint="default"/>
          <w:spacing w:val="-17"/>
        </w:rPr>
        <w:t> </w:t>
      </w:r>
      <w:r>
        <w:rPr/>
        <w:t>号厂房一层房屋面积为</w:t>
      </w:r>
      <w:r>
        <w:rPr>
          <w:spacing w:val="-64"/>
        </w:rPr>
        <w:t> </w:t>
      </w:r>
      <w:r>
        <w:rPr>
          <w:rFonts w:ascii="Century Gothic" w:hAnsi="Century Gothic" w:cs="Century Gothic" w:eastAsia="Century Gothic" w:hint="default"/>
        </w:rPr>
        <w:t>1,600.00</w:t>
      </w:r>
      <w:r>
        <w:rPr>
          <w:rFonts w:ascii="Century Gothic" w:hAnsi="Century Gothic" w:cs="Century Gothic" w:eastAsia="Century Gothic" w:hint="default"/>
          <w:spacing w:val="-17"/>
        </w:rPr>
        <w:t> </w:t>
      </w:r>
      <w:r>
        <w:rPr/>
        <w:t>平方米（建筑面积）的房产租赁给其使用，</w:t>
      </w:r>
    </w:p>
    <w:p>
      <w:pPr>
        <w:spacing w:line="240" w:lineRule="auto" w:before="7"/>
        <w:rPr>
          <w:rFonts w:ascii="宋体" w:hAnsi="宋体" w:cs="宋体" w:eastAsia="宋体" w:hint="default"/>
          <w:sz w:val="23"/>
          <w:szCs w:val="23"/>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95</w:t>
      </w:r>
    </w:p>
    <w:p>
      <w:pPr>
        <w:spacing w:after="0"/>
        <w:jc w:val="center"/>
        <w:rPr>
          <w:rFonts w:ascii="Times New Roman" w:hAnsi="Times New Roman" w:cs="Times New Roman" w:eastAsia="Times New Roman" w:hint="default"/>
          <w:sz w:val="18"/>
          <w:szCs w:val="18"/>
        </w:rPr>
        <w:sectPr>
          <w:pgSz w:w="11910" w:h="16840"/>
          <w:pgMar w:top="780" w:bottom="280" w:left="1280" w:right="10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64.860001pt;margin-top:-9.926001pt;width:84.0pt;height:23.94pt;mso-position-horizontal-relative:page;mso-position-vertical-relative:paragraph;z-index:6352"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0"/>
        <w:ind w:right="152"/>
        <w:jc w:val="left"/>
      </w:pPr>
      <w:r>
        <w:rPr/>
        <w:t>年租金</w:t>
      </w:r>
      <w:r>
        <w:rPr>
          <w:spacing w:val="-48"/>
        </w:rPr>
        <w:t> </w:t>
      </w:r>
      <w:r>
        <w:rPr>
          <w:rFonts w:ascii="Century Gothic" w:hAnsi="Century Gothic" w:cs="Century Gothic" w:eastAsia="Century Gothic" w:hint="default"/>
        </w:rPr>
        <w:t>675,881.28</w:t>
      </w:r>
      <w:r>
        <w:rPr>
          <w:rFonts w:ascii="Century Gothic" w:hAnsi="Century Gothic" w:cs="Century Gothic" w:eastAsia="Century Gothic" w:hint="default"/>
          <w:spacing w:val="-1"/>
        </w:rPr>
        <w:t> </w:t>
      </w:r>
      <w:r>
        <w:rPr/>
        <w:t>元，租赁期限为</w:t>
      </w:r>
      <w:r>
        <w:rPr>
          <w:spacing w:val="-48"/>
        </w:rPr>
        <w:t> </w:t>
      </w:r>
      <w:r>
        <w:rPr>
          <w:rFonts w:ascii="Century Gothic" w:hAnsi="Century Gothic" w:cs="Century Gothic" w:eastAsia="Century Gothic" w:hint="default"/>
        </w:rPr>
        <w:t>3</w:t>
      </w:r>
      <w:r>
        <w:rPr>
          <w:rFonts w:ascii="Century Gothic" w:hAnsi="Century Gothic" w:cs="Century Gothic" w:eastAsia="Century Gothic" w:hint="default"/>
          <w:spacing w:val="-1"/>
        </w:rPr>
        <w:t> </w:t>
      </w:r>
      <w:r>
        <w:rPr/>
        <w:t>年，自</w:t>
      </w:r>
      <w:r>
        <w:rPr>
          <w:spacing w:val="-48"/>
        </w:rPr>
        <w:t> </w:t>
      </w:r>
      <w:r>
        <w:rPr>
          <w:rFonts w:ascii="Century Gothic" w:hAnsi="Century Gothic" w:cs="Century Gothic" w:eastAsia="Century Gothic" w:hint="default"/>
        </w:rPr>
        <w:t>2008</w:t>
      </w:r>
      <w:r>
        <w:rPr>
          <w:rFonts w:ascii="Century Gothic" w:hAnsi="Century Gothic" w:cs="Century Gothic" w:eastAsia="Century Gothic" w:hint="default"/>
          <w:spacing w:val="-2"/>
        </w:rPr>
        <w:t> </w:t>
      </w:r>
      <w:r>
        <w:rPr/>
        <w:t>年</w:t>
      </w:r>
      <w:r>
        <w:rPr>
          <w:spacing w:val="-48"/>
        </w:rPr>
        <w:t> </w:t>
      </w:r>
      <w:r>
        <w:rPr>
          <w:rFonts w:ascii="Century Gothic" w:hAnsi="Century Gothic" w:cs="Century Gothic" w:eastAsia="Century Gothic" w:hint="default"/>
        </w:rPr>
        <w:t>3</w:t>
      </w:r>
      <w:r>
        <w:rPr>
          <w:rFonts w:ascii="Century Gothic" w:hAnsi="Century Gothic" w:cs="Century Gothic" w:eastAsia="Century Gothic" w:hint="default"/>
          <w:spacing w:val="-1"/>
        </w:rPr>
        <w:t> </w:t>
      </w:r>
      <w:r>
        <w:rPr/>
        <w:t>月</w:t>
      </w:r>
      <w:r>
        <w:rPr>
          <w:spacing w:val="-48"/>
        </w:rPr>
        <w:t> </w:t>
      </w:r>
      <w:r>
        <w:rPr>
          <w:rFonts w:ascii="Century Gothic" w:hAnsi="Century Gothic" w:cs="Century Gothic" w:eastAsia="Century Gothic" w:hint="default"/>
        </w:rPr>
        <w:t>20</w:t>
      </w:r>
      <w:r>
        <w:rPr>
          <w:rFonts w:ascii="Century Gothic" w:hAnsi="Century Gothic" w:cs="Century Gothic" w:eastAsia="Century Gothic" w:hint="default"/>
          <w:spacing w:val="-1"/>
        </w:rPr>
        <w:t> </w:t>
      </w:r>
      <w:r>
        <w:rPr/>
        <w:t>日至</w:t>
      </w:r>
      <w:r>
        <w:rPr>
          <w:spacing w:val="-48"/>
        </w:rPr>
        <w:t> </w:t>
      </w:r>
      <w:r>
        <w:rPr>
          <w:rFonts w:ascii="Century Gothic" w:hAnsi="Century Gothic" w:cs="Century Gothic" w:eastAsia="Century Gothic" w:hint="default"/>
        </w:rPr>
        <w:t>2011</w:t>
      </w:r>
      <w:r>
        <w:rPr>
          <w:rFonts w:ascii="Century Gothic" w:hAnsi="Century Gothic" w:cs="Century Gothic" w:eastAsia="Century Gothic" w:hint="default"/>
          <w:spacing w:val="-1"/>
        </w:rPr>
        <w:t> </w:t>
      </w:r>
      <w:r>
        <w:rPr/>
        <w:t>年</w:t>
      </w:r>
      <w:r>
        <w:rPr>
          <w:spacing w:val="-49"/>
        </w:rPr>
        <w:t> </w:t>
      </w:r>
      <w:r>
        <w:rPr>
          <w:rFonts w:ascii="Century Gothic" w:hAnsi="Century Gothic" w:cs="Century Gothic" w:eastAsia="Century Gothic" w:hint="default"/>
        </w:rPr>
        <w:t>3</w:t>
      </w:r>
      <w:r>
        <w:rPr>
          <w:rFonts w:ascii="Century Gothic" w:hAnsi="Century Gothic" w:cs="Century Gothic" w:eastAsia="Century Gothic" w:hint="default"/>
          <w:spacing w:val="-1"/>
        </w:rPr>
        <w:t> </w:t>
      </w:r>
      <w:r>
        <w:rPr/>
        <w:t>月</w:t>
      </w:r>
      <w:r>
        <w:rPr>
          <w:spacing w:val="-48"/>
        </w:rPr>
        <w:t> </w:t>
      </w:r>
      <w:r>
        <w:rPr>
          <w:rFonts w:ascii="Century Gothic" w:hAnsi="Century Gothic" w:cs="Century Gothic" w:eastAsia="Century Gothic" w:hint="default"/>
        </w:rPr>
        <w:t>19</w:t>
      </w:r>
      <w:r>
        <w:rPr>
          <w:rFonts w:ascii="Century Gothic" w:hAnsi="Century Gothic" w:cs="Century Gothic" w:eastAsia="Century Gothic" w:hint="default"/>
          <w:spacing w:val="-1"/>
        </w:rPr>
        <w:t> </w:t>
      </w:r>
      <w:r>
        <w:rPr/>
        <w:t>日止。华立仪表</w:t>
      </w:r>
    </w:p>
    <w:p>
      <w:pPr>
        <w:pStyle w:val="BodyText"/>
        <w:spacing w:line="240" w:lineRule="auto"/>
        <w:ind w:right="152"/>
        <w:jc w:val="left"/>
      </w:pPr>
      <w:r>
        <w:rPr/>
        <w:t>集团将五常华立科技园行政办公大楼西区</w:t>
      </w:r>
      <w:r>
        <w:rPr>
          <w:spacing w:val="-38"/>
        </w:rPr>
        <w:t> </w:t>
      </w:r>
      <w:r>
        <w:rPr>
          <w:rFonts w:ascii="Century Gothic" w:hAnsi="Century Gothic" w:cs="Century Gothic" w:eastAsia="Century Gothic" w:hint="default"/>
        </w:rPr>
        <w:t>9</w:t>
      </w:r>
      <w:r>
        <w:rPr>
          <w:rFonts w:ascii="Century Gothic" w:hAnsi="Century Gothic" w:cs="Century Gothic" w:eastAsia="Century Gothic" w:hint="default"/>
          <w:spacing w:val="9"/>
        </w:rPr>
        <w:t> </w:t>
      </w:r>
      <w:r>
        <w:rPr/>
        <w:t>层，面积为</w:t>
      </w:r>
      <w:r>
        <w:rPr>
          <w:spacing w:val="-38"/>
        </w:rPr>
        <w:t> </w:t>
      </w:r>
      <w:r>
        <w:rPr>
          <w:rFonts w:ascii="Century Gothic" w:hAnsi="Century Gothic" w:cs="Century Gothic" w:eastAsia="Century Gothic" w:hint="default"/>
        </w:rPr>
        <w:t>1,134.52</w:t>
      </w:r>
      <w:r>
        <w:rPr>
          <w:rFonts w:ascii="Century Gothic" w:hAnsi="Century Gothic" w:cs="Century Gothic" w:eastAsia="Century Gothic" w:hint="default"/>
          <w:spacing w:val="9"/>
        </w:rPr>
        <w:t> </w:t>
      </w:r>
      <w:r>
        <w:rPr/>
        <w:t>平方米（建筑面积）的房产租赁给</w:t>
      </w:r>
    </w:p>
    <w:p>
      <w:pPr>
        <w:pStyle w:val="BodyText"/>
        <w:spacing w:line="240" w:lineRule="auto"/>
        <w:ind w:right="152"/>
        <w:jc w:val="left"/>
      </w:pPr>
      <w:r>
        <w:rPr/>
        <w:t>其使用，年租金为</w:t>
      </w:r>
      <w:r>
        <w:rPr>
          <w:spacing w:val="-54"/>
        </w:rPr>
        <w:t> </w:t>
      </w:r>
      <w:r>
        <w:rPr>
          <w:rFonts w:ascii="Century Gothic" w:hAnsi="Century Gothic" w:cs="Century Gothic" w:eastAsia="Century Gothic" w:hint="default"/>
        </w:rPr>
        <w:t>1,076,659.48</w:t>
      </w:r>
      <w:r>
        <w:rPr>
          <w:rFonts w:ascii="Century Gothic" w:hAnsi="Century Gothic" w:cs="Century Gothic" w:eastAsia="Century Gothic" w:hint="default"/>
          <w:spacing w:val="-7"/>
        </w:rPr>
        <w:t> </w:t>
      </w:r>
      <w:r>
        <w:rPr/>
        <w:t>元，租赁期限为</w:t>
      </w:r>
      <w:r>
        <w:rPr>
          <w:spacing w:val="-54"/>
        </w:rPr>
        <w:t> </w:t>
      </w:r>
      <w:r>
        <w:rPr>
          <w:rFonts w:ascii="Century Gothic" w:hAnsi="Century Gothic" w:cs="Century Gothic" w:eastAsia="Century Gothic" w:hint="default"/>
        </w:rPr>
        <w:t>2009</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7</w:t>
      </w:r>
      <w:r>
        <w:rPr>
          <w:rFonts w:ascii="Century Gothic" w:hAnsi="Century Gothic" w:cs="Century Gothic" w:eastAsia="Century Gothic" w:hint="default"/>
          <w:spacing w:val="-7"/>
        </w:rPr>
        <w:t> </w:t>
      </w:r>
      <w:r>
        <w:rPr/>
        <w:t>月</w:t>
      </w:r>
      <w:r>
        <w:rPr>
          <w:spacing w:val="-55"/>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日至</w:t>
      </w:r>
      <w:r>
        <w:rPr>
          <w:spacing w:val="-54"/>
        </w:rPr>
        <w:t> </w:t>
      </w:r>
      <w:r>
        <w:rPr>
          <w:rFonts w:ascii="Century Gothic" w:hAnsi="Century Gothic" w:cs="Century Gothic" w:eastAsia="Century Gothic" w:hint="default"/>
        </w:rPr>
        <w:t>2011</w:t>
      </w:r>
      <w:r>
        <w:rPr>
          <w:rFonts w:ascii="Century Gothic" w:hAnsi="Century Gothic" w:cs="Century Gothic" w:eastAsia="Century Gothic" w:hint="default"/>
          <w:spacing w:val="-8"/>
        </w:rPr>
        <w:t> </w:t>
      </w:r>
      <w:r>
        <w:rPr/>
        <w:t>年</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t>日止。</w:t>
      </w:r>
    </w:p>
    <w:p>
      <w:pPr>
        <w:pStyle w:val="BodyText"/>
        <w:spacing w:line="336" w:lineRule="auto" w:before="119"/>
        <w:ind w:right="203" w:firstLine="419"/>
        <w:jc w:val="left"/>
      </w:pPr>
      <w:r>
        <w:rPr>
          <w:spacing w:val="-4"/>
          <w:w w:val="99"/>
        </w:rPr>
        <w:t>（</w:t>
      </w:r>
      <w:r>
        <w:rPr>
          <w:rFonts w:ascii="Century Gothic" w:hAnsi="Century Gothic" w:cs="Century Gothic" w:eastAsia="Century Gothic" w:hint="default"/>
          <w:spacing w:val="-4"/>
          <w:w w:val="99"/>
        </w:rPr>
        <w:t>2</w:t>
      </w:r>
      <w:r>
        <w:rPr>
          <w:spacing w:val="-4"/>
          <w:w w:val="99"/>
        </w:rPr>
        <w:t>）子公司华立仪表集团与浙江华立电网控制系统有限公司签订《房屋租赁合同》，约定将杭州</w:t>
      </w:r>
      <w:r>
        <w:rPr/>
        <w:t> 市余杭区五常大道</w:t>
      </w:r>
      <w:r>
        <w:rPr>
          <w:spacing w:val="-54"/>
        </w:rPr>
        <w:t> </w:t>
      </w:r>
      <w:r>
        <w:rPr>
          <w:rFonts w:ascii="Century Gothic" w:hAnsi="Century Gothic" w:cs="Century Gothic" w:eastAsia="Century Gothic" w:hint="default"/>
        </w:rPr>
        <w:t>181</w:t>
      </w:r>
      <w:r>
        <w:rPr>
          <w:rFonts w:ascii="Century Gothic" w:hAnsi="Century Gothic" w:cs="Century Gothic" w:eastAsia="Century Gothic" w:hint="default"/>
          <w:spacing w:val="-8"/>
        </w:rPr>
        <w:t> </w:t>
      </w:r>
      <w:r>
        <w:rPr/>
        <w:t>号华立科技园行政办公楼西区</w:t>
      </w:r>
      <w:r>
        <w:rPr>
          <w:spacing w:val="-54"/>
        </w:rPr>
        <w:t> </w:t>
      </w:r>
      <w:r>
        <w:rPr>
          <w:rFonts w:ascii="Century Gothic" w:hAnsi="Century Gothic" w:cs="Century Gothic" w:eastAsia="Century Gothic" w:hint="default"/>
        </w:rPr>
        <w:t>9</w:t>
      </w:r>
      <w:r>
        <w:rPr>
          <w:rFonts w:ascii="Century Gothic" w:hAnsi="Century Gothic" w:cs="Century Gothic" w:eastAsia="Century Gothic" w:hint="default"/>
          <w:spacing w:val="-7"/>
        </w:rPr>
        <w:t> </w:t>
      </w:r>
      <w:r>
        <w:rPr/>
        <w:t>层面积为</w:t>
      </w:r>
      <w:r>
        <w:rPr>
          <w:spacing w:val="-54"/>
        </w:rPr>
        <w:t> </w:t>
      </w:r>
      <w:r>
        <w:rPr>
          <w:rFonts w:ascii="Century Gothic" w:hAnsi="Century Gothic" w:cs="Century Gothic" w:eastAsia="Century Gothic" w:hint="default"/>
        </w:rPr>
        <w:t>429.48</w:t>
      </w:r>
      <w:r>
        <w:rPr>
          <w:rFonts w:ascii="Century Gothic" w:hAnsi="Century Gothic" w:cs="Century Gothic" w:eastAsia="Century Gothic" w:hint="default"/>
          <w:spacing w:val="-7"/>
        </w:rPr>
        <w:t> </w:t>
      </w:r>
      <w:r>
        <w:rPr/>
        <w:t>平方米（建筑面积）的房产</w:t>
      </w:r>
    </w:p>
    <w:p>
      <w:pPr>
        <w:pStyle w:val="BodyText"/>
        <w:spacing w:line="240" w:lineRule="auto" w:before="17"/>
        <w:ind w:right="152"/>
        <w:jc w:val="left"/>
      </w:pPr>
      <w:r>
        <w:rPr/>
        <w:t>租赁给其使用，年租金</w:t>
      </w:r>
      <w:r>
        <w:rPr>
          <w:spacing w:val="-54"/>
        </w:rPr>
        <w:t> </w:t>
      </w:r>
      <w:r>
        <w:rPr>
          <w:rFonts w:ascii="Century Gothic" w:hAnsi="Century Gothic" w:cs="Century Gothic" w:eastAsia="Century Gothic" w:hint="default"/>
        </w:rPr>
        <w:t>407,576.52</w:t>
      </w:r>
      <w:r>
        <w:rPr>
          <w:rFonts w:ascii="Century Gothic" w:hAnsi="Century Gothic" w:cs="Century Gothic" w:eastAsia="Century Gothic" w:hint="default"/>
          <w:spacing w:val="-7"/>
        </w:rPr>
        <w:t> </w:t>
      </w:r>
      <w:r>
        <w:rPr/>
        <w:t>元，租赁期限为</w:t>
      </w:r>
      <w:r>
        <w:rPr>
          <w:spacing w:val="-54"/>
        </w:rPr>
        <w:t> </w:t>
      </w:r>
      <w:r>
        <w:rPr>
          <w:rFonts w:ascii="Century Gothic" w:hAnsi="Century Gothic" w:cs="Century Gothic" w:eastAsia="Century Gothic" w:hint="default"/>
        </w:rPr>
        <w:t>2009</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7</w:t>
      </w:r>
      <w:r>
        <w:rPr>
          <w:rFonts w:ascii="Century Gothic" w:hAnsi="Century Gothic" w:cs="Century Gothic" w:eastAsia="Century Gothic" w:hint="default"/>
          <w:spacing w:val="-8"/>
        </w:rPr>
        <w:t> </w:t>
      </w:r>
      <w:r>
        <w:rPr/>
        <w:t>月</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日至</w:t>
      </w:r>
      <w:r>
        <w:rPr>
          <w:spacing w:val="-54"/>
        </w:rPr>
        <w:t> </w:t>
      </w:r>
      <w:r>
        <w:rPr>
          <w:rFonts w:ascii="Century Gothic" w:hAnsi="Century Gothic" w:cs="Century Gothic" w:eastAsia="Century Gothic" w:hint="default"/>
        </w:rPr>
        <w:t>2011</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t>日止。</w:t>
      </w:r>
    </w:p>
    <w:p>
      <w:pPr>
        <w:pStyle w:val="BodyText"/>
        <w:spacing w:line="338" w:lineRule="auto"/>
        <w:ind w:right="202" w:firstLine="420"/>
        <w:jc w:val="left"/>
      </w:pPr>
      <w:r>
        <w:rPr>
          <w:spacing w:val="-4"/>
          <w:w w:val="99"/>
        </w:rPr>
        <w:t>（</w:t>
      </w:r>
      <w:r>
        <w:rPr>
          <w:rFonts w:ascii="Century Gothic" w:hAnsi="Century Gothic" w:cs="Century Gothic" w:eastAsia="Century Gothic" w:hint="default"/>
          <w:spacing w:val="-4"/>
          <w:w w:val="99"/>
        </w:rPr>
        <w:t>3</w:t>
      </w:r>
      <w:r>
        <w:rPr>
          <w:spacing w:val="-4"/>
          <w:w w:val="99"/>
        </w:rPr>
        <w:t>）子公司华立仪表集团与华方医药科技有限公司签订《房屋租赁合同》，约定将余杭区五常街</w:t>
      </w:r>
      <w:r>
        <w:rPr/>
        <w:t> 道五常大道</w:t>
      </w:r>
      <w:r>
        <w:rPr>
          <w:spacing w:val="-49"/>
        </w:rPr>
        <w:t> </w:t>
      </w:r>
      <w:r>
        <w:rPr>
          <w:rFonts w:ascii="Century Gothic" w:hAnsi="Century Gothic" w:cs="Century Gothic" w:eastAsia="Century Gothic" w:hint="default"/>
        </w:rPr>
        <w:t>181</w:t>
      </w:r>
      <w:r>
        <w:rPr>
          <w:rFonts w:ascii="Century Gothic" w:hAnsi="Century Gothic" w:cs="Century Gothic" w:eastAsia="Century Gothic" w:hint="default"/>
          <w:spacing w:val="-2"/>
        </w:rPr>
        <w:t> </w:t>
      </w:r>
      <w:r>
        <w:rPr/>
        <w:t>号仪表园区</w:t>
      </w:r>
      <w:r>
        <w:rPr>
          <w:spacing w:val="-49"/>
        </w:rPr>
        <w:t> </w:t>
      </w:r>
      <w:r>
        <w:rPr>
          <w:rFonts w:ascii="Century Gothic" w:hAnsi="Century Gothic" w:cs="Century Gothic" w:eastAsia="Century Gothic" w:hint="default"/>
        </w:rPr>
        <w:t>3</w:t>
      </w:r>
      <w:r>
        <w:rPr>
          <w:rFonts w:ascii="Century Gothic" w:hAnsi="Century Gothic" w:cs="Century Gothic" w:eastAsia="Century Gothic" w:hint="default"/>
          <w:spacing w:val="-2"/>
        </w:rPr>
        <w:t> </w:t>
      </w:r>
      <w:r>
        <w:rPr/>
        <w:t>号厂房一层面积</w:t>
      </w:r>
      <w:r>
        <w:rPr>
          <w:spacing w:val="-49"/>
        </w:rPr>
        <w:t> </w:t>
      </w:r>
      <w:r>
        <w:rPr>
          <w:rFonts w:ascii="Century Gothic" w:hAnsi="Century Gothic" w:cs="Century Gothic" w:eastAsia="Century Gothic" w:hint="default"/>
        </w:rPr>
        <w:t>1,448.04</w:t>
      </w:r>
      <w:r>
        <w:rPr>
          <w:rFonts w:ascii="Century Gothic" w:hAnsi="Century Gothic" w:cs="Century Gothic" w:eastAsia="Century Gothic" w:hint="default"/>
          <w:spacing w:val="-2"/>
        </w:rPr>
        <w:t> </w:t>
      </w:r>
      <w:r>
        <w:rPr/>
        <w:t>平方米（建筑面积）的商业物流库房租赁给</w:t>
      </w:r>
    </w:p>
    <w:p>
      <w:pPr>
        <w:pStyle w:val="BodyText"/>
        <w:spacing w:line="240" w:lineRule="auto" w:before="15"/>
        <w:ind w:right="152"/>
        <w:jc w:val="left"/>
      </w:pPr>
      <w:r>
        <w:rPr/>
        <w:t>其使用，年租金</w:t>
      </w:r>
      <w:r>
        <w:rPr>
          <w:spacing w:val="-54"/>
        </w:rPr>
        <w:t> </w:t>
      </w:r>
      <w:r>
        <w:rPr>
          <w:rFonts w:ascii="Century Gothic" w:hAnsi="Century Gothic" w:cs="Century Gothic" w:eastAsia="Century Gothic" w:hint="default"/>
        </w:rPr>
        <w:t>260,647.20</w:t>
      </w:r>
      <w:r>
        <w:rPr>
          <w:rFonts w:ascii="Century Gothic" w:hAnsi="Century Gothic" w:cs="Century Gothic" w:eastAsia="Century Gothic" w:hint="default"/>
          <w:spacing w:val="-7"/>
        </w:rPr>
        <w:t> </w:t>
      </w:r>
      <w:r>
        <w:rPr/>
        <w:t>元，租赁期限为</w:t>
      </w:r>
      <w:r>
        <w:rPr>
          <w:spacing w:val="-54"/>
        </w:rPr>
        <w:t> </w:t>
      </w:r>
      <w:r>
        <w:rPr>
          <w:rFonts w:ascii="Century Gothic" w:hAnsi="Century Gothic" w:cs="Century Gothic" w:eastAsia="Century Gothic" w:hint="default"/>
        </w:rPr>
        <w:t>2</w:t>
      </w:r>
      <w:r>
        <w:rPr>
          <w:rFonts w:ascii="Century Gothic" w:hAnsi="Century Gothic" w:cs="Century Gothic" w:eastAsia="Century Gothic" w:hint="default"/>
          <w:spacing w:val="-8"/>
        </w:rPr>
        <w:t> </w:t>
      </w:r>
      <w:r>
        <w:rPr/>
        <w:t>年，自</w:t>
      </w:r>
      <w:r>
        <w:rPr>
          <w:spacing w:val="-54"/>
        </w:rPr>
        <w:t> </w:t>
      </w:r>
      <w:r>
        <w:rPr>
          <w:rFonts w:ascii="Century Gothic" w:hAnsi="Century Gothic" w:cs="Century Gothic" w:eastAsia="Century Gothic" w:hint="default"/>
        </w:rPr>
        <w:t>2009</w:t>
      </w:r>
      <w:r>
        <w:rPr>
          <w:rFonts w:ascii="Century Gothic" w:hAnsi="Century Gothic" w:cs="Century Gothic" w:eastAsia="Century Gothic" w:hint="default"/>
          <w:spacing w:val="-8"/>
        </w:rPr>
        <w:t> </w:t>
      </w:r>
      <w:r>
        <w:rPr/>
        <w:t>年</w:t>
      </w:r>
      <w:r>
        <w:rPr>
          <w:spacing w:val="-54"/>
        </w:rPr>
        <w:t> </w:t>
      </w:r>
      <w:r>
        <w:rPr>
          <w:rFonts w:ascii="Century Gothic" w:hAnsi="Century Gothic" w:cs="Century Gothic" w:eastAsia="Century Gothic" w:hint="default"/>
        </w:rPr>
        <w:t>6</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日至</w:t>
      </w:r>
      <w:r>
        <w:rPr>
          <w:spacing w:val="-54"/>
        </w:rPr>
        <w:t> </w:t>
      </w:r>
      <w:r>
        <w:rPr>
          <w:rFonts w:ascii="Century Gothic" w:hAnsi="Century Gothic" w:cs="Century Gothic" w:eastAsia="Century Gothic" w:hint="default"/>
        </w:rPr>
        <w:t>2011</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5</w:t>
      </w:r>
      <w:r>
        <w:rPr>
          <w:rFonts w:ascii="Century Gothic" w:hAnsi="Century Gothic" w:cs="Century Gothic" w:eastAsia="Century Gothic" w:hint="default"/>
          <w:spacing w:val="-8"/>
        </w:rPr>
        <w:t> </w:t>
      </w:r>
      <w:r>
        <w:rPr/>
        <w:t>月</w:t>
      </w:r>
      <w:r>
        <w:rPr>
          <w:spacing w:val="-54"/>
        </w:rPr>
        <w:t> </w:t>
      </w: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t>日止。</w:t>
      </w:r>
    </w:p>
    <w:p>
      <w:pPr>
        <w:pStyle w:val="BodyText"/>
        <w:spacing w:line="336" w:lineRule="auto"/>
        <w:ind w:right="103" w:firstLine="419"/>
        <w:jc w:val="left"/>
      </w:pPr>
      <w:r>
        <w:rPr>
          <w:spacing w:val="-4"/>
          <w:w w:val="99"/>
        </w:rPr>
        <w:t>（</w:t>
      </w:r>
      <w:r>
        <w:rPr>
          <w:rFonts w:ascii="Century Gothic" w:hAnsi="Century Gothic" w:cs="Century Gothic" w:eastAsia="Century Gothic" w:hint="default"/>
          <w:spacing w:val="-4"/>
          <w:w w:val="99"/>
        </w:rPr>
        <w:t>4</w:t>
      </w:r>
      <w:r>
        <w:rPr>
          <w:spacing w:val="-4"/>
          <w:w w:val="99"/>
        </w:rPr>
        <w:t>）子公司华立仪表集团与杭州华立电力系统工程有限公司签订《房屋租赁合同》，约定将五常</w:t>
      </w:r>
      <w:r>
        <w:rPr/>
        <w:t> 华立科技园行政办公大楼面积</w:t>
      </w:r>
      <w:r>
        <w:rPr>
          <w:spacing w:val="-54"/>
        </w:rPr>
        <w:t> </w:t>
      </w:r>
      <w:r>
        <w:rPr>
          <w:rFonts w:ascii="Century Gothic" w:hAnsi="Century Gothic" w:cs="Century Gothic" w:eastAsia="Century Gothic" w:hint="default"/>
        </w:rPr>
        <w:t>507.00</w:t>
      </w:r>
      <w:r>
        <w:rPr>
          <w:rFonts w:ascii="Century Gothic" w:hAnsi="Century Gothic" w:cs="Century Gothic" w:eastAsia="Century Gothic" w:hint="default"/>
          <w:spacing w:val="-7"/>
        </w:rPr>
        <w:t> </w:t>
      </w:r>
      <w:r>
        <w:rPr>
          <w:spacing w:val="-4"/>
        </w:rPr>
        <w:t>平方米（建筑面积）的房产租赁给其使用，年租金</w:t>
      </w:r>
      <w:r>
        <w:rPr>
          <w:spacing w:val="-54"/>
        </w:rPr>
        <w:t> </w:t>
      </w:r>
      <w:r>
        <w:rPr>
          <w:rFonts w:ascii="Century Gothic" w:hAnsi="Century Gothic" w:cs="Century Gothic" w:eastAsia="Century Gothic" w:hint="default"/>
        </w:rPr>
        <w:t>481,143</w:t>
      </w:r>
      <w:r>
        <w:rPr>
          <w:rFonts w:ascii="Century Gothic" w:hAnsi="Century Gothic" w:cs="Century Gothic" w:eastAsia="Century Gothic" w:hint="default"/>
          <w:spacing w:val="-7"/>
        </w:rPr>
        <w:t> </w:t>
      </w:r>
      <w:r>
        <w:rPr/>
        <w:t>元，</w:t>
      </w:r>
    </w:p>
    <w:p>
      <w:pPr>
        <w:pStyle w:val="BodyText"/>
        <w:spacing w:line="240" w:lineRule="auto" w:before="18"/>
        <w:ind w:right="152"/>
        <w:jc w:val="left"/>
      </w:pPr>
      <w:r>
        <w:rPr/>
        <w:t>租赁期限为</w:t>
      </w:r>
      <w:r>
        <w:rPr>
          <w:spacing w:val="-54"/>
        </w:rPr>
        <w:t> </w:t>
      </w:r>
      <w:r>
        <w:rPr>
          <w:rFonts w:ascii="Century Gothic" w:hAnsi="Century Gothic" w:cs="Century Gothic" w:eastAsia="Century Gothic" w:hint="default"/>
        </w:rPr>
        <w:t>3</w:t>
      </w:r>
      <w:r>
        <w:rPr>
          <w:rFonts w:ascii="Century Gothic" w:hAnsi="Century Gothic" w:cs="Century Gothic" w:eastAsia="Century Gothic" w:hint="default"/>
          <w:spacing w:val="-7"/>
        </w:rPr>
        <w:t> </w:t>
      </w:r>
      <w:r>
        <w:rPr/>
        <w:t>年，自</w:t>
      </w:r>
      <w:r>
        <w:rPr>
          <w:spacing w:val="-54"/>
        </w:rPr>
        <w:t> </w:t>
      </w:r>
      <w:r>
        <w:rPr>
          <w:rFonts w:ascii="Century Gothic" w:hAnsi="Century Gothic" w:cs="Century Gothic" w:eastAsia="Century Gothic" w:hint="default"/>
        </w:rPr>
        <w:t>2008</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2</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8"/>
        </w:rPr>
        <w:t> </w:t>
      </w:r>
      <w:r>
        <w:rPr/>
        <w:t>日至</w:t>
      </w:r>
      <w:r>
        <w:rPr>
          <w:spacing w:val="-54"/>
        </w:rPr>
        <w:t> </w:t>
      </w:r>
      <w:r>
        <w:rPr>
          <w:rFonts w:ascii="Century Gothic" w:hAnsi="Century Gothic" w:cs="Century Gothic" w:eastAsia="Century Gothic" w:hint="default"/>
        </w:rPr>
        <w:t>2011</w:t>
      </w:r>
      <w:r>
        <w:rPr>
          <w:rFonts w:ascii="Century Gothic" w:hAnsi="Century Gothic" w:cs="Century Gothic" w:eastAsia="Century Gothic" w:hint="default"/>
          <w:spacing w:val="-8"/>
        </w:rPr>
        <w:t> </w:t>
      </w:r>
      <w:r>
        <w:rPr/>
        <w:t>年</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t>日止。</w:t>
      </w:r>
    </w:p>
    <w:p>
      <w:pPr>
        <w:pStyle w:val="BodyText"/>
        <w:spacing w:line="336" w:lineRule="auto"/>
        <w:ind w:right="213" w:firstLine="420"/>
        <w:jc w:val="both"/>
      </w:pPr>
      <w:r>
        <w:rPr>
          <w:spacing w:val="-4"/>
          <w:w w:val="99"/>
        </w:rPr>
        <w:t>（</w:t>
      </w:r>
      <w:r>
        <w:rPr>
          <w:rFonts w:ascii="Century Gothic" w:hAnsi="Century Gothic" w:cs="Century Gothic" w:eastAsia="Century Gothic" w:hint="default"/>
          <w:spacing w:val="-4"/>
          <w:w w:val="99"/>
        </w:rPr>
        <w:t>5</w:t>
      </w:r>
      <w:r>
        <w:rPr>
          <w:spacing w:val="-4"/>
          <w:w w:val="99"/>
        </w:rPr>
        <w:t>）子公司华立仪表集团与浙江华立通信集团有限公司签订《房屋租赁合同》，约定将余杭区闲</w:t>
      </w:r>
      <w:r>
        <w:rPr/>
        <w:t> 林镇联胜路</w:t>
      </w:r>
      <w:r>
        <w:rPr>
          <w:spacing w:val="-54"/>
        </w:rPr>
        <w:t> </w:t>
      </w:r>
      <w:r>
        <w:rPr>
          <w:rFonts w:ascii="Century Gothic" w:hAnsi="Century Gothic" w:cs="Century Gothic" w:eastAsia="Century Gothic" w:hint="default"/>
        </w:rPr>
        <w:t>8</w:t>
      </w:r>
      <w:r>
        <w:rPr>
          <w:rFonts w:ascii="Century Gothic" w:hAnsi="Century Gothic" w:cs="Century Gothic" w:eastAsia="Century Gothic" w:hint="default"/>
          <w:spacing w:val="-7"/>
        </w:rPr>
        <w:t> </w:t>
      </w:r>
      <w:r>
        <w:rPr/>
        <w:t>号仪表园区</w:t>
      </w:r>
      <w:r>
        <w:rPr>
          <w:spacing w:val="-54"/>
        </w:rPr>
        <w:t> </w:t>
      </w:r>
      <w:r>
        <w:rPr>
          <w:rFonts w:ascii="Century Gothic" w:hAnsi="Century Gothic" w:cs="Century Gothic" w:eastAsia="Century Gothic" w:hint="default"/>
        </w:rPr>
        <w:t>B1</w:t>
      </w:r>
      <w:r>
        <w:rPr>
          <w:rFonts w:ascii="Century Gothic" w:hAnsi="Century Gothic" w:cs="Century Gothic" w:eastAsia="Century Gothic" w:hint="default"/>
          <w:spacing w:val="-7"/>
        </w:rPr>
        <w:t> </w:t>
      </w:r>
      <w:r>
        <w:rPr/>
        <w:t>厂房一层西侧面积</w:t>
      </w:r>
      <w:r>
        <w:rPr>
          <w:spacing w:val="-54"/>
        </w:rPr>
        <w:t> </w:t>
      </w:r>
      <w:r>
        <w:rPr>
          <w:rFonts w:ascii="Century Gothic" w:hAnsi="Century Gothic" w:cs="Century Gothic" w:eastAsia="Century Gothic" w:hint="default"/>
        </w:rPr>
        <w:t>334.00</w:t>
      </w:r>
      <w:r>
        <w:rPr>
          <w:rFonts w:ascii="Century Gothic" w:hAnsi="Century Gothic" w:cs="Century Gothic" w:eastAsia="Century Gothic" w:hint="default"/>
          <w:spacing w:val="-7"/>
        </w:rPr>
        <w:t> </w:t>
      </w:r>
      <w:r>
        <w:rPr>
          <w:spacing w:val="-5"/>
        </w:rPr>
        <w:t>平方米（建筑面积）的房产租赁给其使用，年</w:t>
      </w:r>
      <w:r>
        <w:rPr/>
        <w:t> 租金</w:t>
      </w:r>
      <w:r>
        <w:rPr>
          <w:spacing w:val="-54"/>
        </w:rPr>
        <w:t> </w:t>
      </w:r>
      <w:r>
        <w:rPr>
          <w:rFonts w:ascii="Century Gothic" w:hAnsi="Century Gothic" w:cs="Century Gothic" w:eastAsia="Century Gothic" w:hint="default"/>
        </w:rPr>
        <w:t>108,900</w:t>
      </w:r>
      <w:r>
        <w:rPr>
          <w:rFonts w:ascii="Century Gothic" w:hAnsi="Century Gothic" w:cs="Century Gothic" w:eastAsia="Century Gothic" w:hint="default"/>
          <w:spacing w:val="-7"/>
        </w:rPr>
        <w:t> </w:t>
      </w:r>
      <w:r>
        <w:rPr/>
        <w:t>元，租赁期限为</w:t>
      </w:r>
      <w:r>
        <w:rPr>
          <w:spacing w:val="-54"/>
        </w:rPr>
        <w:t> </w:t>
      </w:r>
      <w:r>
        <w:rPr>
          <w:rFonts w:ascii="Century Gothic" w:hAnsi="Century Gothic" w:cs="Century Gothic" w:eastAsia="Century Gothic" w:hint="default"/>
        </w:rPr>
        <w:t>2</w:t>
      </w:r>
      <w:r>
        <w:rPr>
          <w:rFonts w:ascii="Century Gothic" w:hAnsi="Century Gothic" w:cs="Century Gothic" w:eastAsia="Century Gothic" w:hint="default"/>
          <w:spacing w:val="-7"/>
        </w:rPr>
        <w:t> </w:t>
      </w:r>
      <w:r>
        <w:rPr/>
        <w:t>年，自</w:t>
      </w:r>
      <w:r>
        <w:rPr>
          <w:spacing w:val="-54"/>
        </w:rPr>
        <w:t> </w:t>
      </w:r>
      <w:r>
        <w:rPr>
          <w:rFonts w:ascii="Century Gothic" w:hAnsi="Century Gothic" w:cs="Century Gothic" w:eastAsia="Century Gothic" w:hint="default"/>
        </w:rPr>
        <w:t>2008</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8"/>
        </w:rPr>
        <w:t> </w:t>
      </w:r>
      <w:r>
        <w:rPr/>
        <w:t>月</w:t>
      </w:r>
      <w:r>
        <w:rPr>
          <w:spacing w:val="-54"/>
        </w:rPr>
        <w:t> </w:t>
      </w:r>
      <w:r>
        <w:rPr>
          <w:rFonts w:ascii="Century Gothic" w:hAnsi="Century Gothic" w:cs="Century Gothic" w:eastAsia="Century Gothic" w:hint="default"/>
        </w:rPr>
        <w:t>21</w:t>
      </w:r>
      <w:r>
        <w:rPr>
          <w:rFonts w:ascii="Century Gothic" w:hAnsi="Century Gothic" w:cs="Century Gothic" w:eastAsia="Century Gothic" w:hint="default"/>
          <w:spacing w:val="-7"/>
        </w:rPr>
        <w:t> </w:t>
      </w:r>
      <w:r>
        <w:rPr/>
        <w:t>日至</w:t>
      </w:r>
      <w:r>
        <w:rPr>
          <w:spacing w:val="-54"/>
        </w:rPr>
        <w:t> </w:t>
      </w:r>
      <w:r>
        <w:rPr>
          <w:rFonts w:ascii="Century Gothic" w:hAnsi="Century Gothic" w:cs="Century Gothic" w:eastAsia="Century Gothic" w:hint="default"/>
        </w:rPr>
        <w:t>2010</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20</w:t>
      </w:r>
      <w:r>
        <w:rPr>
          <w:rFonts w:ascii="Century Gothic" w:hAnsi="Century Gothic" w:cs="Century Gothic" w:eastAsia="Century Gothic" w:hint="default"/>
          <w:spacing w:val="-7"/>
        </w:rPr>
        <w:t> </w:t>
      </w:r>
      <w:r>
        <w:rPr/>
        <w:t>日止。</w:t>
      </w:r>
    </w:p>
    <w:p>
      <w:pPr>
        <w:pStyle w:val="Heading4"/>
        <w:spacing w:line="240" w:lineRule="auto" w:before="19"/>
        <w:ind w:right="152"/>
        <w:jc w:val="left"/>
        <w:rPr>
          <w:rFonts w:ascii="宋体" w:hAnsi="宋体" w:cs="宋体" w:eastAsia="宋体" w:hint="default"/>
          <w:b w:val="0"/>
          <w:bCs w:val="0"/>
        </w:rPr>
      </w:pPr>
      <w:r>
        <w:rPr>
          <w:rFonts w:ascii="Century Gothic" w:hAnsi="Century Gothic" w:cs="Century Gothic" w:eastAsia="Century Gothic" w:hint="default"/>
        </w:rPr>
        <w:t>5. </w:t>
      </w:r>
      <w:r>
        <w:rPr>
          <w:rFonts w:ascii="Century Gothic" w:hAnsi="Century Gothic" w:cs="Century Gothic" w:eastAsia="Century Gothic" w:hint="default"/>
          <w:spacing w:val="36"/>
        </w:rPr>
        <w:t> </w:t>
      </w:r>
      <w:r>
        <w:rPr>
          <w:rFonts w:ascii="宋体" w:hAnsi="宋体" w:cs="宋体" w:eastAsia="宋体" w:hint="default"/>
        </w:rPr>
        <w:t>关联担保情况</w:t>
      </w:r>
      <w:r>
        <w:rPr>
          <w:rFonts w:ascii="宋体" w:hAnsi="宋体" w:cs="宋体" w:eastAsia="宋体" w:hint="default"/>
          <w:b w:val="0"/>
          <w:bCs w:val="0"/>
        </w:rPr>
      </w:r>
    </w:p>
    <w:p>
      <w:pPr>
        <w:pStyle w:val="BodyText"/>
        <w:spacing w:line="336" w:lineRule="auto"/>
        <w:ind w:left="558" w:right="1608"/>
        <w:jc w:val="left"/>
      </w:pPr>
      <w:r>
        <w:rPr>
          <w:rFonts w:ascii="Century Gothic" w:hAnsi="Century Gothic" w:cs="Century Gothic" w:eastAsia="Century Gothic" w:hint="default"/>
        </w:rPr>
        <w:t>A</w:t>
      </w:r>
      <w:r>
        <w:rPr/>
        <w:t>、接受担保 </w:t>
      </w:r>
      <w:r>
        <w:rPr>
          <w:rFonts w:ascii="Century Gothic" w:hAnsi="Century Gothic" w:cs="Century Gothic" w:eastAsia="Century Gothic" w:hint="default"/>
          <w:spacing w:val="-3"/>
          <w:w w:val="99"/>
        </w:rPr>
        <w:t>1</w:t>
      </w:r>
      <w:r>
        <w:rPr>
          <w:spacing w:val="-3"/>
          <w:w w:val="99"/>
        </w:rPr>
        <w:t>、华方医药科技有限公司（以下简称“华方科技”）为公司及子公司担保如下：</w:t>
      </w:r>
    </w:p>
    <w:p>
      <w:pPr>
        <w:pStyle w:val="BodyText"/>
        <w:spacing w:line="240" w:lineRule="auto" w:before="17"/>
        <w:ind w:left="558" w:right="80"/>
        <w:jc w:val="left"/>
      </w:pPr>
      <w:r>
        <w:rPr/>
        <w:t>（</w:t>
      </w:r>
      <w:r>
        <w:rPr>
          <w:rFonts w:ascii="Century Gothic" w:hAnsi="Century Gothic" w:cs="Century Gothic" w:eastAsia="Century Gothic" w:hint="default"/>
        </w:rPr>
        <w:t>1</w:t>
      </w:r>
      <w:r>
        <w:rPr/>
        <w:t>）为公司在中国银行股份有限公司重庆市分行提供金额不超过</w:t>
      </w:r>
      <w:r>
        <w:rPr>
          <w:spacing w:val="-81"/>
        </w:rPr>
        <w:t> </w:t>
      </w:r>
      <w:r>
        <w:rPr>
          <w:rFonts w:ascii="Century Gothic" w:hAnsi="Century Gothic" w:cs="Century Gothic" w:eastAsia="Century Gothic" w:hint="default"/>
        </w:rPr>
        <w:t>20,000.00</w:t>
      </w:r>
      <w:r>
        <w:rPr>
          <w:rFonts w:ascii="Century Gothic" w:hAnsi="Century Gothic" w:cs="Century Gothic" w:eastAsia="Century Gothic" w:hint="default"/>
          <w:spacing w:val="-34"/>
        </w:rPr>
        <w:t> </w:t>
      </w:r>
      <w:r>
        <w:rPr/>
        <w:t>万元的最高额保证。</w:t>
      </w:r>
    </w:p>
    <w:p>
      <w:pPr>
        <w:pStyle w:val="BodyText"/>
        <w:spacing w:line="336" w:lineRule="auto" w:before="119"/>
        <w:ind w:right="152"/>
        <w:jc w:val="left"/>
      </w:pPr>
      <w:r>
        <w:rPr/>
        <w:t>截至</w:t>
      </w:r>
      <w:r>
        <w:rPr>
          <w:spacing w:val="-53"/>
        </w:rPr>
        <w:t> </w:t>
      </w:r>
      <w:r>
        <w:rPr>
          <w:rFonts w:ascii="Century Gothic" w:hAnsi="Century Gothic" w:cs="Century Gothic" w:eastAsia="Century Gothic" w:hint="default"/>
        </w:rPr>
        <w:t>2009</w:t>
      </w:r>
      <w:r>
        <w:rPr>
          <w:rFonts w:ascii="Century Gothic" w:hAnsi="Century Gothic" w:cs="Century Gothic" w:eastAsia="Century Gothic" w:hint="default"/>
          <w:spacing w:val="-7"/>
        </w:rPr>
        <w:t> </w:t>
      </w:r>
      <w:r>
        <w:rPr/>
        <w:t>年</w:t>
      </w:r>
      <w:r>
        <w:rPr>
          <w:spacing w:val="-53"/>
        </w:rPr>
        <w:t> </w:t>
      </w:r>
      <w:r>
        <w:rPr>
          <w:rFonts w:ascii="Century Gothic" w:hAnsi="Century Gothic" w:cs="Century Gothic" w:eastAsia="Century Gothic" w:hint="default"/>
        </w:rPr>
        <w:t>12</w:t>
      </w:r>
      <w:r>
        <w:rPr>
          <w:rFonts w:ascii="Century Gothic" w:hAnsi="Century Gothic" w:cs="Century Gothic" w:eastAsia="Century Gothic" w:hint="default"/>
          <w:spacing w:val="-6"/>
        </w:rPr>
        <w:t> </w:t>
      </w:r>
      <w:r>
        <w:rPr/>
        <w:t>月</w:t>
      </w:r>
      <w:r>
        <w:rPr>
          <w:spacing w:val="-53"/>
        </w:rPr>
        <w:t> </w:t>
      </w: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spacing w:val="-4"/>
        </w:rPr>
        <w:t>日，公司在该项保证协议下取得借款</w:t>
      </w:r>
      <w:r>
        <w:rPr>
          <w:spacing w:val="-53"/>
        </w:rPr>
        <w:t> </w:t>
      </w:r>
      <w:r>
        <w:rPr>
          <w:rFonts w:ascii="Century Gothic" w:hAnsi="Century Gothic" w:cs="Century Gothic" w:eastAsia="Century Gothic" w:hint="default"/>
        </w:rPr>
        <w:t>12,900.00</w:t>
      </w:r>
      <w:r>
        <w:rPr>
          <w:rFonts w:ascii="Century Gothic" w:hAnsi="Century Gothic" w:cs="Century Gothic" w:eastAsia="Century Gothic" w:hint="default"/>
          <w:spacing w:val="-6"/>
        </w:rPr>
        <w:t> </w:t>
      </w:r>
      <w:r>
        <w:rPr>
          <w:spacing w:val="-11"/>
        </w:rPr>
        <w:t>万元。其中</w:t>
      </w:r>
      <w:r>
        <w:rPr>
          <w:spacing w:val="-53"/>
        </w:rPr>
        <w:t> </w:t>
      </w:r>
      <w:r>
        <w:rPr>
          <w:rFonts w:ascii="Century Gothic" w:hAnsi="Century Gothic" w:cs="Century Gothic" w:eastAsia="Century Gothic" w:hint="default"/>
        </w:rPr>
        <w:t>3,000.00</w:t>
      </w:r>
      <w:r>
        <w:rPr>
          <w:rFonts w:ascii="Century Gothic" w:hAnsi="Century Gothic" w:cs="Century Gothic" w:eastAsia="Century Gothic" w:hint="default"/>
          <w:spacing w:val="-6"/>
        </w:rPr>
        <w:t> </w:t>
      </w:r>
      <w:r>
        <w:rPr/>
        <w:t>万元借款 同时以公司及子公司的房屋建筑物连同土地使用权提供抵押。</w:t>
      </w:r>
    </w:p>
    <w:p>
      <w:pPr>
        <w:pStyle w:val="BodyText"/>
        <w:spacing w:line="240" w:lineRule="auto" w:before="50"/>
        <w:ind w:left="558" w:right="152"/>
        <w:jc w:val="left"/>
      </w:pPr>
      <w:r>
        <w:rPr/>
        <w:t>（</w:t>
      </w:r>
      <w:r>
        <w:rPr>
          <w:rFonts w:ascii="Century Gothic" w:hAnsi="Century Gothic" w:cs="Century Gothic" w:eastAsia="Century Gothic" w:hint="default"/>
        </w:rPr>
        <w:t>2</w:t>
      </w:r>
      <w:r>
        <w:rPr/>
        <w:t>）为子公司华立仪表集团提供担保如下：</w:t>
      </w:r>
    </w:p>
    <w:p>
      <w:pPr>
        <w:pStyle w:val="BodyText"/>
        <w:spacing w:line="240" w:lineRule="auto"/>
        <w:ind w:left="558" w:right="152"/>
        <w:jc w:val="left"/>
      </w:pPr>
      <w:r>
        <w:rPr/>
        <w:t>①为华立仪表集团在中国银行股份有限公司浙江省分行提供金额不超过</w:t>
      </w:r>
      <w:r>
        <w:rPr>
          <w:spacing w:val="-75"/>
        </w:rPr>
        <w:t> </w:t>
      </w:r>
      <w:r>
        <w:rPr>
          <w:rFonts w:ascii="Century Gothic" w:hAnsi="Century Gothic" w:cs="Century Gothic" w:eastAsia="Century Gothic" w:hint="default"/>
        </w:rPr>
        <w:t>20,000.00</w:t>
      </w:r>
      <w:r>
        <w:rPr>
          <w:rFonts w:ascii="Century Gothic" w:hAnsi="Century Gothic" w:cs="Century Gothic" w:eastAsia="Century Gothic" w:hint="default"/>
          <w:spacing w:val="-28"/>
        </w:rPr>
        <w:t> </w:t>
      </w:r>
      <w:r>
        <w:rPr/>
        <w:t>万元的最高额</w:t>
      </w:r>
    </w:p>
    <w:p>
      <w:pPr>
        <w:pStyle w:val="BodyText"/>
        <w:spacing w:line="240" w:lineRule="auto" w:before="119"/>
        <w:ind w:right="152"/>
        <w:jc w:val="left"/>
      </w:pPr>
      <w:r>
        <w:rPr/>
        <w:t>保证。截至</w:t>
      </w:r>
      <w:r>
        <w:rPr>
          <w:spacing w:val="-57"/>
        </w:rPr>
        <w:t> </w:t>
      </w:r>
      <w:r>
        <w:rPr>
          <w:rFonts w:ascii="Century Gothic" w:hAnsi="Century Gothic" w:cs="Century Gothic" w:eastAsia="Century Gothic" w:hint="default"/>
        </w:rPr>
        <w:t>2009</w:t>
      </w:r>
      <w:r>
        <w:rPr>
          <w:rFonts w:ascii="Century Gothic" w:hAnsi="Century Gothic" w:cs="Century Gothic" w:eastAsia="Century Gothic" w:hint="default"/>
          <w:spacing w:val="-10"/>
        </w:rPr>
        <w:t> </w:t>
      </w:r>
      <w:r>
        <w:rPr/>
        <w:t>年</w:t>
      </w:r>
      <w:r>
        <w:rPr>
          <w:spacing w:val="-57"/>
        </w:rPr>
        <w:t> </w:t>
      </w:r>
      <w:r>
        <w:rPr>
          <w:rFonts w:ascii="Century Gothic" w:hAnsi="Century Gothic" w:cs="Century Gothic" w:eastAsia="Century Gothic" w:hint="default"/>
        </w:rPr>
        <w:t>12</w:t>
      </w:r>
      <w:r>
        <w:rPr>
          <w:rFonts w:ascii="Century Gothic" w:hAnsi="Century Gothic" w:cs="Century Gothic" w:eastAsia="Century Gothic" w:hint="default"/>
          <w:spacing w:val="-10"/>
        </w:rPr>
        <w:t> </w:t>
      </w:r>
      <w:r>
        <w:rPr/>
        <w:t>月</w:t>
      </w:r>
      <w:r>
        <w:rPr>
          <w:spacing w:val="-58"/>
        </w:rPr>
        <w:t> </w:t>
      </w:r>
      <w:r>
        <w:rPr>
          <w:rFonts w:ascii="Century Gothic" w:hAnsi="Century Gothic" w:cs="Century Gothic" w:eastAsia="Century Gothic" w:hint="default"/>
        </w:rPr>
        <w:t>31</w:t>
      </w:r>
      <w:r>
        <w:rPr>
          <w:rFonts w:ascii="Century Gothic" w:hAnsi="Century Gothic" w:cs="Century Gothic" w:eastAsia="Century Gothic" w:hint="default"/>
          <w:spacing w:val="-10"/>
        </w:rPr>
        <w:t> </w:t>
      </w:r>
      <w:r>
        <w:rPr/>
        <w:t>日，华立仪表集团在该项保证协议下取得借款</w:t>
      </w:r>
      <w:r>
        <w:rPr>
          <w:spacing w:val="-57"/>
        </w:rPr>
        <w:t> </w:t>
      </w:r>
      <w:r>
        <w:rPr>
          <w:rFonts w:ascii="Century Gothic" w:hAnsi="Century Gothic" w:cs="Century Gothic" w:eastAsia="Century Gothic" w:hint="default"/>
        </w:rPr>
        <w:t>14,000.00</w:t>
      </w:r>
      <w:r>
        <w:rPr>
          <w:rFonts w:ascii="Century Gothic" w:hAnsi="Century Gothic" w:cs="Century Gothic" w:eastAsia="Century Gothic" w:hint="default"/>
          <w:spacing w:val="-10"/>
        </w:rPr>
        <w:t> </w:t>
      </w:r>
      <w:r>
        <w:rPr/>
        <w:t>万元，办理银</w:t>
      </w:r>
    </w:p>
    <w:p>
      <w:pPr>
        <w:pStyle w:val="BodyText"/>
        <w:spacing w:line="240" w:lineRule="auto"/>
        <w:ind w:right="152"/>
        <w:jc w:val="left"/>
      </w:pPr>
      <w:r>
        <w:rPr/>
        <w:t>行承兑汇票</w:t>
      </w:r>
      <w:r>
        <w:rPr>
          <w:spacing w:val="-56"/>
        </w:rPr>
        <w:t> </w:t>
      </w:r>
      <w:r>
        <w:rPr>
          <w:rFonts w:ascii="Century Gothic" w:hAnsi="Century Gothic" w:cs="Century Gothic" w:eastAsia="Century Gothic" w:hint="default"/>
        </w:rPr>
        <w:t>2,067.40</w:t>
      </w:r>
      <w:r>
        <w:rPr>
          <w:rFonts w:ascii="Century Gothic" w:hAnsi="Century Gothic" w:cs="Century Gothic" w:eastAsia="Century Gothic" w:hint="default"/>
          <w:spacing w:val="-9"/>
        </w:rPr>
        <w:t> </w:t>
      </w:r>
      <w:r>
        <w:rPr/>
        <w:t>万元。</w:t>
      </w:r>
    </w:p>
    <w:p>
      <w:pPr>
        <w:pStyle w:val="BodyText"/>
        <w:spacing w:line="240" w:lineRule="auto"/>
        <w:ind w:left="558" w:right="152"/>
        <w:jc w:val="left"/>
      </w:pPr>
      <w:r>
        <w:rPr/>
        <w:t>②为华立仪表集团在中国工商银行众安支行借款</w:t>
      </w:r>
      <w:r>
        <w:rPr>
          <w:spacing w:val="-58"/>
        </w:rPr>
        <w:t> </w:t>
      </w:r>
      <w:r>
        <w:rPr>
          <w:rFonts w:ascii="Century Gothic" w:hAnsi="Century Gothic" w:cs="Century Gothic" w:eastAsia="Century Gothic" w:hint="default"/>
        </w:rPr>
        <w:t>4,000.00</w:t>
      </w:r>
      <w:r>
        <w:rPr>
          <w:rFonts w:ascii="Century Gothic" w:hAnsi="Century Gothic" w:cs="Century Gothic" w:eastAsia="Century Gothic" w:hint="default"/>
          <w:spacing w:val="-10"/>
        </w:rPr>
        <w:t> </w:t>
      </w:r>
      <w:r>
        <w:rPr/>
        <w:t>万元提供连带保证担保。</w:t>
      </w:r>
    </w:p>
    <w:p>
      <w:pPr>
        <w:pStyle w:val="BodyText"/>
        <w:spacing w:line="240" w:lineRule="auto"/>
        <w:ind w:left="558" w:right="152"/>
        <w:jc w:val="left"/>
      </w:pPr>
      <w:r>
        <w:rPr/>
        <w:t>③为华立仪表集团在中国民生银行杭州分行借款</w:t>
      </w:r>
      <w:r>
        <w:rPr>
          <w:spacing w:val="-56"/>
        </w:rPr>
        <w:t> </w:t>
      </w:r>
      <w:r>
        <w:rPr>
          <w:rFonts w:ascii="Century Gothic" w:hAnsi="Century Gothic" w:cs="Century Gothic" w:eastAsia="Century Gothic" w:hint="default"/>
        </w:rPr>
        <w:t>1,000.00</w:t>
      </w:r>
      <w:r>
        <w:rPr>
          <w:rFonts w:ascii="Century Gothic" w:hAnsi="Century Gothic" w:cs="Century Gothic" w:eastAsia="Century Gothic" w:hint="default"/>
          <w:spacing w:val="-8"/>
        </w:rPr>
        <w:t> </w:t>
      </w:r>
      <w:r>
        <w:rPr/>
        <w:t>万元，办理银行承兑汇票</w:t>
      </w:r>
      <w:r>
        <w:rPr>
          <w:spacing w:val="-56"/>
        </w:rPr>
        <w:t> </w:t>
      </w:r>
      <w:r>
        <w:rPr>
          <w:rFonts w:ascii="Century Gothic" w:hAnsi="Century Gothic" w:cs="Century Gothic" w:eastAsia="Century Gothic" w:hint="default"/>
        </w:rPr>
        <w:t>7,185.00</w:t>
      </w:r>
      <w:r>
        <w:rPr>
          <w:rFonts w:ascii="Century Gothic" w:hAnsi="Century Gothic" w:cs="Century Gothic" w:eastAsia="Century Gothic" w:hint="default"/>
          <w:spacing w:val="-8"/>
        </w:rPr>
        <w:t> </w:t>
      </w:r>
      <w:r>
        <w:rPr/>
        <w:t>万</w:t>
      </w:r>
    </w:p>
    <w:p>
      <w:pPr>
        <w:pStyle w:val="BodyText"/>
        <w:spacing w:line="336" w:lineRule="auto" w:before="119"/>
        <w:ind w:right="201"/>
        <w:jc w:val="left"/>
      </w:pPr>
      <w:r>
        <w:rPr/>
        <w:t>元提供连带责任担保。其中，华立仪表集团同时以定期存单 </w:t>
      </w:r>
      <w:r>
        <w:rPr>
          <w:rFonts w:ascii="Century Gothic" w:hAnsi="Century Gothic" w:cs="Century Gothic" w:eastAsia="Century Gothic" w:hint="default"/>
        </w:rPr>
        <w:t>3,233.25</w:t>
      </w:r>
      <w:r>
        <w:rPr>
          <w:rFonts w:ascii="Century Gothic" w:hAnsi="Century Gothic" w:cs="Century Gothic" w:eastAsia="Century Gothic" w:hint="default"/>
          <w:spacing w:val="17"/>
        </w:rPr>
        <w:t> </w:t>
      </w:r>
      <w:r>
        <w:rPr/>
        <w:t>万元为办理银行承兑汇票提供 了质押担保。</w:t>
      </w:r>
    </w:p>
    <w:p>
      <w:pPr>
        <w:pStyle w:val="BodyText"/>
        <w:spacing w:line="240" w:lineRule="auto" w:before="50"/>
        <w:ind w:left="558" w:right="152"/>
        <w:jc w:val="left"/>
      </w:pPr>
      <w:r>
        <w:rPr/>
        <w:t>④为华立仪表集团在深圳发展银行杭州武林支行综合授信 </w:t>
      </w:r>
      <w:r>
        <w:rPr>
          <w:rFonts w:ascii="Century Gothic" w:hAnsi="Century Gothic" w:cs="Century Gothic" w:eastAsia="Century Gothic" w:hint="default"/>
        </w:rPr>
        <w:t>3,000.00</w:t>
      </w:r>
      <w:r>
        <w:rPr>
          <w:rFonts w:ascii="Century Gothic" w:hAnsi="Century Gothic" w:cs="Century Gothic" w:eastAsia="Century Gothic" w:hint="default"/>
          <w:spacing w:val="16"/>
        </w:rPr>
        <w:t> </w:t>
      </w:r>
      <w:r>
        <w:rPr/>
        <w:t>万元提供连带责任担保，截</w:t>
      </w:r>
    </w:p>
    <w:p>
      <w:pPr>
        <w:pStyle w:val="BodyText"/>
        <w:spacing w:line="240" w:lineRule="auto"/>
        <w:ind w:right="152"/>
        <w:jc w:val="left"/>
      </w:pPr>
      <w:r>
        <w:rPr/>
        <w:t>至</w:t>
      </w:r>
      <w:r>
        <w:rPr>
          <w:spacing w:val="-55"/>
        </w:rPr>
        <w:t> </w:t>
      </w:r>
      <w:r>
        <w:rPr>
          <w:rFonts w:ascii="Century Gothic" w:hAnsi="Century Gothic" w:cs="Century Gothic" w:eastAsia="Century Gothic" w:hint="default"/>
        </w:rPr>
        <w:t>2009</w:t>
      </w:r>
      <w:r>
        <w:rPr>
          <w:rFonts w:ascii="Century Gothic" w:hAnsi="Century Gothic" w:cs="Century Gothic" w:eastAsia="Century Gothic" w:hint="default"/>
          <w:spacing w:val="-8"/>
        </w:rPr>
        <w:t> </w:t>
      </w:r>
      <w:r>
        <w:rPr/>
        <w:t>年</w:t>
      </w:r>
      <w:r>
        <w:rPr>
          <w:spacing w:val="-55"/>
        </w:rPr>
        <w:t> </w:t>
      </w:r>
      <w:r>
        <w:rPr>
          <w:rFonts w:ascii="Century Gothic" w:hAnsi="Century Gothic" w:cs="Century Gothic" w:eastAsia="Century Gothic" w:hint="default"/>
        </w:rPr>
        <w:t>12</w:t>
      </w:r>
      <w:r>
        <w:rPr>
          <w:rFonts w:ascii="Century Gothic" w:hAnsi="Century Gothic" w:cs="Century Gothic" w:eastAsia="Century Gothic" w:hint="default"/>
          <w:spacing w:val="-8"/>
        </w:rPr>
        <w:t> </w:t>
      </w:r>
      <w:r>
        <w:rPr/>
        <w:t>月</w:t>
      </w:r>
      <w:r>
        <w:rPr>
          <w:spacing w:val="-55"/>
        </w:rPr>
        <w:t> </w:t>
      </w:r>
      <w:r>
        <w:rPr>
          <w:rFonts w:ascii="Century Gothic" w:hAnsi="Century Gothic" w:cs="Century Gothic" w:eastAsia="Century Gothic" w:hint="default"/>
        </w:rPr>
        <w:t>31</w:t>
      </w:r>
      <w:r>
        <w:rPr>
          <w:rFonts w:ascii="Century Gothic" w:hAnsi="Century Gothic" w:cs="Century Gothic" w:eastAsia="Century Gothic" w:hint="default"/>
          <w:spacing w:val="-8"/>
        </w:rPr>
        <w:t> </w:t>
      </w:r>
      <w:r>
        <w:rPr/>
        <w:t>日，华立仪表集团在该项保证协议下取得借款</w:t>
      </w:r>
      <w:r>
        <w:rPr>
          <w:spacing w:val="-55"/>
        </w:rPr>
        <w:t> </w:t>
      </w:r>
      <w:r>
        <w:rPr>
          <w:rFonts w:ascii="Century Gothic" w:hAnsi="Century Gothic" w:cs="Century Gothic" w:eastAsia="Century Gothic" w:hint="default"/>
        </w:rPr>
        <w:t>2,000.00</w:t>
      </w:r>
      <w:r>
        <w:rPr>
          <w:rFonts w:ascii="Century Gothic" w:hAnsi="Century Gothic" w:cs="Century Gothic" w:eastAsia="Century Gothic" w:hint="default"/>
          <w:spacing w:val="-8"/>
        </w:rPr>
        <w:t> </w:t>
      </w:r>
      <w:r>
        <w:rPr/>
        <w:t>万元。</w:t>
      </w:r>
    </w:p>
    <w:p>
      <w:pPr>
        <w:pStyle w:val="BodyText"/>
        <w:spacing w:line="240" w:lineRule="auto" w:before="119"/>
        <w:ind w:left="558" w:right="152"/>
        <w:jc w:val="left"/>
      </w:pPr>
      <w:r>
        <w:rPr>
          <w:rFonts w:ascii="Century Gothic" w:hAnsi="Century Gothic" w:cs="Century Gothic" w:eastAsia="Century Gothic" w:hint="default"/>
        </w:rPr>
        <w:t>B</w:t>
      </w:r>
      <w:r>
        <w:rPr/>
        <w:t>、提供担保</w:t>
      </w:r>
    </w:p>
    <w:p>
      <w:pPr>
        <w:pStyle w:val="BodyText"/>
        <w:spacing w:line="240" w:lineRule="auto"/>
        <w:ind w:left="558" w:right="152"/>
        <w:jc w:val="left"/>
      </w:pPr>
      <w:r>
        <w:rPr>
          <w:rFonts w:ascii="Century Gothic" w:hAnsi="Century Gothic" w:cs="Century Gothic" w:eastAsia="Century Gothic" w:hint="default"/>
        </w:rPr>
        <w:t>1</w:t>
      </w:r>
      <w:r>
        <w:rPr/>
        <w:t>、子公司华立仪表集团为华方科技在招商银行杭州解放支行提供最高额为 </w:t>
      </w:r>
      <w:r>
        <w:rPr>
          <w:rFonts w:ascii="Century Gothic" w:hAnsi="Century Gothic" w:cs="Century Gothic" w:eastAsia="Century Gothic" w:hint="default"/>
        </w:rPr>
        <w:t>12,000.00</w:t>
      </w:r>
      <w:r>
        <w:rPr>
          <w:rFonts w:ascii="Century Gothic" w:hAnsi="Century Gothic" w:cs="Century Gothic" w:eastAsia="Century Gothic" w:hint="default"/>
          <w:spacing w:val="-8"/>
        </w:rPr>
        <w:t> </w:t>
      </w:r>
      <w:r>
        <w:rPr/>
        <w:t>万元的连</w:t>
      </w:r>
    </w:p>
    <w:p>
      <w:pPr>
        <w:pStyle w:val="BodyText"/>
        <w:spacing w:line="240" w:lineRule="auto"/>
        <w:ind w:right="152"/>
        <w:jc w:val="left"/>
        <w:rPr>
          <w:rFonts w:ascii="Century Gothic" w:hAnsi="Century Gothic" w:cs="Century Gothic" w:eastAsia="Century Gothic" w:hint="default"/>
        </w:rPr>
      </w:pPr>
      <w:r>
        <w:rPr/>
        <w:t>带责任保证担保，截至</w:t>
      </w:r>
      <w:r>
        <w:rPr>
          <w:spacing w:val="-51"/>
        </w:rPr>
        <w:t> </w:t>
      </w:r>
      <w:r>
        <w:rPr>
          <w:rFonts w:ascii="Century Gothic" w:hAnsi="Century Gothic" w:cs="Century Gothic" w:eastAsia="Century Gothic" w:hint="default"/>
        </w:rPr>
        <w:t>2009</w:t>
      </w:r>
      <w:r>
        <w:rPr>
          <w:rFonts w:ascii="Century Gothic" w:hAnsi="Century Gothic" w:cs="Century Gothic" w:eastAsia="Century Gothic" w:hint="default"/>
          <w:spacing w:val="-4"/>
        </w:rPr>
        <w:t> </w:t>
      </w:r>
      <w:r>
        <w:rPr/>
        <w:t>年</w:t>
      </w:r>
      <w:r>
        <w:rPr>
          <w:spacing w:val="-51"/>
        </w:rPr>
        <w:t> </w:t>
      </w:r>
      <w:r>
        <w:rPr>
          <w:rFonts w:ascii="Century Gothic" w:hAnsi="Century Gothic" w:cs="Century Gothic" w:eastAsia="Century Gothic" w:hint="default"/>
        </w:rPr>
        <w:t>12</w:t>
      </w:r>
      <w:r>
        <w:rPr>
          <w:rFonts w:ascii="Century Gothic" w:hAnsi="Century Gothic" w:cs="Century Gothic" w:eastAsia="Century Gothic" w:hint="default"/>
          <w:spacing w:val="-3"/>
        </w:rPr>
        <w:t> </w:t>
      </w:r>
      <w:r>
        <w:rPr/>
        <w:t>月</w:t>
      </w:r>
      <w:r>
        <w:rPr>
          <w:spacing w:val="-51"/>
        </w:rPr>
        <w:t> </w:t>
      </w:r>
      <w:r>
        <w:rPr>
          <w:rFonts w:ascii="Century Gothic" w:hAnsi="Century Gothic" w:cs="Century Gothic" w:eastAsia="Century Gothic" w:hint="default"/>
        </w:rPr>
        <w:t>31</w:t>
      </w:r>
      <w:r>
        <w:rPr>
          <w:rFonts w:ascii="Century Gothic" w:hAnsi="Century Gothic" w:cs="Century Gothic" w:eastAsia="Century Gothic" w:hint="default"/>
          <w:spacing w:val="-4"/>
        </w:rPr>
        <w:t> </w:t>
      </w:r>
      <w:r>
        <w:rPr/>
        <w:t>日，华立产业集团有限公司在此保证合同下借款</w:t>
      </w:r>
      <w:r>
        <w:rPr>
          <w:spacing w:val="-51"/>
        </w:rPr>
        <w:t> </w:t>
      </w:r>
      <w:r>
        <w:rPr>
          <w:rFonts w:ascii="Century Gothic" w:hAnsi="Century Gothic" w:cs="Century Gothic" w:eastAsia="Century Gothic" w:hint="default"/>
        </w:rPr>
        <w:t>12,000.00</w:t>
      </w:r>
    </w:p>
    <w:p>
      <w:pPr>
        <w:spacing w:line="240" w:lineRule="auto" w:before="7"/>
        <w:rPr>
          <w:rFonts w:ascii="Century Gothic" w:hAnsi="Century Gothic" w:cs="Century Gothic" w:eastAsia="Century Gothic" w:hint="default"/>
          <w:sz w:val="25"/>
          <w:szCs w:val="25"/>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96</w:t>
      </w:r>
    </w:p>
    <w:p>
      <w:pPr>
        <w:spacing w:after="0"/>
        <w:jc w:val="center"/>
        <w:rPr>
          <w:rFonts w:ascii="Times New Roman" w:hAnsi="Times New Roman" w:cs="Times New Roman" w:eastAsia="Times New Roman" w:hint="default"/>
          <w:sz w:val="18"/>
          <w:szCs w:val="18"/>
        </w:rPr>
        <w:sectPr>
          <w:pgSz w:w="11910" w:h="16840"/>
          <w:pgMar w:top="780" w:bottom="280" w:left="1160" w:right="1200"/>
        </w:sectPr>
      </w:pPr>
    </w:p>
    <w:p>
      <w:pPr>
        <w:spacing w:line="240" w:lineRule="auto" w:before="6"/>
        <w:rPr>
          <w:rFonts w:ascii="Times New Roman" w:hAnsi="Times New Roman" w:cs="Times New Roman" w:eastAsia="Times New Roman" w:hint="default"/>
          <w:sz w:val="23"/>
          <w:szCs w:val="23"/>
        </w:rPr>
      </w:pPr>
    </w:p>
    <w:p>
      <w:pPr>
        <w:pStyle w:val="Heading4"/>
        <w:tabs>
          <w:tab w:pos="7366" w:val="left" w:leader="none"/>
        </w:tabs>
        <w:spacing w:line="240" w:lineRule="auto"/>
        <w:ind w:left="3634" w:right="0"/>
        <w:jc w:val="left"/>
        <w:rPr>
          <w:b w:val="0"/>
          <w:bCs w:val="0"/>
        </w:rPr>
      </w:pPr>
      <w:r>
        <w:rPr/>
        <w:pict>
          <v:shape style="position:absolute;margin-left:70.860001pt;margin-top:-9.926001pt;width:84.0pt;height:23.94pt;mso-position-horizontal-relative:page;mso-position-vertical-relative:paragraph;z-index:6400"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2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0"/>
        <w:ind w:left="158" w:right="0"/>
        <w:jc w:val="left"/>
      </w:pPr>
      <w:r>
        <w:rPr/>
        <w:t>万元。</w:t>
      </w:r>
    </w:p>
    <w:p>
      <w:pPr>
        <w:pStyle w:val="BodyText"/>
        <w:spacing w:line="240" w:lineRule="auto" w:before="134"/>
        <w:ind w:left="578" w:right="0"/>
        <w:jc w:val="left"/>
      </w:pPr>
      <w:r>
        <w:rPr>
          <w:rFonts w:ascii="Century Gothic" w:hAnsi="Century Gothic" w:cs="Century Gothic" w:eastAsia="Century Gothic" w:hint="default"/>
        </w:rPr>
        <w:t>2</w:t>
      </w:r>
      <w:r>
        <w:rPr/>
        <w:t>、公司为控股子公司华立仪表集团提供担保如下：</w:t>
      </w:r>
    </w:p>
    <w:p>
      <w:pPr>
        <w:pStyle w:val="BodyText"/>
        <w:spacing w:line="240" w:lineRule="auto"/>
        <w:ind w:left="578" w:right="0"/>
        <w:jc w:val="left"/>
      </w:pPr>
      <w:r>
        <w:rPr/>
        <w:t>（</w:t>
      </w:r>
      <w:r>
        <w:rPr>
          <w:rFonts w:ascii="Century Gothic" w:hAnsi="Century Gothic" w:cs="Century Gothic" w:eastAsia="Century Gothic" w:hint="default"/>
        </w:rPr>
        <w:t>1</w:t>
      </w:r>
      <w:r>
        <w:rPr/>
        <w:t>）为华立仪表集团在中国工商银行杭州西园支行提供最高额为 </w:t>
      </w:r>
      <w:r>
        <w:rPr>
          <w:rFonts w:ascii="Century Gothic" w:hAnsi="Century Gothic" w:cs="Century Gothic" w:eastAsia="Century Gothic" w:hint="default"/>
        </w:rPr>
        <w:t>15,000.00</w:t>
      </w:r>
      <w:r>
        <w:rPr>
          <w:rFonts w:ascii="Century Gothic" w:hAnsi="Century Gothic" w:cs="Century Gothic" w:eastAsia="Century Gothic" w:hint="default"/>
          <w:spacing w:val="-10"/>
        </w:rPr>
        <w:t> </w:t>
      </w:r>
      <w:r>
        <w:rPr/>
        <w:t>万元的连带责任保</w:t>
      </w:r>
    </w:p>
    <w:p>
      <w:pPr>
        <w:pStyle w:val="BodyText"/>
        <w:spacing w:line="336" w:lineRule="auto" w:before="119"/>
        <w:ind w:left="158" w:right="0" w:hanging="1"/>
        <w:jc w:val="left"/>
      </w:pPr>
      <w:r>
        <w:rPr/>
        <w:t>证担保，截至</w:t>
      </w:r>
      <w:r>
        <w:rPr>
          <w:spacing w:val="-43"/>
        </w:rPr>
        <w:t> </w:t>
      </w:r>
      <w:r>
        <w:rPr>
          <w:rFonts w:ascii="Century Gothic" w:hAnsi="Century Gothic" w:cs="Century Gothic" w:eastAsia="Century Gothic" w:hint="default"/>
        </w:rPr>
        <w:t>2009</w:t>
      </w:r>
      <w:r>
        <w:rPr>
          <w:rFonts w:ascii="Century Gothic" w:hAnsi="Century Gothic" w:cs="Century Gothic" w:eastAsia="Century Gothic" w:hint="default"/>
          <w:spacing w:val="4"/>
        </w:rPr>
        <w:t> </w:t>
      </w:r>
      <w:r>
        <w:rPr/>
        <w:t>年</w:t>
      </w:r>
      <w:r>
        <w:rPr>
          <w:spacing w:val="-43"/>
        </w:rPr>
        <w:t> </w:t>
      </w:r>
      <w:r>
        <w:rPr>
          <w:rFonts w:ascii="Century Gothic" w:hAnsi="Century Gothic" w:cs="Century Gothic" w:eastAsia="Century Gothic" w:hint="default"/>
        </w:rPr>
        <w:t>12</w:t>
      </w:r>
      <w:r>
        <w:rPr>
          <w:rFonts w:ascii="Century Gothic" w:hAnsi="Century Gothic" w:cs="Century Gothic" w:eastAsia="Century Gothic" w:hint="default"/>
          <w:spacing w:val="4"/>
        </w:rPr>
        <w:t> </w:t>
      </w:r>
      <w:r>
        <w:rPr/>
        <w:t>月</w:t>
      </w:r>
      <w:r>
        <w:rPr>
          <w:spacing w:val="-43"/>
        </w:rPr>
        <w:t> </w:t>
      </w:r>
      <w:r>
        <w:rPr>
          <w:rFonts w:ascii="Century Gothic" w:hAnsi="Century Gothic" w:cs="Century Gothic" w:eastAsia="Century Gothic" w:hint="default"/>
        </w:rPr>
        <w:t>31</w:t>
      </w:r>
      <w:r>
        <w:rPr>
          <w:rFonts w:ascii="Century Gothic" w:hAnsi="Century Gothic" w:cs="Century Gothic" w:eastAsia="Century Gothic" w:hint="default"/>
          <w:spacing w:val="4"/>
        </w:rPr>
        <w:t> </w:t>
      </w:r>
      <w:r>
        <w:rPr/>
        <w:t>日，华立仪表集团在此保证协议下借款</w:t>
      </w:r>
      <w:r>
        <w:rPr>
          <w:spacing w:val="-43"/>
        </w:rPr>
        <w:t> </w:t>
      </w:r>
      <w:r>
        <w:rPr>
          <w:rFonts w:ascii="Century Gothic" w:hAnsi="Century Gothic" w:cs="Century Gothic" w:eastAsia="Century Gothic" w:hint="default"/>
        </w:rPr>
        <w:t>5,000.00</w:t>
      </w:r>
      <w:r>
        <w:rPr>
          <w:rFonts w:ascii="Century Gothic" w:hAnsi="Century Gothic" w:cs="Century Gothic" w:eastAsia="Century Gothic" w:hint="default"/>
          <w:spacing w:val="4"/>
        </w:rPr>
        <w:t> </w:t>
      </w:r>
      <w:r>
        <w:rPr/>
        <w:t>万元。该项借款同 时以华立仪表集团的房屋建筑物连同土地使用权提供抵押。</w:t>
      </w:r>
    </w:p>
    <w:p>
      <w:pPr>
        <w:pStyle w:val="BodyText"/>
        <w:spacing w:line="336" w:lineRule="auto" w:before="50"/>
        <w:ind w:left="158" w:right="162" w:firstLine="420"/>
        <w:jc w:val="left"/>
      </w:pPr>
      <w:r>
        <w:rPr/>
        <w:t>（</w:t>
      </w:r>
      <w:r>
        <w:rPr>
          <w:rFonts w:ascii="Century Gothic" w:hAnsi="Century Gothic" w:cs="Century Gothic" w:eastAsia="Century Gothic" w:hint="default"/>
        </w:rPr>
        <w:t>2</w:t>
      </w:r>
      <w:r>
        <w:rPr/>
        <w:t>）为华立仪表集团向中国农业银行杭州市西湖支行借款 </w:t>
      </w:r>
      <w:r>
        <w:rPr>
          <w:rFonts w:ascii="Century Gothic" w:hAnsi="Century Gothic" w:cs="Century Gothic" w:eastAsia="Century Gothic" w:hint="default"/>
        </w:rPr>
        <w:t>10,000.00</w:t>
      </w:r>
      <w:r>
        <w:rPr>
          <w:rFonts w:ascii="Century Gothic" w:hAnsi="Century Gothic" w:cs="Century Gothic" w:eastAsia="Century Gothic" w:hint="default"/>
          <w:spacing w:val="-7"/>
        </w:rPr>
        <w:t> </w:t>
      </w:r>
      <w:r>
        <w:rPr/>
        <w:t>万元提供了连带责任保证 担保。</w:t>
      </w:r>
    </w:p>
    <w:p>
      <w:pPr>
        <w:pStyle w:val="BodyText"/>
        <w:spacing w:line="336" w:lineRule="auto" w:before="51"/>
        <w:ind w:left="158" w:right="172" w:firstLine="420"/>
        <w:jc w:val="both"/>
      </w:pPr>
      <w:r>
        <w:rPr>
          <w:rFonts w:ascii="Century Gothic" w:hAnsi="Century Gothic" w:cs="Century Gothic" w:eastAsia="Century Gothic" w:hint="default"/>
        </w:rPr>
        <w:t>3</w:t>
      </w:r>
      <w:r>
        <w:rPr/>
        <w:t>、公司为控股子公司的子公司湘西华立制药有限公司（以下简称</w:t>
      </w:r>
      <w:r>
        <w:rPr>
          <w:rFonts w:ascii="Century Gothic" w:hAnsi="Century Gothic" w:cs="Century Gothic" w:eastAsia="Century Gothic" w:hint="default"/>
        </w:rPr>
        <w:t>“</w:t>
      </w:r>
      <w:r>
        <w:rPr/>
        <w:t>湘西制药</w:t>
      </w:r>
      <w:r>
        <w:rPr>
          <w:rFonts w:ascii="Century Gothic" w:hAnsi="Century Gothic" w:cs="Century Gothic" w:eastAsia="Century Gothic" w:hint="default"/>
        </w:rPr>
        <w:t>”</w:t>
      </w:r>
      <w:r>
        <w:rPr/>
        <w:t>）在中国建设银行</w:t>
      </w:r>
      <w:r>
        <w:rPr>
          <w:spacing w:val="1"/>
        </w:rPr>
        <w:t> </w:t>
      </w:r>
      <w:r>
        <w:rPr/>
        <w:t>湘西自治分行 </w:t>
      </w:r>
      <w:r>
        <w:rPr>
          <w:rFonts w:ascii="Century Gothic" w:hAnsi="Century Gothic" w:cs="Century Gothic" w:eastAsia="Century Gothic" w:hint="default"/>
        </w:rPr>
        <w:t>800.00</w:t>
      </w:r>
      <w:r>
        <w:rPr>
          <w:rFonts w:ascii="Century Gothic" w:hAnsi="Century Gothic" w:cs="Century Gothic" w:eastAsia="Century Gothic" w:hint="default"/>
          <w:spacing w:val="-16"/>
        </w:rPr>
        <w:t> </w:t>
      </w:r>
      <w:r>
        <w:rPr/>
        <w:t>万元借款提供连带责任担保，该项借款同时以湘西制药的房屋建筑物连同土地 使用权提供抵押。</w:t>
      </w:r>
    </w:p>
    <w:p>
      <w:pPr>
        <w:pStyle w:val="BodyText"/>
        <w:spacing w:line="338" w:lineRule="auto" w:before="50"/>
        <w:ind w:left="158" w:right="161" w:firstLine="420"/>
        <w:jc w:val="left"/>
      </w:pPr>
      <w:r>
        <w:rPr>
          <w:rFonts w:ascii="Century Gothic" w:hAnsi="Century Gothic" w:cs="Century Gothic" w:eastAsia="Century Gothic" w:hint="default"/>
        </w:rPr>
        <w:t>4</w:t>
      </w:r>
      <w:r>
        <w:rPr/>
        <w:t>、公司为子公司重庆美联制药有限公司向重庆银行股份有限公司临江门支行</w:t>
      </w:r>
      <w:r>
        <w:rPr>
          <w:spacing w:val="-73"/>
        </w:rPr>
        <w:t> </w:t>
      </w:r>
      <w:r>
        <w:rPr>
          <w:rFonts w:ascii="Century Gothic" w:hAnsi="Century Gothic" w:cs="Century Gothic" w:eastAsia="Century Gothic" w:hint="default"/>
        </w:rPr>
        <w:t>1,700.00</w:t>
      </w:r>
      <w:r>
        <w:rPr>
          <w:rFonts w:ascii="Century Gothic" w:hAnsi="Century Gothic" w:cs="Century Gothic" w:eastAsia="Century Gothic" w:hint="default"/>
          <w:spacing w:val="-26"/>
        </w:rPr>
        <w:t> </w:t>
      </w:r>
      <w:r>
        <w:rPr/>
        <w:t>万元短期 借款提供连带责任保证担保。</w:t>
      </w:r>
    </w:p>
    <w:p>
      <w:pPr>
        <w:pStyle w:val="BodyText"/>
        <w:spacing w:line="336" w:lineRule="auto" w:before="48"/>
        <w:ind w:left="158" w:right="0" w:firstLine="420"/>
        <w:jc w:val="left"/>
      </w:pPr>
      <w:r>
        <w:rPr>
          <w:rFonts w:ascii="Century Gothic" w:hAnsi="Century Gothic" w:cs="Century Gothic" w:eastAsia="Century Gothic" w:hint="default"/>
        </w:rPr>
        <w:t>5</w:t>
      </w:r>
      <w:r>
        <w:rPr/>
        <w:t>、公司为控股子公司的子公司浙江华立南湖制药有限公司（以下简称</w:t>
      </w:r>
      <w:r>
        <w:rPr>
          <w:rFonts w:ascii="Century Gothic" w:hAnsi="Century Gothic" w:cs="Century Gothic" w:eastAsia="Century Gothic" w:hint="default"/>
        </w:rPr>
        <w:t>“</w:t>
      </w:r>
      <w:r>
        <w:rPr/>
        <w:t>南湖制药</w:t>
      </w:r>
      <w:r>
        <w:rPr>
          <w:rFonts w:ascii="Century Gothic" w:hAnsi="Century Gothic" w:cs="Century Gothic" w:eastAsia="Century Gothic" w:hint="default"/>
        </w:rPr>
        <w:t>”</w:t>
      </w:r>
      <w:r>
        <w:rPr/>
        <w:t>）提供担保如</w:t>
      </w:r>
      <w:r>
        <w:rPr>
          <w:spacing w:val="1"/>
        </w:rPr>
        <w:t> </w:t>
      </w:r>
      <w:r>
        <w:rPr/>
        <w:t>下：</w:t>
      </w:r>
    </w:p>
    <w:p>
      <w:pPr>
        <w:pStyle w:val="BodyText"/>
        <w:spacing w:line="240" w:lineRule="auto" w:before="50"/>
        <w:ind w:left="578" w:right="0"/>
        <w:jc w:val="left"/>
      </w:pPr>
      <w:r>
        <w:rPr>
          <w:spacing w:val="-3"/>
        </w:rPr>
        <w:t>（</w:t>
      </w:r>
      <w:r>
        <w:rPr>
          <w:rFonts w:ascii="Century Gothic" w:hAnsi="Century Gothic" w:cs="Century Gothic" w:eastAsia="Century Gothic" w:hint="default"/>
          <w:spacing w:val="-3"/>
        </w:rPr>
        <w:t>1</w:t>
      </w:r>
      <w:r>
        <w:rPr>
          <w:spacing w:val="-3"/>
        </w:rPr>
        <w:t>）为南湖制药在中国银行嘉兴市分行的综合授信提供最高额不超过 </w:t>
      </w:r>
      <w:r>
        <w:rPr>
          <w:rFonts w:ascii="Century Gothic" w:hAnsi="Century Gothic" w:cs="Century Gothic" w:eastAsia="Century Gothic" w:hint="default"/>
        </w:rPr>
        <w:t>900.00</w:t>
      </w:r>
      <w:r>
        <w:rPr>
          <w:rFonts w:ascii="Century Gothic" w:hAnsi="Century Gothic" w:cs="Century Gothic" w:eastAsia="Century Gothic" w:hint="default"/>
          <w:spacing w:val="-36"/>
        </w:rPr>
        <w:t> </w:t>
      </w:r>
      <w:r>
        <w:rPr/>
        <w:t>万元的连带保证担</w:t>
      </w:r>
    </w:p>
    <w:p>
      <w:pPr>
        <w:pStyle w:val="BodyText"/>
        <w:spacing w:line="240" w:lineRule="auto" w:before="119"/>
        <w:ind w:left="158" w:right="0"/>
        <w:jc w:val="left"/>
      </w:pPr>
      <w:r>
        <w:rPr/>
        <w:t>保。截至</w:t>
      </w:r>
      <w:r>
        <w:rPr>
          <w:spacing w:val="-54"/>
        </w:rPr>
        <w:t> </w:t>
      </w:r>
      <w:r>
        <w:rPr>
          <w:rFonts w:ascii="Century Gothic" w:hAnsi="Century Gothic" w:cs="Century Gothic" w:eastAsia="Century Gothic" w:hint="default"/>
        </w:rPr>
        <w:t>2009</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31</w:t>
      </w:r>
      <w:r>
        <w:rPr>
          <w:rFonts w:ascii="Century Gothic" w:hAnsi="Century Gothic" w:cs="Century Gothic" w:eastAsia="Century Gothic" w:hint="default"/>
          <w:spacing w:val="-7"/>
        </w:rPr>
        <w:t> </w:t>
      </w:r>
      <w:r>
        <w:rPr/>
        <w:t>日，南湖制药在该项保证协议下借款</w:t>
      </w:r>
      <w:r>
        <w:rPr>
          <w:spacing w:val="-54"/>
        </w:rPr>
        <w:t> </w:t>
      </w:r>
      <w:r>
        <w:rPr>
          <w:rFonts w:ascii="Century Gothic" w:hAnsi="Century Gothic" w:cs="Century Gothic" w:eastAsia="Century Gothic" w:hint="default"/>
        </w:rPr>
        <w:t>650.00</w:t>
      </w:r>
      <w:r>
        <w:rPr>
          <w:rFonts w:ascii="Century Gothic" w:hAnsi="Century Gothic" w:cs="Century Gothic" w:eastAsia="Century Gothic" w:hint="default"/>
          <w:spacing w:val="-7"/>
        </w:rPr>
        <w:t> </w:t>
      </w:r>
      <w:r>
        <w:rPr/>
        <w:t>万元。</w:t>
      </w:r>
    </w:p>
    <w:p>
      <w:pPr>
        <w:pStyle w:val="BodyText"/>
        <w:spacing w:line="336" w:lineRule="auto"/>
        <w:ind w:left="158" w:right="0" w:firstLine="420"/>
        <w:jc w:val="left"/>
      </w:pPr>
      <w:r>
        <w:rPr/>
        <w:t>（</w:t>
      </w:r>
      <w:r>
        <w:rPr>
          <w:rFonts w:ascii="Century Gothic" w:hAnsi="Century Gothic" w:cs="Century Gothic" w:eastAsia="Century Gothic" w:hint="default"/>
        </w:rPr>
        <w:t>2</w:t>
      </w:r>
      <w:r>
        <w:rPr/>
        <w:t>）为子公司南湖制药在上海浦东发展银行嘉兴分行借款、办理银行承兑汇票等贸易融资提供</w:t>
      </w:r>
      <w:r>
        <w:rPr>
          <w:spacing w:val="1"/>
        </w:rPr>
        <w:t> </w:t>
      </w:r>
      <w:r>
        <w:rPr/>
        <w:t>最高额为</w:t>
      </w:r>
      <w:r>
        <w:rPr>
          <w:spacing w:val="-43"/>
        </w:rPr>
        <w:t> </w:t>
      </w:r>
      <w:r>
        <w:rPr>
          <w:rFonts w:ascii="Century Gothic" w:hAnsi="Century Gothic" w:cs="Century Gothic" w:eastAsia="Century Gothic" w:hint="default"/>
        </w:rPr>
        <w:t>2,200.00</w:t>
      </w:r>
      <w:r>
        <w:rPr>
          <w:rFonts w:ascii="Century Gothic" w:hAnsi="Century Gothic" w:cs="Century Gothic" w:eastAsia="Century Gothic" w:hint="default"/>
          <w:spacing w:val="4"/>
        </w:rPr>
        <w:t> </w:t>
      </w:r>
      <w:r>
        <w:rPr/>
        <w:t>万元的连带责任保证。截至</w:t>
      </w:r>
      <w:r>
        <w:rPr>
          <w:spacing w:val="-43"/>
        </w:rPr>
        <w:t> </w:t>
      </w:r>
      <w:r>
        <w:rPr>
          <w:rFonts w:ascii="Century Gothic" w:hAnsi="Century Gothic" w:cs="Century Gothic" w:eastAsia="Century Gothic" w:hint="default"/>
        </w:rPr>
        <w:t>2009</w:t>
      </w:r>
      <w:r>
        <w:rPr>
          <w:rFonts w:ascii="Century Gothic" w:hAnsi="Century Gothic" w:cs="Century Gothic" w:eastAsia="Century Gothic" w:hint="default"/>
          <w:spacing w:val="4"/>
        </w:rPr>
        <w:t> </w:t>
      </w:r>
      <w:r>
        <w:rPr/>
        <w:t>年</w:t>
      </w:r>
      <w:r>
        <w:rPr>
          <w:spacing w:val="-43"/>
        </w:rPr>
        <w:t> </w:t>
      </w:r>
      <w:r>
        <w:rPr>
          <w:rFonts w:ascii="Century Gothic" w:hAnsi="Century Gothic" w:cs="Century Gothic" w:eastAsia="Century Gothic" w:hint="default"/>
        </w:rPr>
        <w:t>12</w:t>
      </w:r>
      <w:r>
        <w:rPr>
          <w:rFonts w:ascii="Century Gothic" w:hAnsi="Century Gothic" w:cs="Century Gothic" w:eastAsia="Century Gothic" w:hint="default"/>
          <w:spacing w:val="3"/>
        </w:rPr>
        <w:t> </w:t>
      </w:r>
      <w:r>
        <w:rPr/>
        <w:t>月</w:t>
      </w:r>
      <w:r>
        <w:rPr>
          <w:spacing w:val="-44"/>
        </w:rPr>
        <w:t> </w:t>
      </w:r>
      <w:r>
        <w:rPr>
          <w:rFonts w:ascii="Century Gothic" w:hAnsi="Century Gothic" w:cs="Century Gothic" w:eastAsia="Century Gothic" w:hint="default"/>
        </w:rPr>
        <w:t>31</w:t>
      </w:r>
      <w:r>
        <w:rPr>
          <w:rFonts w:ascii="Century Gothic" w:hAnsi="Century Gothic" w:cs="Century Gothic" w:eastAsia="Century Gothic" w:hint="default"/>
          <w:spacing w:val="4"/>
        </w:rPr>
        <w:t> </w:t>
      </w:r>
      <w:r>
        <w:rPr/>
        <w:t>日，南湖制药在此保证协议下借款</w:t>
      </w:r>
    </w:p>
    <w:p>
      <w:pPr>
        <w:pStyle w:val="BodyText"/>
        <w:spacing w:line="338" w:lineRule="auto" w:before="17"/>
        <w:ind w:left="158" w:right="170"/>
        <w:jc w:val="left"/>
      </w:pPr>
      <w:r>
        <w:rPr>
          <w:rFonts w:ascii="Century Gothic" w:hAnsi="Century Gothic" w:cs="Century Gothic" w:eastAsia="Century Gothic" w:hint="default"/>
        </w:rPr>
        <w:t>500.00</w:t>
      </w:r>
      <w:r>
        <w:rPr>
          <w:rFonts w:ascii="Century Gothic" w:hAnsi="Century Gothic" w:cs="Century Gothic" w:eastAsia="Century Gothic" w:hint="default"/>
          <w:spacing w:val="-6"/>
        </w:rPr>
        <w:t> </w:t>
      </w:r>
      <w:r>
        <w:rPr>
          <w:spacing w:val="-3"/>
        </w:rPr>
        <w:t>万元，办理银行承兑汇票</w:t>
      </w:r>
      <w:r>
        <w:rPr>
          <w:spacing w:val="-53"/>
        </w:rPr>
        <w:t> </w:t>
      </w:r>
      <w:r>
        <w:rPr>
          <w:rFonts w:ascii="Century Gothic" w:hAnsi="Century Gothic" w:cs="Century Gothic" w:eastAsia="Century Gothic" w:hint="default"/>
        </w:rPr>
        <w:t>1,131.13</w:t>
      </w:r>
      <w:r>
        <w:rPr>
          <w:rFonts w:ascii="Century Gothic" w:hAnsi="Century Gothic" w:cs="Century Gothic" w:eastAsia="Century Gothic" w:hint="default"/>
          <w:spacing w:val="-6"/>
        </w:rPr>
        <w:t> </w:t>
      </w:r>
      <w:r>
        <w:rPr>
          <w:spacing w:val="-3"/>
        </w:rPr>
        <w:t>万元（其中承兑汇票保证金</w:t>
      </w:r>
      <w:r>
        <w:rPr>
          <w:spacing w:val="-53"/>
        </w:rPr>
        <w:t> </w:t>
      </w:r>
      <w:r>
        <w:rPr>
          <w:rFonts w:ascii="Century Gothic" w:hAnsi="Century Gothic" w:cs="Century Gothic" w:eastAsia="Century Gothic" w:hint="default"/>
        </w:rPr>
        <w:t>619.23</w:t>
      </w:r>
      <w:r>
        <w:rPr>
          <w:rFonts w:ascii="Century Gothic" w:hAnsi="Century Gothic" w:cs="Century Gothic" w:eastAsia="Century Gothic" w:hint="default"/>
          <w:spacing w:val="-6"/>
        </w:rPr>
        <w:t> </w:t>
      </w:r>
      <w:r>
        <w:rPr>
          <w:spacing w:val="-4"/>
        </w:rPr>
        <w:t>万元，公司担保金额为</w:t>
      </w:r>
      <w:r>
        <w:rPr/>
        <w:t> </w:t>
      </w:r>
      <w:r>
        <w:rPr>
          <w:spacing w:val="-10"/>
        </w:rPr>
        <w:t>扣除保证金后的余额）。</w:t>
      </w:r>
    </w:p>
    <w:p>
      <w:pPr>
        <w:pStyle w:val="BodyText"/>
        <w:spacing w:line="240" w:lineRule="auto" w:before="48"/>
        <w:ind w:left="578" w:right="0"/>
        <w:jc w:val="left"/>
      </w:pPr>
      <w:r>
        <w:rPr/>
        <w:t>（</w:t>
      </w:r>
      <w:r>
        <w:rPr>
          <w:rFonts w:ascii="Century Gothic" w:hAnsi="Century Gothic" w:cs="Century Gothic" w:eastAsia="Century Gothic" w:hint="default"/>
        </w:rPr>
        <w:t>3</w:t>
      </w:r>
      <w:r>
        <w:rPr/>
        <w:t>）为子公司南湖制药在嘉兴市商业银行嘉兴支行 </w:t>
      </w:r>
      <w:r>
        <w:rPr>
          <w:rFonts w:ascii="Century Gothic" w:hAnsi="Century Gothic" w:cs="Century Gothic" w:eastAsia="Century Gothic" w:hint="default"/>
        </w:rPr>
        <w:t>300.00 </w:t>
      </w:r>
      <w:r>
        <w:rPr>
          <w:rFonts w:ascii="Century Gothic" w:hAnsi="Century Gothic" w:cs="Century Gothic" w:eastAsia="Century Gothic" w:hint="default"/>
          <w:spacing w:val="15"/>
        </w:rPr>
        <w:t> </w:t>
      </w:r>
      <w:r>
        <w:rPr/>
        <w:t>万元综合授信提供连带责任保证担</w:t>
      </w:r>
    </w:p>
    <w:p>
      <w:pPr>
        <w:pStyle w:val="BodyText"/>
        <w:spacing w:line="240" w:lineRule="auto"/>
        <w:ind w:left="158" w:right="0"/>
        <w:jc w:val="left"/>
      </w:pPr>
      <w:r>
        <w:rPr>
          <w:spacing w:val="-4"/>
        </w:rPr>
        <w:t>保。担保期限为</w:t>
      </w:r>
      <w:r>
        <w:rPr>
          <w:spacing w:val="-53"/>
        </w:rPr>
        <w:t> </w:t>
      </w:r>
      <w:r>
        <w:rPr>
          <w:rFonts w:ascii="Century Gothic" w:hAnsi="Century Gothic" w:cs="Century Gothic" w:eastAsia="Century Gothic" w:hint="default"/>
        </w:rPr>
        <w:t>2007</w:t>
      </w:r>
      <w:r>
        <w:rPr>
          <w:rFonts w:ascii="Century Gothic" w:hAnsi="Century Gothic" w:cs="Century Gothic" w:eastAsia="Century Gothic" w:hint="default"/>
          <w:spacing w:val="-7"/>
        </w:rPr>
        <w:t> </w:t>
      </w:r>
      <w:r>
        <w:rPr/>
        <w:t>年</w:t>
      </w:r>
      <w:r>
        <w:rPr>
          <w:spacing w:val="-53"/>
        </w:rPr>
        <w:t> </w:t>
      </w:r>
      <w:r>
        <w:rPr>
          <w:rFonts w:ascii="Century Gothic" w:hAnsi="Century Gothic" w:cs="Century Gothic" w:eastAsia="Century Gothic" w:hint="default"/>
        </w:rPr>
        <w:t>6</w:t>
      </w:r>
      <w:r>
        <w:rPr>
          <w:rFonts w:ascii="Century Gothic" w:hAnsi="Century Gothic" w:cs="Century Gothic" w:eastAsia="Century Gothic" w:hint="default"/>
          <w:spacing w:val="-6"/>
        </w:rPr>
        <w:t> </w:t>
      </w:r>
      <w:r>
        <w:rPr/>
        <w:t>月</w:t>
      </w:r>
      <w:r>
        <w:rPr>
          <w:spacing w:val="-53"/>
        </w:rPr>
        <w:t> </w:t>
      </w:r>
      <w:r>
        <w:rPr>
          <w:rFonts w:ascii="Century Gothic" w:hAnsi="Century Gothic" w:cs="Century Gothic" w:eastAsia="Century Gothic" w:hint="default"/>
        </w:rPr>
        <w:t>6</w:t>
      </w:r>
      <w:r>
        <w:rPr>
          <w:rFonts w:ascii="Century Gothic" w:hAnsi="Century Gothic" w:cs="Century Gothic" w:eastAsia="Century Gothic" w:hint="default"/>
          <w:spacing w:val="-6"/>
        </w:rPr>
        <w:t> </w:t>
      </w:r>
      <w:r>
        <w:rPr/>
        <w:t>日至</w:t>
      </w:r>
      <w:r>
        <w:rPr>
          <w:spacing w:val="-53"/>
        </w:rPr>
        <w:t> </w:t>
      </w:r>
      <w:r>
        <w:rPr>
          <w:rFonts w:ascii="Century Gothic" w:hAnsi="Century Gothic" w:cs="Century Gothic" w:eastAsia="Century Gothic" w:hint="default"/>
        </w:rPr>
        <w:t>2009</w:t>
      </w:r>
      <w:r>
        <w:rPr>
          <w:rFonts w:ascii="Century Gothic" w:hAnsi="Century Gothic" w:cs="Century Gothic" w:eastAsia="Century Gothic" w:hint="default"/>
          <w:spacing w:val="-6"/>
        </w:rPr>
        <w:t> </w:t>
      </w:r>
      <w:r>
        <w:rPr/>
        <w:t>年</w:t>
      </w:r>
      <w:r>
        <w:rPr>
          <w:spacing w:val="-53"/>
        </w:rPr>
        <w:t> </w:t>
      </w:r>
      <w:r>
        <w:rPr>
          <w:rFonts w:ascii="Century Gothic" w:hAnsi="Century Gothic" w:cs="Century Gothic" w:eastAsia="Century Gothic" w:hint="default"/>
        </w:rPr>
        <w:t>12</w:t>
      </w:r>
      <w:r>
        <w:rPr>
          <w:rFonts w:ascii="Century Gothic" w:hAnsi="Century Gothic" w:cs="Century Gothic" w:eastAsia="Century Gothic" w:hint="default"/>
          <w:spacing w:val="-6"/>
        </w:rPr>
        <w:t> </w:t>
      </w:r>
      <w:r>
        <w:rPr/>
        <w:t>月</w:t>
      </w:r>
      <w:r>
        <w:rPr>
          <w:spacing w:val="-53"/>
        </w:rPr>
        <w:t> </w:t>
      </w:r>
      <w:r>
        <w:rPr>
          <w:rFonts w:ascii="Century Gothic" w:hAnsi="Century Gothic" w:cs="Century Gothic" w:eastAsia="Century Gothic" w:hint="default"/>
        </w:rPr>
        <w:t>5</w:t>
      </w:r>
      <w:r>
        <w:rPr>
          <w:rFonts w:ascii="Century Gothic" w:hAnsi="Century Gothic" w:cs="Century Gothic" w:eastAsia="Century Gothic" w:hint="default"/>
          <w:spacing w:val="-6"/>
        </w:rPr>
        <w:t> </w:t>
      </w:r>
      <w:r>
        <w:rPr>
          <w:spacing w:val="-8"/>
        </w:rPr>
        <w:t>日。截至</w:t>
      </w:r>
      <w:r>
        <w:rPr>
          <w:spacing w:val="-53"/>
        </w:rPr>
        <w:t> </w:t>
      </w:r>
      <w:r>
        <w:rPr>
          <w:rFonts w:ascii="Century Gothic" w:hAnsi="Century Gothic" w:cs="Century Gothic" w:eastAsia="Century Gothic" w:hint="default"/>
        </w:rPr>
        <w:t>2009</w:t>
      </w:r>
      <w:r>
        <w:rPr>
          <w:rFonts w:ascii="Century Gothic" w:hAnsi="Century Gothic" w:cs="Century Gothic" w:eastAsia="Century Gothic" w:hint="default"/>
          <w:spacing w:val="-6"/>
        </w:rPr>
        <w:t> </w:t>
      </w:r>
      <w:r>
        <w:rPr/>
        <w:t>年</w:t>
      </w:r>
      <w:r>
        <w:rPr>
          <w:spacing w:val="-53"/>
        </w:rPr>
        <w:t> </w:t>
      </w:r>
      <w:r>
        <w:rPr>
          <w:rFonts w:ascii="Century Gothic" w:hAnsi="Century Gothic" w:cs="Century Gothic" w:eastAsia="Century Gothic" w:hint="default"/>
        </w:rPr>
        <w:t>12</w:t>
      </w:r>
      <w:r>
        <w:rPr>
          <w:rFonts w:ascii="Century Gothic" w:hAnsi="Century Gothic" w:cs="Century Gothic" w:eastAsia="Century Gothic" w:hint="default"/>
          <w:spacing w:val="-6"/>
        </w:rPr>
        <w:t> </w:t>
      </w:r>
      <w:r>
        <w:rPr/>
        <w:t>月</w:t>
      </w:r>
      <w:r>
        <w:rPr>
          <w:spacing w:val="-53"/>
        </w:rPr>
        <w:t> </w:t>
      </w:r>
      <w:r>
        <w:rPr>
          <w:rFonts w:ascii="Century Gothic" w:hAnsi="Century Gothic" w:cs="Century Gothic" w:eastAsia="Century Gothic" w:hint="default"/>
        </w:rPr>
        <w:t>31</w:t>
      </w:r>
      <w:r>
        <w:rPr>
          <w:rFonts w:ascii="Century Gothic" w:hAnsi="Century Gothic" w:cs="Century Gothic" w:eastAsia="Century Gothic" w:hint="default"/>
          <w:spacing w:val="-6"/>
        </w:rPr>
        <w:t> </w:t>
      </w:r>
      <w:r>
        <w:rPr>
          <w:spacing w:val="-4"/>
        </w:rPr>
        <w:t>日，南湖制药在此保</w:t>
      </w:r>
    </w:p>
    <w:p>
      <w:pPr>
        <w:pStyle w:val="BodyText"/>
        <w:spacing w:line="338" w:lineRule="auto"/>
        <w:ind w:left="158" w:right="161"/>
        <w:jc w:val="left"/>
      </w:pPr>
      <w:r>
        <w:rPr/>
        <w:t>证协议下办理银行承兑汇票</w:t>
      </w:r>
      <w:r>
        <w:rPr>
          <w:spacing w:val="-53"/>
        </w:rPr>
        <w:t> </w:t>
      </w:r>
      <w:r>
        <w:rPr>
          <w:rFonts w:ascii="Century Gothic" w:hAnsi="Century Gothic" w:cs="Century Gothic" w:eastAsia="Century Gothic" w:hint="default"/>
        </w:rPr>
        <w:t>561.14</w:t>
      </w:r>
      <w:r>
        <w:rPr>
          <w:rFonts w:ascii="Century Gothic" w:hAnsi="Century Gothic" w:cs="Century Gothic" w:eastAsia="Century Gothic" w:hint="default"/>
          <w:spacing w:val="-4"/>
        </w:rPr>
        <w:t> </w:t>
      </w:r>
      <w:r>
        <w:rPr>
          <w:spacing w:val="-3"/>
        </w:rPr>
        <w:t>万元（其中承兑汇票保证金</w:t>
      </w:r>
      <w:r>
        <w:rPr>
          <w:spacing w:val="-53"/>
        </w:rPr>
        <w:t> </w:t>
      </w:r>
      <w:r>
        <w:rPr>
          <w:rFonts w:ascii="Century Gothic" w:hAnsi="Century Gothic" w:cs="Century Gothic" w:eastAsia="Century Gothic" w:hint="default"/>
        </w:rPr>
        <w:t>336.86</w:t>
      </w:r>
      <w:r>
        <w:rPr>
          <w:rFonts w:ascii="Century Gothic" w:hAnsi="Century Gothic" w:cs="Century Gothic" w:eastAsia="Century Gothic" w:hint="default"/>
          <w:spacing w:val="-6"/>
        </w:rPr>
        <w:t> </w:t>
      </w:r>
      <w:r>
        <w:rPr>
          <w:spacing w:val="-3"/>
        </w:rPr>
        <w:t>万元，公司担保金额为扣除保</w:t>
      </w:r>
      <w:r>
        <w:rPr/>
        <w:t> </w:t>
      </w:r>
      <w:r>
        <w:rPr>
          <w:spacing w:val="-14"/>
        </w:rPr>
        <w:t>证金后的余额）。</w:t>
      </w:r>
    </w:p>
    <w:p>
      <w:pPr>
        <w:pStyle w:val="Heading4"/>
        <w:spacing w:line="240" w:lineRule="auto" w:before="48"/>
        <w:ind w:left="519" w:right="0"/>
        <w:jc w:val="left"/>
        <w:rPr>
          <w:rFonts w:ascii="宋体" w:hAnsi="宋体" w:cs="宋体" w:eastAsia="宋体" w:hint="default"/>
          <w:b w:val="0"/>
          <w:bCs w:val="0"/>
        </w:rPr>
      </w:pPr>
      <w:r>
        <w:rPr>
          <w:rFonts w:ascii="宋体" w:hAnsi="宋体" w:cs="宋体" w:eastAsia="宋体" w:hint="default"/>
        </w:rPr>
        <w:t>（三）</w:t>
      </w:r>
      <w:r>
        <w:rPr>
          <w:rFonts w:ascii="宋体" w:hAnsi="宋体" w:cs="宋体" w:eastAsia="宋体" w:hint="default"/>
          <w:spacing w:val="-26"/>
        </w:rPr>
        <w:t> </w:t>
      </w:r>
      <w:r>
        <w:rPr>
          <w:rFonts w:ascii="宋体" w:hAnsi="宋体" w:cs="宋体" w:eastAsia="宋体" w:hint="default"/>
        </w:rPr>
        <w:t>关联方往来款项余额</w:t>
      </w:r>
      <w:r>
        <w:rPr>
          <w:rFonts w:ascii="宋体" w:hAnsi="宋体" w:cs="宋体" w:eastAsia="宋体" w:hint="default"/>
          <w:b w:val="0"/>
          <w:bCs w:val="0"/>
        </w:rPr>
      </w:r>
    </w:p>
    <w:p>
      <w:pPr>
        <w:spacing w:line="240" w:lineRule="auto" w:before="11"/>
        <w:rPr>
          <w:rFonts w:ascii="宋体" w:hAnsi="宋体" w:cs="宋体" w:eastAsia="宋体" w:hint="default"/>
          <w:b/>
          <w:bCs/>
          <w:sz w:val="12"/>
          <w:szCs w:val="12"/>
        </w:rPr>
      </w:pPr>
    </w:p>
    <w:tbl>
      <w:tblPr>
        <w:tblW w:w="0" w:type="auto"/>
        <w:jc w:val="left"/>
        <w:tblInd w:w="100" w:type="dxa"/>
        <w:tblLayout w:type="fixed"/>
        <w:tblCellMar>
          <w:top w:w="0" w:type="dxa"/>
          <w:left w:w="0" w:type="dxa"/>
          <w:bottom w:w="0" w:type="dxa"/>
          <w:right w:w="0" w:type="dxa"/>
        </w:tblCellMar>
        <w:tblLook w:val="01E0"/>
      </w:tblPr>
      <w:tblGrid>
        <w:gridCol w:w="2891"/>
        <w:gridCol w:w="1276"/>
        <w:gridCol w:w="1363"/>
        <w:gridCol w:w="1208"/>
        <w:gridCol w:w="1363"/>
        <w:gridCol w:w="1162"/>
      </w:tblGrid>
      <w:tr>
        <w:trPr>
          <w:trHeight w:val="392" w:hRule="exact"/>
        </w:trPr>
        <w:tc>
          <w:tcPr>
            <w:tcW w:w="2891"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927"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276"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科目名称</w:t>
            </w:r>
          </w:p>
        </w:tc>
        <w:tc>
          <w:tcPr>
            <w:tcW w:w="25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64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52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left="62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84" w:hRule="exact"/>
        </w:trPr>
        <w:tc>
          <w:tcPr>
            <w:tcW w:w="2891" w:type="dxa"/>
            <w:vMerge/>
            <w:tcBorders>
              <w:left w:val="nil" w:sz="6" w:space="0" w:color="auto"/>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21"/>
                <w:szCs w:val="21"/>
              </w:rPr>
            </w:pPr>
            <w:r>
              <w:rPr>
                <w:rFonts w:ascii="宋体" w:hAnsi="宋体" w:cs="宋体" w:eastAsia="宋体" w:hint="default"/>
                <w:sz w:val="21"/>
                <w:szCs w:val="21"/>
              </w:rPr>
              <w:t>金额</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88"/>
              <w:jc w:val="right"/>
              <w:rPr>
                <w:rFonts w:ascii="宋体" w:hAnsi="宋体" w:cs="宋体" w:eastAsia="宋体" w:hint="default"/>
                <w:sz w:val="21"/>
                <w:szCs w:val="21"/>
              </w:rPr>
            </w:pPr>
            <w:r>
              <w:rPr>
                <w:rFonts w:ascii="宋体" w:hAnsi="宋体" w:cs="宋体" w:eastAsia="宋体" w:hint="default"/>
                <w:sz w:val="21"/>
                <w:szCs w:val="21"/>
              </w:rPr>
              <w:t>比例（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21"/>
                <w:szCs w:val="21"/>
              </w:rPr>
            </w:pPr>
            <w:r>
              <w:rPr>
                <w:rFonts w:ascii="宋体" w:hAnsi="宋体" w:cs="宋体" w:eastAsia="宋体" w:hint="default"/>
                <w:sz w:val="21"/>
                <w:szCs w:val="21"/>
              </w:rPr>
              <w:t>金额</w:t>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48"/>
              <w:jc w:val="right"/>
              <w:rPr>
                <w:rFonts w:ascii="宋体" w:hAnsi="宋体" w:cs="宋体" w:eastAsia="宋体" w:hint="default"/>
                <w:sz w:val="21"/>
                <w:szCs w:val="21"/>
              </w:rPr>
            </w:pPr>
            <w:r>
              <w:rPr>
                <w:rFonts w:ascii="宋体" w:hAnsi="宋体" w:cs="宋体" w:eastAsia="宋体" w:hint="default"/>
                <w:sz w:val="21"/>
                <w:szCs w:val="21"/>
              </w:rPr>
              <w:t>比例（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浙江华立电力科技有限公司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6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105,330.00</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0.01</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00"/>
              <w:jc w:val="right"/>
              <w:rPr>
                <w:rFonts w:ascii="Century Gothic" w:hAnsi="Century Gothic" w:cs="Century Gothic" w:eastAsia="Century Gothic" w:hint="default"/>
                <w:sz w:val="18"/>
                <w:szCs w:val="18"/>
              </w:rPr>
            </w:pPr>
            <w:r>
              <w:rPr>
                <w:rFonts w:ascii="Century Gothic"/>
                <w:spacing w:val="-1"/>
                <w:sz w:val="18"/>
              </w:rPr>
              <w:t>37,248,224.25</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9.24</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9"/>
              <w:jc w:val="right"/>
              <w:rPr>
                <w:rFonts w:ascii="Century Gothic" w:hAnsi="Century Gothic" w:cs="Century Gothic" w:eastAsia="Century Gothic" w:hint="default"/>
                <w:sz w:val="18"/>
                <w:szCs w:val="18"/>
              </w:rPr>
            </w:pPr>
            <w:r>
              <w:rPr>
                <w:rFonts w:ascii="Century Gothic"/>
                <w:spacing w:val="-1"/>
                <w:sz w:val="18"/>
              </w:rPr>
              <w:t>35,881,379.09</w:t>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4.98</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华立集团（泰国）电气有限公司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00"/>
              <w:jc w:val="right"/>
              <w:rPr>
                <w:rFonts w:ascii="Century Gothic" w:hAnsi="Century Gothic" w:cs="Century Gothic" w:eastAsia="Century Gothic" w:hint="default"/>
                <w:sz w:val="18"/>
                <w:szCs w:val="18"/>
              </w:rPr>
            </w:pPr>
            <w:r>
              <w:rPr>
                <w:rFonts w:ascii="Century Gothic"/>
                <w:spacing w:val="-1"/>
                <w:sz w:val="18"/>
              </w:rPr>
              <w:t>16,720,463.93</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4.15</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7,882,646.96</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1.09</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昆明制药集团医药商业有限公司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6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33,435.00</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1,226,524.81</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0.30</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277,810.00</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0.04</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147,752.01</w:t>
            </w:r>
            <w:r>
              <w:rPr>
                <w:rFonts w:ascii="Century Gothic"/>
                <w:sz w:val="18"/>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0.08</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222,101.11</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0.10</w:t>
            </w:r>
            <w:r>
              <w:rPr>
                <w:rFonts w:ascii="Century Gothic"/>
                <w:sz w:val="18"/>
              </w:rPr>
            </w:r>
          </w:p>
        </w:tc>
      </w:tr>
      <w:tr>
        <w:trPr>
          <w:trHeight w:val="392" w:hRule="exact"/>
        </w:trPr>
        <w:tc>
          <w:tcPr>
            <w:tcW w:w="289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浙江华立电力科技有限公司</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2,520,000.00</w:t>
            </w:r>
          </w:p>
        </w:tc>
        <w:tc>
          <w:tcPr>
            <w:tcW w:w="12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1.41</w:t>
            </w:r>
          </w:p>
        </w:tc>
        <w:tc>
          <w:tcPr>
            <w:tcW w:w="1363" w:type="dxa"/>
            <w:tcBorders>
              <w:top w:val="single" w:sz="6" w:space="0" w:color="000000"/>
              <w:left w:val="single" w:sz="6" w:space="0" w:color="000000"/>
              <w:bottom w:val="single" w:sz="12" w:space="0" w:color="000000"/>
              <w:right w:val="single" w:sz="6" w:space="0" w:color="000000"/>
            </w:tcBorders>
          </w:tcPr>
          <w:p>
            <w:pPr/>
          </w:p>
        </w:tc>
        <w:tc>
          <w:tcPr>
            <w:tcW w:w="1162" w:type="dxa"/>
            <w:tcBorders>
              <w:top w:val="single" w:sz="6"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26"/>
          <w:szCs w:val="26"/>
        </w:rPr>
      </w:pPr>
    </w:p>
    <w:p>
      <w:pPr>
        <w:spacing w:before="76"/>
        <w:ind w:left="4643" w:right="4660" w:firstLine="0"/>
        <w:jc w:val="center"/>
        <w:rPr>
          <w:rFonts w:ascii="Times New Roman" w:hAnsi="Times New Roman" w:cs="Times New Roman" w:eastAsia="Times New Roman" w:hint="default"/>
          <w:sz w:val="18"/>
          <w:szCs w:val="18"/>
        </w:rPr>
      </w:pPr>
      <w:r>
        <w:rPr>
          <w:rFonts w:ascii="Times New Roman"/>
          <w:sz w:val="18"/>
        </w:rPr>
        <w:t>97</w:t>
      </w:r>
    </w:p>
    <w:p>
      <w:pPr>
        <w:spacing w:after="0"/>
        <w:jc w:val="center"/>
        <w:rPr>
          <w:rFonts w:ascii="Times New Roman" w:hAnsi="Times New Roman" w:cs="Times New Roman" w:eastAsia="Times New Roman" w:hint="default"/>
          <w:sz w:val="18"/>
          <w:szCs w:val="18"/>
        </w:rPr>
        <w:sectPr>
          <w:pgSz w:w="11910" w:h="16840"/>
          <w:pgMar w:top="780" w:bottom="280" w:left="1260" w:right="1120"/>
        </w:sectPr>
      </w:pPr>
    </w:p>
    <w:p>
      <w:pPr>
        <w:spacing w:line="240" w:lineRule="auto" w:before="6"/>
        <w:rPr>
          <w:rFonts w:ascii="Times New Roman" w:hAnsi="Times New Roman" w:cs="Times New Roman" w:eastAsia="Times New Roman" w:hint="default"/>
          <w:sz w:val="23"/>
          <w:szCs w:val="23"/>
        </w:rPr>
      </w:pPr>
    </w:p>
    <w:p>
      <w:pPr>
        <w:pStyle w:val="Heading4"/>
        <w:tabs>
          <w:tab w:pos="7366" w:val="left" w:leader="none"/>
        </w:tabs>
        <w:spacing w:line="240" w:lineRule="auto"/>
        <w:ind w:left="3634" w:right="0"/>
        <w:jc w:val="left"/>
        <w:rPr>
          <w:b w:val="0"/>
          <w:bCs w:val="0"/>
        </w:rPr>
      </w:pPr>
      <w:r>
        <w:rPr/>
        <w:pict>
          <v:shape style="position:absolute;margin-left:64.860001pt;margin-top:-9.926001pt;width:84.0pt;height:23.94pt;mso-position-horizontal-relative:page;mso-position-vertical-relative:paragraph;z-index:6448"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2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100" w:type="dxa"/>
        <w:tblLayout w:type="fixed"/>
        <w:tblCellMar>
          <w:top w:w="0" w:type="dxa"/>
          <w:left w:w="0" w:type="dxa"/>
          <w:bottom w:w="0" w:type="dxa"/>
          <w:right w:w="0" w:type="dxa"/>
        </w:tblCellMar>
        <w:tblLook w:val="01E0"/>
      </w:tblPr>
      <w:tblGrid>
        <w:gridCol w:w="2891"/>
        <w:gridCol w:w="1276"/>
        <w:gridCol w:w="1363"/>
        <w:gridCol w:w="1208"/>
        <w:gridCol w:w="1363"/>
        <w:gridCol w:w="1162"/>
      </w:tblGrid>
      <w:tr>
        <w:trPr>
          <w:trHeight w:val="391" w:hRule="exact"/>
        </w:trPr>
        <w:tc>
          <w:tcPr>
            <w:tcW w:w="2891"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927"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276"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黑体" w:hAnsi="黑体" w:cs="黑体" w:eastAsia="黑体" w:hint="default"/>
                <w:b/>
                <w:bCs/>
                <w:sz w:val="14"/>
                <w:szCs w:val="14"/>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科目名称</w:t>
            </w:r>
          </w:p>
        </w:tc>
        <w:tc>
          <w:tcPr>
            <w:tcW w:w="25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64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525"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left="62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84" w:hRule="exact"/>
        </w:trPr>
        <w:tc>
          <w:tcPr>
            <w:tcW w:w="2891" w:type="dxa"/>
            <w:vMerge/>
            <w:tcBorders>
              <w:left w:val="nil" w:sz="6" w:space="0" w:color="auto"/>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21"/>
                <w:szCs w:val="21"/>
              </w:rPr>
            </w:pPr>
            <w:r>
              <w:rPr>
                <w:rFonts w:ascii="宋体" w:hAnsi="宋体" w:cs="宋体" w:eastAsia="宋体" w:hint="default"/>
                <w:sz w:val="21"/>
                <w:szCs w:val="21"/>
              </w:rPr>
              <w:t>金额</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88"/>
              <w:jc w:val="right"/>
              <w:rPr>
                <w:rFonts w:ascii="宋体" w:hAnsi="宋体" w:cs="宋体" w:eastAsia="宋体" w:hint="default"/>
                <w:sz w:val="21"/>
                <w:szCs w:val="21"/>
              </w:rPr>
            </w:pPr>
            <w:r>
              <w:rPr>
                <w:rFonts w:ascii="宋体" w:hAnsi="宋体" w:cs="宋体" w:eastAsia="宋体" w:hint="default"/>
                <w:sz w:val="21"/>
                <w:szCs w:val="21"/>
              </w:rPr>
              <w:t>比例（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21"/>
                <w:szCs w:val="21"/>
              </w:rPr>
            </w:pPr>
            <w:r>
              <w:rPr>
                <w:rFonts w:ascii="宋体" w:hAnsi="宋体" w:cs="宋体" w:eastAsia="宋体" w:hint="default"/>
                <w:sz w:val="21"/>
                <w:szCs w:val="21"/>
              </w:rPr>
              <w:t>金额</w:t>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right="48"/>
              <w:jc w:val="right"/>
              <w:rPr>
                <w:rFonts w:ascii="宋体" w:hAnsi="宋体" w:cs="宋体" w:eastAsia="宋体" w:hint="default"/>
                <w:sz w:val="21"/>
                <w:szCs w:val="21"/>
              </w:rPr>
            </w:pPr>
            <w:r>
              <w:rPr>
                <w:rFonts w:ascii="宋体" w:hAnsi="宋体" w:cs="宋体" w:eastAsia="宋体" w:hint="default"/>
                <w:sz w:val="21"/>
                <w:szCs w:val="21"/>
              </w:rPr>
              <w:t>比例（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浙江华科实业开发有限公司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257,244.06</w:t>
            </w:r>
            <w:r>
              <w:rPr>
                <w:rFonts w:ascii="Century Gothic"/>
                <w:sz w:val="18"/>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0.14</w:t>
            </w:r>
          </w:p>
        </w:tc>
        <w:tc>
          <w:tcPr>
            <w:tcW w:w="136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浙江华立通信集团有限公司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366,797.32</w:t>
            </w:r>
            <w:r>
              <w:rPr>
                <w:rFonts w:ascii="Century Gothic"/>
                <w:sz w:val="18"/>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0.21</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124,373.00</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0.06</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浙江华立电网控制系统有限公司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2,285,200.72</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1.28</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1,330,743.84</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0.59</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6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441,596.98</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0.20</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湖北华立正源医药有限公司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36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7,957,248.43</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3.52</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昆明制药集团股份有限公司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136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71,606.79</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0.10</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36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2,954,680.34</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0.74</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浙江华立电力科技有限公司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3,816,297.57</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1.57</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1,015,289.45</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0.25</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昆明制药集团股份有限公司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36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8,943,897.59</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2.24</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深圳华立南方电子技术有限公司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00"/>
              <w:jc w:val="right"/>
              <w:rPr>
                <w:rFonts w:ascii="Century Gothic" w:hAnsi="Century Gothic" w:cs="Century Gothic" w:eastAsia="Century Gothic" w:hint="default"/>
                <w:sz w:val="18"/>
                <w:szCs w:val="18"/>
              </w:rPr>
            </w:pPr>
            <w:r>
              <w:rPr>
                <w:rFonts w:ascii="Century Gothic"/>
                <w:spacing w:val="-1"/>
                <w:sz w:val="18"/>
              </w:rPr>
              <w:t>10,572,050.86</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4.34</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3,038,965.36</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0.76</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昆明中药厂有限公司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36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353,038.08</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0.09</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武汉健民药业集团股份有限公司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36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1,000,000.00</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0.70</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深圳华立南方电子技术有限公司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7,870,000.00</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4.57</w:t>
            </w:r>
          </w:p>
        </w:tc>
        <w:tc>
          <w:tcPr>
            <w:tcW w:w="136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225,494.16</w:t>
            </w:r>
            <w:r>
              <w:rPr>
                <w:rFonts w:ascii="Century Gothic"/>
                <w:sz w:val="18"/>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0.19</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7,208,542.75</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2.89</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36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9"/>
              <w:jc w:val="right"/>
              <w:rPr>
                <w:rFonts w:ascii="Century Gothic" w:hAnsi="Century Gothic" w:cs="Century Gothic" w:eastAsia="Century Gothic" w:hint="default"/>
                <w:sz w:val="18"/>
                <w:szCs w:val="18"/>
              </w:rPr>
            </w:pPr>
            <w:r>
              <w:rPr>
                <w:rFonts w:ascii="Century Gothic"/>
                <w:spacing w:val="-1"/>
                <w:sz w:val="18"/>
              </w:rPr>
              <w:t>40,400,000.00</w:t>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16.20</w:t>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浙江华科实业开发有限公司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36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9"/>
              <w:jc w:val="right"/>
              <w:rPr>
                <w:rFonts w:ascii="Century Gothic" w:hAnsi="Century Gothic" w:cs="Century Gothic" w:eastAsia="Century Gothic" w:hint="default"/>
                <w:sz w:val="18"/>
                <w:szCs w:val="18"/>
              </w:rPr>
            </w:pPr>
            <w:r>
              <w:rPr>
                <w:rFonts w:ascii="Century Gothic"/>
                <w:spacing w:val="-1"/>
                <w:sz w:val="18"/>
              </w:rPr>
              <w:t>86,000,000.00</w:t>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34.48</w:t>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浙江华凯新农业开发有限公司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36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2,000,000.00</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0.80</w:t>
            </w:r>
            <w:r>
              <w:rPr>
                <w:rFonts w:ascii="Century Gothic"/>
                <w:sz w:val="18"/>
              </w:rPr>
            </w: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219,814.83</w:t>
            </w:r>
            <w:r>
              <w:rPr>
                <w:rFonts w:ascii="Century Gothic"/>
                <w:sz w:val="18"/>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0.19</w:t>
            </w:r>
          </w:p>
        </w:tc>
        <w:tc>
          <w:tcPr>
            <w:tcW w:w="136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28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昆明制药集团股份有限公司</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预收款项</w:t>
            </w:r>
          </w:p>
        </w:tc>
        <w:tc>
          <w:tcPr>
            <w:tcW w:w="136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4,282,160.00</w:t>
            </w:r>
            <w:r>
              <w:rPr>
                <w:rFonts w:ascii="Century Gothic"/>
                <w:sz w:val="18"/>
              </w:rPr>
            </w:r>
          </w:p>
        </w:tc>
        <w:tc>
          <w:tcPr>
            <w:tcW w:w="11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5.84</w:t>
            </w:r>
            <w:r>
              <w:rPr>
                <w:rFonts w:ascii="Century Gothic"/>
                <w:sz w:val="18"/>
              </w:rPr>
            </w:r>
          </w:p>
        </w:tc>
      </w:tr>
      <w:tr>
        <w:trPr>
          <w:trHeight w:val="392" w:hRule="exact"/>
        </w:trPr>
        <w:tc>
          <w:tcPr>
            <w:tcW w:w="2891"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1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7,926,663.53</w:t>
            </w:r>
          </w:p>
        </w:tc>
        <w:tc>
          <w:tcPr>
            <w:tcW w:w="12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49.72</w:t>
            </w:r>
          </w:p>
        </w:tc>
        <w:tc>
          <w:tcPr>
            <w:tcW w:w="13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98"/>
              <w:jc w:val="right"/>
              <w:rPr>
                <w:rFonts w:ascii="Century Gothic" w:hAnsi="Century Gothic" w:cs="Century Gothic" w:eastAsia="Century Gothic" w:hint="default"/>
                <w:sz w:val="18"/>
                <w:szCs w:val="18"/>
              </w:rPr>
            </w:pPr>
            <w:r>
              <w:rPr>
                <w:rFonts w:ascii="Century Gothic"/>
                <w:spacing w:val="-1"/>
                <w:sz w:val="18"/>
              </w:rPr>
              <w:t>7,926,663.53</w:t>
            </w:r>
            <w:r>
              <w:rPr>
                <w:rFonts w:ascii="Century Gothic"/>
                <w:sz w:val="18"/>
              </w:rPr>
            </w:r>
          </w:p>
        </w:tc>
        <w:tc>
          <w:tcPr>
            <w:tcW w:w="11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75"/>
              <w:ind w:right="106"/>
              <w:jc w:val="right"/>
              <w:rPr>
                <w:rFonts w:ascii="Century Gothic" w:hAnsi="Century Gothic" w:cs="Century Gothic" w:eastAsia="Century Gothic" w:hint="default"/>
                <w:sz w:val="18"/>
                <w:szCs w:val="18"/>
              </w:rPr>
            </w:pPr>
            <w:r>
              <w:rPr>
                <w:rFonts w:ascii="Century Gothic"/>
                <w:spacing w:val="-1"/>
                <w:sz w:val="18"/>
              </w:rPr>
              <w:t>49.25</w:t>
            </w:r>
          </w:p>
        </w:tc>
      </w:tr>
    </w:tbl>
    <w:p>
      <w:pPr>
        <w:pStyle w:val="Heading4"/>
        <w:spacing w:line="240" w:lineRule="auto" w:before="94"/>
        <w:ind w:left="520" w:right="0"/>
        <w:jc w:val="left"/>
        <w:rPr>
          <w:rFonts w:ascii="宋体" w:hAnsi="宋体" w:cs="宋体" w:eastAsia="宋体" w:hint="default"/>
          <w:b w:val="0"/>
          <w:bCs w:val="0"/>
        </w:rPr>
      </w:pPr>
      <w:r>
        <w:rPr>
          <w:rFonts w:ascii="宋体" w:hAnsi="宋体" w:cs="宋体" w:eastAsia="宋体" w:hint="default"/>
        </w:rPr>
        <w:t>（四）</w:t>
      </w:r>
      <w:r>
        <w:rPr>
          <w:rFonts w:ascii="宋体" w:hAnsi="宋体" w:cs="宋体" w:eastAsia="宋体" w:hint="default"/>
          <w:spacing w:val="-30"/>
        </w:rPr>
        <w:t> </w:t>
      </w:r>
      <w:r>
        <w:rPr>
          <w:rFonts w:ascii="宋体" w:hAnsi="宋体" w:cs="宋体" w:eastAsia="宋体" w:hint="default"/>
        </w:rPr>
        <w:t>关联应收项目的坏账准备余额</w:t>
      </w:r>
      <w:r>
        <w:rPr>
          <w:rFonts w:ascii="宋体" w:hAnsi="宋体" w:cs="宋体" w:eastAsia="宋体" w:hint="default"/>
          <w:b w:val="0"/>
          <w:bCs w:val="0"/>
        </w:rPr>
      </w:r>
    </w:p>
    <w:p>
      <w:pPr>
        <w:spacing w:line="240" w:lineRule="auto" w:before="2"/>
        <w:rPr>
          <w:rFonts w:ascii="宋体" w:hAnsi="宋体" w:cs="宋体" w:eastAsia="宋体" w:hint="default"/>
          <w:b/>
          <w:bCs/>
          <w:sz w:val="22"/>
          <w:szCs w:val="22"/>
        </w:rPr>
      </w:pPr>
    </w:p>
    <w:tbl>
      <w:tblPr>
        <w:tblW w:w="0" w:type="auto"/>
        <w:jc w:val="left"/>
        <w:tblInd w:w="277" w:type="dxa"/>
        <w:tblLayout w:type="fixed"/>
        <w:tblCellMar>
          <w:top w:w="0" w:type="dxa"/>
          <w:left w:w="0" w:type="dxa"/>
          <w:bottom w:w="0" w:type="dxa"/>
          <w:right w:w="0" w:type="dxa"/>
        </w:tblCellMar>
        <w:tblLook w:val="01E0"/>
      </w:tblPr>
      <w:tblGrid>
        <w:gridCol w:w="3067"/>
        <w:gridCol w:w="1298"/>
        <w:gridCol w:w="2321"/>
        <w:gridCol w:w="2219"/>
      </w:tblGrid>
      <w:tr>
        <w:trPr>
          <w:trHeight w:val="362" w:hRule="exact"/>
        </w:trPr>
        <w:tc>
          <w:tcPr>
            <w:tcW w:w="3067"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015" w:right="0"/>
              <w:jc w:val="left"/>
              <w:rPr>
                <w:rFonts w:ascii="宋体" w:hAnsi="宋体" w:cs="宋体" w:eastAsia="宋体" w:hint="default"/>
                <w:sz w:val="21"/>
                <w:szCs w:val="21"/>
              </w:rPr>
            </w:pPr>
            <w:r>
              <w:rPr>
                <w:rFonts w:ascii="宋体" w:hAnsi="宋体" w:cs="宋体" w:eastAsia="宋体" w:hint="default"/>
                <w:sz w:val="21"/>
                <w:szCs w:val="21"/>
              </w:rPr>
              <w:t>关联方名称</w:t>
            </w:r>
          </w:p>
        </w:tc>
        <w:tc>
          <w:tcPr>
            <w:tcW w:w="1298"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222" w:right="0"/>
              <w:jc w:val="left"/>
              <w:rPr>
                <w:rFonts w:ascii="宋体" w:hAnsi="宋体" w:cs="宋体" w:eastAsia="宋体" w:hint="default"/>
                <w:sz w:val="21"/>
                <w:szCs w:val="21"/>
              </w:rPr>
            </w:pPr>
            <w:r>
              <w:rPr>
                <w:rFonts w:ascii="宋体" w:hAnsi="宋体" w:cs="宋体" w:eastAsia="宋体" w:hint="default"/>
                <w:sz w:val="21"/>
                <w:szCs w:val="21"/>
              </w:rPr>
              <w:t>科目名称</w:t>
            </w:r>
          </w:p>
        </w:tc>
        <w:tc>
          <w:tcPr>
            <w:tcW w:w="2321"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2219"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浙江华立电力科技有限公司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21" w:type="dxa"/>
            <w:tcBorders>
              <w:top w:val="single" w:sz="6" w:space="0" w:color="000000"/>
              <w:left w:val="single" w:sz="6" w:space="0" w:color="000000"/>
              <w:bottom w:val="single" w:sz="6" w:space="0" w:color="000000"/>
              <w:right w:val="single" w:sz="6" w:space="0" w:color="000000"/>
            </w:tcBorders>
          </w:tcPr>
          <w:p>
            <w:pPr/>
          </w:p>
        </w:tc>
        <w:tc>
          <w:tcPr>
            <w:tcW w:w="22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5"/>
              <w:jc w:val="center"/>
              <w:rPr>
                <w:rFonts w:ascii="Century Gothic" w:hAnsi="Century Gothic" w:cs="Century Gothic" w:eastAsia="Century Gothic" w:hint="default"/>
                <w:sz w:val="18"/>
                <w:szCs w:val="18"/>
              </w:rPr>
            </w:pPr>
            <w:r>
              <w:rPr>
                <w:rFonts w:ascii="Century Gothic"/>
                <w:sz w:val="18"/>
              </w:rPr>
              <w:t>5,680.71</w:t>
            </w: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浙江华立国际发展有限公司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Century Gothic" w:hAnsi="Century Gothic" w:cs="Century Gothic" w:eastAsia="Century Gothic" w:hint="default"/>
                <w:sz w:val="18"/>
                <w:szCs w:val="18"/>
              </w:rPr>
            </w:pPr>
            <w:r>
              <w:rPr>
                <w:rFonts w:ascii="Century Gothic"/>
                <w:sz w:val="18"/>
              </w:rPr>
              <w:t>3,695,366.16</w:t>
            </w:r>
          </w:p>
        </w:tc>
        <w:tc>
          <w:tcPr>
            <w:tcW w:w="22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5"/>
              <w:jc w:val="center"/>
              <w:rPr>
                <w:rFonts w:ascii="Century Gothic" w:hAnsi="Century Gothic" w:cs="Century Gothic" w:eastAsia="Century Gothic" w:hint="default"/>
                <w:sz w:val="18"/>
                <w:szCs w:val="18"/>
              </w:rPr>
            </w:pPr>
            <w:r>
              <w:rPr>
                <w:rFonts w:ascii="Century Gothic"/>
                <w:sz w:val="18"/>
              </w:rPr>
              <w:t>2,420,352.51</w:t>
            </w: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华立集团（泰国）电气有限公司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Century Gothic" w:hAnsi="Century Gothic" w:cs="Century Gothic" w:eastAsia="Century Gothic" w:hint="default"/>
                <w:sz w:val="18"/>
                <w:szCs w:val="18"/>
              </w:rPr>
            </w:pPr>
            <w:r>
              <w:rPr>
                <w:rFonts w:ascii="Century Gothic"/>
                <w:sz w:val="18"/>
              </w:rPr>
              <w:t>836,023.20</w:t>
            </w:r>
          </w:p>
        </w:tc>
        <w:tc>
          <w:tcPr>
            <w:tcW w:w="2219"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昆明制药集团医药商业有限公司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21" w:type="dxa"/>
            <w:tcBorders>
              <w:top w:val="single" w:sz="6" w:space="0" w:color="000000"/>
              <w:left w:val="single" w:sz="6" w:space="0" w:color="000000"/>
              <w:bottom w:val="single" w:sz="6" w:space="0" w:color="000000"/>
              <w:right w:val="single" w:sz="6" w:space="0" w:color="000000"/>
            </w:tcBorders>
          </w:tcPr>
          <w:p>
            <w:pPr/>
          </w:p>
        </w:tc>
        <w:tc>
          <w:tcPr>
            <w:tcW w:w="22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center"/>
              <w:rPr>
                <w:rFonts w:ascii="Century Gothic" w:hAnsi="Century Gothic" w:cs="Century Gothic" w:eastAsia="Century Gothic" w:hint="default"/>
                <w:sz w:val="18"/>
                <w:szCs w:val="18"/>
              </w:rPr>
            </w:pPr>
            <w:r>
              <w:rPr>
                <w:rFonts w:ascii="Century Gothic"/>
                <w:sz w:val="18"/>
              </w:rPr>
              <w:t>167.18</w:t>
            </w: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2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Century Gothic" w:hAnsi="Century Gothic" w:cs="Century Gothic" w:eastAsia="Century Gothic" w:hint="default"/>
                <w:sz w:val="18"/>
                <w:szCs w:val="18"/>
              </w:rPr>
            </w:pPr>
            <w:r>
              <w:rPr>
                <w:rFonts w:ascii="Century Gothic"/>
                <w:sz w:val="18"/>
              </w:rPr>
              <w:t>61,326.24</w:t>
            </w:r>
          </w:p>
        </w:tc>
        <w:tc>
          <w:tcPr>
            <w:tcW w:w="22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center"/>
              <w:rPr>
                <w:rFonts w:ascii="Century Gothic" w:hAnsi="Century Gothic" w:cs="Century Gothic" w:eastAsia="Century Gothic" w:hint="default"/>
                <w:sz w:val="18"/>
                <w:szCs w:val="18"/>
              </w:rPr>
            </w:pPr>
            <w:r>
              <w:rPr>
                <w:rFonts w:ascii="Century Gothic"/>
                <w:sz w:val="18"/>
              </w:rPr>
              <w:t>13,890.50</w:t>
            </w: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Century Gothic" w:hAnsi="Century Gothic" w:cs="Century Gothic" w:eastAsia="Century Gothic" w:hint="default"/>
                <w:sz w:val="18"/>
                <w:szCs w:val="18"/>
              </w:rPr>
            </w:pPr>
            <w:r>
              <w:rPr>
                <w:rFonts w:ascii="Century Gothic"/>
                <w:sz w:val="18"/>
              </w:rPr>
              <w:t>7,387.60</w:t>
            </w:r>
          </w:p>
        </w:tc>
        <w:tc>
          <w:tcPr>
            <w:tcW w:w="22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center"/>
              <w:rPr>
                <w:rFonts w:ascii="Century Gothic" w:hAnsi="Century Gothic" w:cs="Century Gothic" w:eastAsia="Century Gothic" w:hint="default"/>
                <w:sz w:val="18"/>
                <w:szCs w:val="18"/>
              </w:rPr>
            </w:pPr>
            <w:r>
              <w:rPr>
                <w:rFonts w:ascii="Century Gothic"/>
                <w:sz w:val="18"/>
              </w:rPr>
              <w:t>11,105.06</w:t>
            </w: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浙江华立电力科技有限公司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Century Gothic" w:hAnsi="Century Gothic" w:cs="Century Gothic" w:eastAsia="Century Gothic" w:hint="default"/>
                <w:sz w:val="18"/>
                <w:szCs w:val="18"/>
              </w:rPr>
            </w:pPr>
            <w:r>
              <w:rPr>
                <w:rFonts w:ascii="Century Gothic"/>
                <w:sz w:val="18"/>
              </w:rPr>
              <w:t>126,000.00</w:t>
            </w:r>
          </w:p>
        </w:tc>
        <w:tc>
          <w:tcPr>
            <w:tcW w:w="221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浙江华科实业开发有限公司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Century Gothic" w:hAnsi="Century Gothic" w:cs="Century Gothic" w:eastAsia="Century Gothic" w:hint="default"/>
                <w:sz w:val="18"/>
                <w:szCs w:val="18"/>
              </w:rPr>
            </w:pPr>
            <w:r>
              <w:rPr>
                <w:rFonts w:ascii="Century Gothic"/>
                <w:sz w:val="18"/>
              </w:rPr>
              <w:t>12,862.20</w:t>
            </w:r>
          </w:p>
        </w:tc>
        <w:tc>
          <w:tcPr>
            <w:tcW w:w="2219"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浙江华立通信技术有限公司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Century Gothic" w:hAnsi="Century Gothic" w:cs="Century Gothic" w:eastAsia="Century Gothic" w:hint="default"/>
                <w:sz w:val="18"/>
                <w:szCs w:val="18"/>
              </w:rPr>
            </w:pPr>
            <w:r>
              <w:rPr>
                <w:rFonts w:ascii="Century Gothic"/>
                <w:sz w:val="18"/>
              </w:rPr>
              <w:t>18,339.87</w:t>
            </w:r>
          </w:p>
        </w:tc>
        <w:tc>
          <w:tcPr>
            <w:tcW w:w="22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5"/>
              <w:jc w:val="center"/>
              <w:rPr>
                <w:rFonts w:ascii="Century Gothic" w:hAnsi="Century Gothic" w:cs="Century Gothic" w:eastAsia="Century Gothic" w:hint="default"/>
                <w:sz w:val="18"/>
                <w:szCs w:val="18"/>
              </w:rPr>
            </w:pPr>
            <w:r>
              <w:rPr>
                <w:rFonts w:ascii="Century Gothic"/>
                <w:sz w:val="18"/>
              </w:rPr>
              <w:t>6,218.65</w:t>
            </w:r>
          </w:p>
        </w:tc>
      </w:tr>
      <w:tr>
        <w:trPr>
          <w:trHeight w:val="354"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浙江华立电网控制系统有限公司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Century Gothic" w:hAnsi="Century Gothic" w:cs="Century Gothic" w:eastAsia="Century Gothic" w:hint="default"/>
                <w:sz w:val="18"/>
                <w:szCs w:val="18"/>
              </w:rPr>
            </w:pPr>
            <w:r>
              <w:rPr>
                <w:rFonts w:ascii="Century Gothic"/>
                <w:sz w:val="18"/>
              </w:rPr>
              <w:t>114,260.04</w:t>
            </w:r>
          </w:p>
        </w:tc>
        <w:tc>
          <w:tcPr>
            <w:tcW w:w="22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center"/>
              <w:rPr>
                <w:rFonts w:ascii="Century Gothic" w:hAnsi="Century Gothic" w:cs="Century Gothic" w:eastAsia="Century Gothic" w:hint="default"/>
                <w:sz w:val="18"/>
                <w:szCs w:val="18"/>
              </w:rPr>
            </w:pPr>
            <w:r>
              <w:rPr>
                <w:rFonts w:ascii="Century Gothic"/>
                <w:sz w:val="18"/>
              </w:rPr>
              <w:t>67,962.39</w:t>
            </w:r>
          </w:p>
        </w:tc>
      </w:tr>
      <w:tr>
        <w:trPr>
          <w:trHeight w:val="355" w:hRule="exact"/>
        </w:trPr>
        <w:tc>
          <w:tcPr>
            <w:tcW w:w="306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杭州华立电力系统工程有限公司</w:t>
            </w:r>
          </w:p>
        </w:tc>
        <w:tc>
          <w:tcPr>
            <w:tcW w:w="1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6" w:space="0" w:color="000000"/>
              <w:right w:val="single" w:sz="6" w:space="0" w:color="000000"/>
            </w:tcBorders>
          </w:tcPr>
          <w:p>
            <w:pPr/>
          </w:p>
        </w:tc>
        <w:tc>
          <w:tcPr>
            <w:tcW w:w="221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center"/>
              <w:rPr>
                <w:rFonts w:ascii="Century Gothic" w:hAnsi="Century Gothic" w:cs="Century Gothic" w:eastAsia="Century Gothic" w:hint="default"/>
                <w:sz w:val="18"/>
                <w:szCs w:val="18"/>
              </w:rPr>
            </w:pPr>
            <w:r>
              <w:rPr>
                <w:rFonts w:ascii="Century Gothic"/>
                <w:sz w:val="18"/>
              </w:rPr>
              <w:t>22,079.85</w:t>
            </w:r>
          </w:p>
        </w:tc>
      </w:tr>
      <w:tr>
        <w:trPr>
          <w:trHeight w:val="363" w:hRule="exact"/>
        </w:trPr>
        <w:tc>
          <w:tcPr>
            <w:tcW w:w="306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湖北华立正源医药有限公司</w:t>
            </w:r>
          </w:p>
        </w:tc>
        <w:tc>
          <w:tcPr>
            <w:tcW w:w="12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3"/>
              <w:ind w:left="1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21" w:type="dxa"/>
            <w:tcBorders>
              <w:top w:val="single" w:sz="6" w:space="0" w:color="000000"/>
              <w:left w:val="single" w:sz="6" w:space="0" w:color="000000"/>
              <w:bottom w:val="single" w:sz="12" w:space="0" w:color="000000"/>
              <w:right w:val="single" w:sz="6" w:space="0" w:color="000000"/>
            </w:tcBorders>
          </w:tcPr>
          <w:p>
            <w:pPr/>
          </w:p>
        </w:tc>
        <w:tc>
          <w:tcPr>
            <w:tcW w:w="2219" w:type="dxa"/>
            <w:tcBorders>
              <w:top w:val="single" w:sz="6" w:space="0" w:color="000000"/>
              <w:left w:val="single" w:sz="6" w:space="0" w:color="000000"/>
              <w:bottom w:val="single" w:sz="12" w:space="0" w:color="000000"/>
              <w:right w:val="nil" w:sz="6" w:space="0" w:color="auto"/>
            </w:tcBorders>
          </w:tcPr>
          <w:p>
            <w:pPr/>
          </w:p>
        </w:tc>
      </w:tr>
    </w:tbl>
    <w:p>
      <w:pPr>
        <w:spacing w:line="240" w:lineRule="auto" w:before="7"/>
        <w:rPr>
          <w:rFonts w:ascii="宋体" w:hAnsi="宋体" w:cs="宋体" w:eastAsia="宋体" w:hint="default"/>
          <w:b/>
          <w:bCs/>
          <w:sz w:val="21"/>
          <w:szCs w:val="21"/>
        </w:rPr>
      </w:pPr>
    </w:p>
    <w:p>
      <w:pPr>
        <w:spacing w:before="76"/>
        <w:ind w:left="4643" w:right="4660" w:firstLine="0"/>
        <w:jc w:val="center"/>
        <w:rPr>
          <w:rFonts w:ascii="Times New Roman" w:hAnsi="Times New Roman" w:cs="Times New Roman" w:eastAsia="Times New Roman" w:hint="default"/>
          <w:sz w:val="18"/>
          <w:szCs w:val="18"/>
        </w:rPr>
      </w:pPr>
      <w:r>
        <w:rPr>
          <w:rFonts w:ascii="Times New Roman"/>
          <w:sz w:val="18"/>
        </w:rPr>
        <w:t>98</w:t>
      </w:r>
    </w:p>
    <w:p>
      <w:pPr>
        <w:spacing w:after="0"/>
        <w:jc w:val="center"/>
        <w:rPr>
          <w:rFonts w:ascii="Times New Roman" w:hAnsi="Times New Roman" w:cs="Times New Roman" w:eastAsia="Times New Roman" w:hint="default"/>
          <w:sz w:val="18"/>
          <w:szCs w:val="18"/>
        </w:rPr>
        <w:sectPr>
          <w:pgSz w:w="11910" w:h="16840"/>
          <w:pgMar w:top="780" w:bottom="280" w:left="1140" w:right="124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pgSz w:w="11910" w:h="16840"/>
          <w:pgMar w:top="780" w:bottom="280" w:left="1280" w:right="1180"/>
        </w:sect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25"/>
        <w:ind w:left="138" w:right="-18"/>
        <w:jc w:val="left"/>
        <w:rPr>
          <w:rFonts w:ascii="宋体" w:hAnsi="宋体" w:cs="宋体" w:eastAsia="宋体" w:hint="default"/>
          <w:b w:val="0"/>
          <w:bCs w:val="0"/>
        </w:rPr>
      </w:pPr>
      <w:r>
        <w:rPr/>
        <w:pict>
          <v:shape style="position:absolute;margin-left:70.860001pt;margin-top:-21.44602pt;width:84.0pt;height:23.94pt;mso-position-horizontal-relative:page;mso-position-vertical-relative:paragraph;z-index:6472" type="#_x0000_t75" stroked="false">
            <v:imagedata r:id="rId13" o:title=""/>
          </v:shape>
        </w:pict>
      </w:r>
      <w:r>
        <w:rPr/>
        <w:pict>
          <v:group style="position:absolute;margin-left:69.419998pt;margin-top:6.873994pt;width:444.5pt;height:.1pt;mso-position-horizontal-relative:page;mso-position-vertical-relative:paragraph;z-index:-703096" coordorigin="1388,137" coordsize="8890,2">
            <v:shape style="position:absolute;left:1388;top:137;width:8890;height:2" coordorigin="1388,137" coordsize="8890,0" path="m1388,137l10278,137e" filled="false" stroked="true" strokeweight=".71997pt" strokecolor="#000000">
              <v:path arrowok="t"/>
            </v:shape>
            <w10:wrap type="none"/>
          </v:group>
        </w:pict>
      </w:r>
      <w:r>
        <w:rPr>
          <w:rFonts w:ascii="宋体" w:hAnsi="宋体" w:cs="宋体" w:eastAsia="宋体" w:hint="default"/>
        </w:rPr>
        <w:t>七、</w:t>
      </w:r>
      <w:r>
        <w:rPr>
          <w:rFonts w:ascii="宋体" w:hAnsi="宋体" w:cs="宋体" w:eastAsia="宋体" w:hint="default"/>
          <w:spacing w:val="-50"/>
        </w:rPr>
        <w:t> </w:t>
      </w:r>
      <w:r>
        <w:rPr>
          <w:rFonts w:ascii="宋体" w:hAnsi="宋体" w:cs="宋体" w:eastAsia="宋体" w:hint="default"/>
        </w:rPr>
        <w:t>或有事项</w:t>
      </w:r>
      <w:r>
        <w:rPr>
          <w:rFonts w:ascii="宋体" w:hAnsi="宋体" w:cs="宋体" w:eastAsia="宋体" w:hint="default"/>
          <w:b w:val="0"/>
          <w:bCs w:val="0"/>
        </w:rPr>
      </w:r>
    </w:p>
    <w:p>
      <w:pPr>
        <w:pStyle w:val="Heading4"/>
        <w:spacing w:line="240" w:lineRule="auto" w:before="134"/>
        <w:ind w:left="500" w:right="-18"/>
        <w:jc w:val="left"/>
        <w:rPr>
          <w:rFonts w:ascii="宋体" w:hAnsi="宋体" w:cs="宋体" w:eastAsia="宋体" w:hint="default"/>
          <w:b w:val="0"/>
          <w:bCs w:val="0"/>
        </w:rPr>
      </w:pPr>
      <w:r>
        <w:rPr>
          <w:rFonts w:ascii="宋体" w:hAnsi="宋体" w:cs="宋体" w:eastAsia="宋体" w:hint="default"/>
        </w:rPr>
        <w:t>（一）</w:t>
      </w:r>
      <w:r>
        <w:rPr>
          <w:rFonts w:ascii="宋体" w:hAnsi="宋体" w:cs="宋体" w:eastAsia="宋体" w:hint="default"/>
          <w:spacing w:val="-24"/>
        </w:rPr>
        <w:t> </w:t>
      </w:r>
      <w:r>
        <w:rPr>
          <w:rFonts w:ascii="宋体" w:hAnsi="宋体" w:cs="宋体" w:eastAsia="宋体" w:hint="default"/>
        </w:rPr>
        <w:t>或有负债</w:t>
      </w:r>
      <w:r>
        <w:rPr>
          <w:rFonts w:ascii="宋体" w:hAnsi="宋体" w:cs="宋体" w:eastAsia="宋体" w:hint="default"/>
          <w:b w:val="0"/>
          <w:bCs w:val="0"/>
        </w:rPr>
      </w:r>
    </w:p>
    <w:p>
      <w:pPr>
        <w:pStyle w:val="Heading4"/>
        <w:tabs>
          <w:tab w:pos="3868" w:val="left" w:leader="none"/>
        </w:tabs>
        <w:spacing w:line="240" w:lineRule="auto"/>
        <w:ind w:left="137" w:right="0"/>
        <w:jc w:val="left"/>
        <w:rPr>
          <w:b w:val="0"/>
          <w:bCs w:val="0"/>
        </w:rPr>
      </w:pPr>
      <w:r>
        <w:rPr>
          <w:b w:val="0"/>
          <w:bCs w:val="0"/>
        </w:rPr>
        <w:br w:type="column"/>
      </w:r>
      <w:r>
        <w:rPr/>
        <w:t>2009</w:t>
      </w:r>
      <w:r>
        <w:rPr>
          <w:spacing w:val="-63"/>
        </w:rPr>
        <w:t> </w:t>
      </w:r>
      <w:r>
        <w:rPr/>
        <w:t>年年度报告正文</w:t>
        <w:tab/>
        <w:t>证券代码</w:t>
      </w:r>
      <w:r>
        <w:rPr>
          <w:spacing w:val="-62"/>
        </w:rPr>
        <w:t> </w:t>
      </w:r>
      <w:r>
        <w:rPr/>
        <w:t>000607</w:t>
      </w:r>
      <w:r>
        <w:rPr>
          <w:b w:val="0"/>
          <w:bCs w:val="0"/>
        </w:rPr>
      </w:r>
    </w:p>
    <w:p>
      <w:pPr>
        <w:spacing w:after="0" w:line="240" w:lineRule="auto"/>
        <w:jc w:val="left"/>
        <w:sectPr>
          <w:type w:val="continuous"/>
          <w:pgSz w:w="11910" w:h="16840"/>
          <w:pgMar w:top="780" w:bottom="280" w:left="1280" w:right="1180"/>
          <w:cols w:num="2" w:equalWidth="0">
            <w:col w:w="2060" w:space="1418"/>
            <w:col w:w="5972"/>
          </w:cols>
        </w:sectPr>
      </w:pPr>
    </w:p>
    <w:p>
      <w:pPr>
        <w:pStyle w:val="Heading4"/>
        <w:spacing w:line="240" w:lineRule="auto" w:before="134"/>
        <w:ind w:right="0"/>
        <w:jc w:val="left"/>
        <w:rPr>
          <w:rFonts w:ascii="宋体" w:hAnsi="宋体" w:cs="宋体" w:eastAsia="宋体" w:hint="default"/>
          <w:b w:val="0"/>
          <w:bCs w:val="0"/>
        </w:rPr>
      </w:pPr>
      <w:r>
        <w:rPr>
          <w:rFonts w:ascii="Century Gothic" w:hAnsi="Century Gothic" w:cs="Century Gothic" w:eastAsia="Century Gothic" w:hint="default"/>
        </w:rPr>
        <w:t>1.</w:t>
      </w:r>
      <w:r>
        <w:rPr>
          <w:rFonts w:ascii="Century Gothic" w:hAnsi="Century Gothic" w:cs="Century Gothic" w:eastAsia="Century Gothic" w:hint="default"/>
          <w:spacing w:val="2"/>
        </w:rPr>
        <w:t> </w:t>
      </w:r>
      <w:r>
        <w:rPr>
          <w:rFonts w:ascii="宋体" w:hAnsi="宋体" w:cs="宋体" w:eastAsia="宋体" w:hint="default"/>
        </w:rPr>
        <w:t>未决诉讼或仲裁形成的或有负债及其财务影响</w:t>
      </w:r>
      <w:r>
        <w:rPr>
          <w:rFonts w:ascii="宋体" w:hAnsi="宋体" w:cs="宋体" w:eastAsia="宋体" w:hint="default"/>
          <w:b w:val="0"/>
          <w:bCs w:val="0"/>
        </w:rPr>
      </w:r>
    </w:p>
    <w:p>
      <w:pPr>
        <w:pStyle w:val="BodyText"/>
        <w:spacing w:line="343" w:lineRule="auto" w:before="119"/>
        <w:ind w:right="113" w:firstLine="420"/>
        <w:jc w:val="both"/>
      </w:pPr>
      <w:r>
        <w:rPr>
          <w:rFonts w:ascii="Century Gothic" w:hAnsi="Century Gothic" w:cs="Century Gothic" w:eastAsia="Century Gothic" w:hint="default"/>
        </w:rPr>
        <w:t>2008</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月</w:t>
      </w:r>
      <w:r>
        <w:rPr>
          <w:spacing w:val="-55"/>
        </w:rPr>
        <w:t> </w:t>
      </w:r>
      <w:r>
        <w:rPr>
          <w:rFonts w:ascii="Century Gothic" w:hAnsi="Century Gothic" w:cs="Century Gothic" w:eastAsia="Century Gothic" w:hint="default"/>
        </w:rPr>
        <w:t>7</w:t>
      </w:r>
      <w:r>
        <w:rPr>
          <w:rFonts w:ascii="Century Gothic" w:hAnsi="Century Gothic" w:cs="Century Gothic" w:eastAsia="Century Gothic" w:hint="default"/>
          <w:spacing w:val="-7"/>
        </w:rPr>
        <w:t> </w:t>
      </w:r>
      <w:r>
        <w:rPr/>
        <w:t>日，重庆健桥医药开发有限公司（简称</w:t>
      </w:r>
      <w:r>
        <w:rPr>
          <w:rFonts w:ascii="Century Gothic" w:hAnsi="Century Gothic" w:cs="Century Gothic" w:eastAsia="Century Gothic" w:hint="default"/>
        </w:rPr>
        <w:t>“</w:t>
      </w:r>
      <w:r>
        <w:rPr/>
        <w:t>重庆健桥</w:t>
      </w:r>
      <w:r>
        <w:rPr>
          <w:rFonts w:ascii="Century Gothic" w:hAnsi="Century Gothic" w:cs="Century Gothic" w:eastAsia="Century Gothic" w:hint="default"/>
        </w:rPr>
        <w:t>”</w:t>
      </w:r>
      <w:r>
        <w:rPr/>
        <w:t>）以公司产品</w:t>
      </w:r>
      <w:r>
        <w:rPr>
          <w:rFonts w:ascii="Century Gothic" w:hAnsi="Century Gothic" w:cs="Century Gothic" w:eastAsia="Century Gothic" w:hint="default"/>
        </w:rPr>
        <w:t>“</w:t>
      </w:r>
      <w:r>
        <w:rPr/>
        <w:t>科泰复</w:t>
      </w:r>
      <w:r>
        <w:rPr>
          <w:rFonts w:ascii="Century Gothic" w:hAnsi="Century Gothic" w:cs="Century Gothic" w:eastAsia="Century Gothic" w:hint="default"/>
        </w:rPr>
        <w:t>”</w:t>
      </w:r>
      <w:r>
        <w:rPr/>
        <w:t>牌双氢 青蒿素哌喹片侵犯其复方双氢青蒿素专利权（专利号</w:t>
      </w:r>
      <w:r>
        <w:rPr>
          <w:spacing w:val="-55"/>
        </w:rPr>
        <w:t> </w:t>
      </w:r>
      <w:r>
        <w:rPr>
          <w:rFonts w:ascii="Century Gothic" w:hAnsi="Century Gothic" w:cs="Century Gothic" w:eastAsia="Century Gothic" w:hint="default"/>
        </w:rPr>
        <w:t>ZL00113134.6</w:t>
      </w:r>
      <w:r>
        <w:rPr/>
        <w:t>）为由向重庆市第一中级人民法 </w:t>
      </w:r>
      <w:r>
        <w:rPr>
          <w:spacing w:val="-4"/>
        </w:rPr>
        <w:t>院提起诉讼。</w:t>
      </w:r>
      <w:r>
        <w:rPr>
          <w:rFonts w:ascii="Century Gothic" w:hAnsi="Century Gothic" w:cs="Century Gothic" w:eastAsia="Century Gothic" w:hint="default"/>
          <w:spacing w:val="-4"/>
        </w:rPr>
        <w:t>2008</w:t>
      </w:r>
      <w:r>
        <w:rPr>
          <w:rFonts w:ascii="Century Gothic" w:hAnsi="Century Gothic" w:cs="Century Gothic" w:eastAsia="Century Gothic" w:hint="default"/>
          <w:spacing w:val="-13"/>
        </w:rPr>
        <w:t> </w:t>
      </w:r>
      <w:r>
        <w:rPr/>
        <w:t>年</w:t>
      </w:r>
      <w:r>
        <w:rPr>
          <w:spacing w:val="-60"/>
        </w:rPr>
        <w:t> </w:t>
      </w:r>
      <w:r>
        <w:rPr>
          <w:rFonts w:ascii="Century Gothic" w:hAnsi="Century Gothic" w:cs="Century Gothic" w:eastAsia="Century Gothic" w:hint="default"/>
        </w:rPr>
        <w:t>5</w:t>
      </w:r>
      <w:r>
        <w:rPr>
          <w:rFonts w:ascii="Century Gothic" w:hAnsi="Century Gothic" w:cs="Century Gothic" w:eastAsia="Century Gothic" w:hint="default"/>
          <w:spacing w:val="-13"/>
        </w:rPr>
        <w:t> </w:t>
      </w:r>
      <w:r>
        <w:rPr/>
        <w:t>月</w:t>
      </w:r>
      <w:r>
        <w:rPr>
          <w:spacing w:val="-61"/>
        </w:rPr>
        <w:t> </w:t>
      </w:r>
      <w:r>
        <w:rPr>
          <w:rFonts w:ascii="Century Gothic" w:hAnsi="Century Gothic" w:cs="Century Gothic" w:eastAsia="Century Gothic" w:hint="default"/>
        </w:rPr>
        <w:t>26</w:t>
      </w:r>
      <w:r>
        <w:rPr>
          <w:rFonts w:ascii="Century Gothic" w:hAnsi="Century Gothic" w:cs="Century Gothic" w:eastAsia="Century Gothic" w:hint="default"/>
          <w:spacing w:val="-13"/>
        </w:rPr>
        <w:t> </w:t>
      </w:r>
      <w:r>
        <w:rPr/>
        <w:t>日，重庆市第一中级人民法院一审判决认定公司</w:t>
      </w:r>
      <w:r>
        <w:rPr>
          <w:rFonts w:ascii="Century Gothic" w:hAnsi="Century Gothic" w:cs="Century Gothic" w:eastAsia="Century Gothic" w:hint="default"/>
        </w:rPr>
        <w:t>“</w:t>
      </w:r>
      <w:r>
        <w:rPr/>
        <w:t>科泰复</w:t>
      </w:r>
      <w:r>
        <w:rPr>
          <w:rFonts w:ascii="Century Gothic" w:hAnsi="Century Gothic" w:cs="Century Gothic" w:eastAsia="Century Gothic" w:hint="default"/>
        </w:rPr>
        <w:t>”</w:t>
      </w:r>
      <w:r>
        <w:rPr/>
        <w:t>产品侵权事实 </w:t>
      </w:r>
      <w:r>
        <w:rPr>
          <w:spacing w:val="-2"/>
        </w:rPr>
        <w:t>成立，责令公司停止生产、销售科泰复牌双氢青蒿素哌喹片，立即销毁已生产的该产品，赔偿原告重</w:t>
      </w:r>
      <w:r>
        <w:rPr>
          <w:spacing w:val="-67"/>
        </w:rPr>
        <w:t> </w:t>
      </w:r>
      <w:r>
        <w:rPr>
          <w:spacing w:val="-67"/>
        </w:rPr>
      </w:r>
      <w:r>
        <w:rPr/>
        <w:t>庆健桥经济损失</w:t>
      </w:r>
      <w:r>
        <w:rPr>
          <w:spacing w:val="-53"/>
        </w:rPr>
        <w:t> </w:t>
      </w:r>
      <w:r>
        <w:rPr>
          <w:rFonts w:ascii="Century Gothic" w:hAnsi="Century Gothic" w:cs="Century Gothic" w:eastAsia="Century Gothic" w:hint="default"/>
        </w:rPr>
        <w:t>1</w:t>
      </w:r>
      <w:r>
        <w:rPr>
          <w:rFonts w:ascii="Century Gothic" w:hAnsi="Century Gothic" w:cs="Century Gothic" w:eastAsia="Century Gothic" w:hint="default"/>
          <w:spacing w:val="-6"/>
        </w:rPr>
        <w:t> </w:t>
      </w:r>
      <w:r>
        <w:rPr/>
        <w:t>元。</w:t>
      </w:r>
    </w:p>
    <w:p>
      <w:pPr>
        <w:pStyle w:val="BodyText"/>
        <w:spacing w:line="240" w:lineRule="auto" w:before="10"/>
        <w:ind w:left="558" w:right="0"/>
        <w:jc w:val="left"/>
      </w:pPr>
      <w:r>
        <w:rPr/>
        <w:t>公司于</w:t>
      </w:r>
      <w:r>
        <w:rPr>
          <w:spacing w:val="-54"/>
        </w:rPr>
        <w:t> </w:t>
      </w:r>
      <w:r>
        <w:rPr>
          <w:rFonts w:ascii="Century Gothic" w:hAnsi="Century Gothic" w:cs="Century Gothic" w:eastAsia="Century Gothic" w:hint="default"/>
        </w:rPr>
        <w:t>2008</w:t>
      </w:r>
      <w:r>
        <w:rPr>
          <w:rFonts w:ascii="Century Gothic" w:hAnsi="Century Gothic" w:cs="Century Gothic" w:eastAsia="Century Gothic" w:hint="default"/>
          <w:spacing w:val="-8"/>
        </w:rPr>
        <w:t> </w:t>
      </w:r>
      <w:r>
        <w:rPr/>
        <w:t>年</w:t>
      </w:r>
      <w:r>
        <w:rPr>
          <w:spacing w:val="-54"/>
        </w:rPr>
        <w:t> </w:t>
      </w:r>
      <w:r>
        <w:rPr>
          <w:rFonts w:ascii="Century Gothic" w:hAnsi="Century Gothic" w:cs="Century Gothic" w:eastAsia="Century Gothic" w:hint="default"/>
        </w:rPr>
        <w:t>7</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29</w:t>
      </w:r>
      <w:r>
        <w:rPr>
          <w:rFonts w:ascii="Century Gothic" w:hAnsi="Century Gothic" w:cs="Century Gothic" w:eastAsia="Century Gothic" w:hint="default"/>
          <w:spacing w:val="-7"/>
        </w:rPr>
        <w:t> </w:t>
      </w:r>
      <w:r>
        <w:rPr/>
        <w:t>日向重庆市高级人民法院递交民事上诉状，请求撤销重庆市第一中级人</w:t>
      </w:r>
    </w:p>
    <w:p>
      <w:pPr>
        <w:pStyle w:val="BodyText"/>
        <w:spacing w:line="240" w:lineRule="auto"/>
        <w:ind w:right="0"/>
        <w:jc w:val="left"/>
      </w:pPr>
      <w:r>
        <w:rPr/>
        <w:t>民法院（</w:t>
      </w:r>
      <w:r>
        <w:rPr>
          <w:rFonts w:ascii="Century Gothic" w:hAnsi="Century Gothic" w:cs="Century Gothic" w:eastAsia="Century Gothic" w:hint="default"/>
        </w:rPr>
        <w:t>2008</w:t>
      </w:r>
      <w:r>
        <w:rPr/>
        <w:t>）渝一中法民初字第</w:t>
      </w:r>
      <w:r>
        <w:rPr>
          <w:spacing w:val="-54"/>
        </w:rPr>
        <w:t> </w:t>
      </w:r>
      <w:r>
        <w:rPr>
          <w:rFonts w:ascii="Century Gothic" w:hAnsi="Century Gothic" w:cs="Century Gothic" w:eastAsia="Century Gothic" w:hint="default"/>
        </w:rPr>
        <w:t>13</w:t>
      </w:r>
      <w:r>
        <w:rPr>
          <w:rFonts w:ascii="Century Gothic" w:hAnsi="Century Gothic" w:cs="Century Gothic" w:eastAsia="Century Gothic" w:hint="default"/>
          <w:spacing w:val="-8"/>
        </w:rPr>
        <w:t> </w:t>
      </w:r>
      <w:r>
        <w:rPr/>
        <w:t>号民事判决，依法改判驳回上诉人重庆健桥的全部诉讼请求。</w:t>
      </w:r>
    </w:p>
    <w:p>
      <w:pPr>
        <w:pStyle w:val="BodyText"/>
        <w:spacing w:line="343" w:lineRule="auto"/>
        <w:ind w:right="103" w:firstLine="420"/>
        <w:jc w:val="left"/>
      </w:pPr>
      <w:r>
        <w:rPr/>
        <w:t>公司于</w:t>
      </w:r>
      <w:r>
        <w:rPr>
          <w:spacing w:val="-54"/>
        </w:rPr>
        <w:t> </w:t>
      </w:r>
      <w:r>
        <w:rPr>
          <w:rFonts w:ascii="Century Gothic" w:hAnsi="Century Gothic" w:cs="Century Gothic" w:eastAsia="Century Gothic" w:hint="default"/>
        </w:rPr>
        <w:t>2008</w:t>
      </w:r>
      <w:r>
        <w:rPr>
          <w:rFonts w:ascii="Century Gothic" w:hAnsi="Century Gothic" w:cs="Century Gothic" w:eastAsia="Century Gothic" w:hint="default"/>
          <w:spacing w:val="-8"/>
        </w:rPr>
        <w:t> </w:t>
      </w:r>
      <w:r>
        <w:rPr/>
        <w:t>年</w:t>
      </w:r>
      <w:r>
        <w:rPr>
          <w:spacing w:val="-54"/>
        </w:rPr>
        <w:t> </w:t>
      </w:r>
      <w:r>
        <w:rPr>
          <w:rFonts w:ascii="Century Gothic" w:hAnsi="Century Gothic" w:cs="Century Gothic" w:eastAsia="Century Gothic" w:hint="default"/>
        </w:rPr>
        <w:t>8</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28</w:t>
      </w:r>
      <w:r>
        <w:rPr>
          <w:rFonts w:ascii="Century Gothic" w:hAnsi="Century Gothic" w:cs="Century Gothic" w:eastAsia="Century Gothic" w:hint="default"/>
          <w:spacing w:val="-7"/>
        </w:rPr>
        <w:t> </w:t>
      </w:r>
      <w:r>
        <w:rPr/>
        <w:t>日收到国家知识产权局专利复审委员会发来的第</w:t>
      </w:r>
      <w:r>
        <w:rPr>
          <w:spacing w:val="-54"/>
        </w:rPr>
        <w:t> </w:t>
      </w:r>
      <w:r>
        <w:rPr>
          <w:rFonts w:ascii="Century Gothic" w:hAnsi="Century Gothic" w:cs="Century Gothic" w:eastAsia="Century Gothic" w:hint="default"/>
        </w:rPr>
        <w:t>12148</w:t>
      </w:r>
      <w:r>
        <w:rPr>
          <w:rFonts w:ascii="Century Gothic" w:hAnsi="Century Gothic" w:cs="Century Gothic" w:eastAsia="Century Gothic" w:hint="default"/>
          <w:spacing w:val="-7"/>
        </w:rPr>
        <w:t> </w:t>
      </w:r>
      <w:r>
        <w:rPr/>
        <w:t>号《无效宣告请 求审查决定书》，该决定书认定重庆健桥持有的</w:t>
      </w:r>
      <w:r>
        <w:rPr>
          <w:rFonts w:ascii="Century Gothic" w:hAnsi="Century Gothic" w:cs="Century Gothic" w:eastAsia="Century Gothic" w:hint="default"/>
        </w:rPr>
        <w:t>“</w:t>
      </w:r>
      <w:r>
        <w:rPr/>
        <w:t>抗疟药新药复方双氢青蒿素</w:t>
      </w:r>
      <w:r>
        <w:rPr>
          <w:rFonts w:ascii="Century Gothic" w:hAnsi="Century Gothic" w:cs="Century Gothic" w:eastAsia="Century Gothic" w:hint="default"/>
        </w:rPr>
        <w:t>”</w:t>
      </w:r>
      <w:r>
        <w:rPr/>
        <w:t>专利（专利号 </w:t>
      </w:r>
      <w:r>
        <w:rPr>
          <w:rFonts w:ascii="Century Gothic" w:hAnsi="Century Gothic" w:cs="Century Gothic" w:eastAsia="Century Gothic" w:hint="default"/>
          <w:spacing w:val="-2"/>
        </w:rPr>
        <w:t>ZL00113134.6</w:t>
      </w:r>
      <w:r>
        <w:rPr>
          <w:spacing w:val="-2"/>
        </w:rPr>
        <w:t>）不具备创造性，该专利权全部无效。公司将该决定书作为上诉证据提交给重庆市高级</w:t>
      </w:r>
      <w:r>
        <w:rPr>
          <w:spacing w:val="-102"/>
        </w:rPr>
        <w:t> </w:t>
      </w:r>
      <w:r>
        <w:rPr>
          <w:spacing w:val="-102"/>
        </w:rPr>
      </w:r>
      <w:r>
        <w:rPr>
          <w:spacing w:val="-2"/>
        </w:rPr>
        <w:t>人民法院。随后，重庆健桥向北京市第一中级人民法院提起行政诉讼，请求撤销国家知识产权局专利</w:t>
      </w:r>
      <w:r>
        <w:rPr>
          <w:spacing w:val="-68"/>
        </w:rPr>
        <w:t> </w:t>
      </w:r>
      <w:r>
        <w:rPr>
          <w:spacing w:val="-68"/>
        </w:rPr>
      </w:r>
      <w:r>
        <w:rPr/>
        <w:t>复审委员会第</w:t>
      </w:r>
      <w:r>
        <w:rPr>
          <w:spacing w:val="-55"/>
        </w:rPr>
        <w:t> </w:t>
      </w:r>
      <w:r>
        <w:rPr>
          <w:rFonts w:ascii="Century Gothic" w:hAnsi="Century Gothic" w:cs="Century Gothic" w:eastAsia="Century Gothic" w:hint="default"/>
        </w:rPr>
        <w:t>12148</w:t>
      </w:r>
      <w:r>
        <w:rPr>
          <w:rFonts w:ascii="Century Gothic" w:hAnsi="Century Gothic" w:cs="Century Gothic" w:eastAsia="Century Gothic" w:hint="default"/>
          <w:spacing w:val="-8"/>
        </w:rPr>
        <w:t> </w:t>
      </w:r>
      <w:r>
        <w:rPr/>
        <w:t>号《无效宣告请求审查决定书》。</w:t>
      </w:r>
    </w:p>
    <w:p>
      <w:pPr>
        <w:pStyle w:val="BodyText"/>
        <w:spacing w:line="336" w:lineRule="auto" w:before="11"/>
        <w:ind w:right="133" w:firstLine="420"/>
        <w:jc w:val="both"/>
      </w:pPr>
      <w:r>
        <w:rPr>
          <w:rFonts w:ascii="Century Gothic" w:hAnsi="Century Gothic" w:cs="Century Gothic" w:eastAsia="Century Gothic" w:hint="default"/>
        </w:rPr>
        <w:t>2008</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12</w:t>
      </w:r>
      <w:r>
        <w:rPr>
          <w:rFonts w:ascii="Century Gothic" w:hAnsi="Century Gothic" w:cs="Century Gothic" w:eastAsia="Century Gothic" w:hint="default"/>
          <w:spacing w:val="-8"/>
        </w:rPr>
        <w:t> </w:t>
      </w:r>
      <w:r>
        <w:rPr/>
        <w:t>月</w:t>
      </w:r>
      <w:r>
        <w:rPr>
          <w:spacing w:val="-54"/>
        </w:rPr>
        <w:t> </w:t>
      </w:r>
      <w:r>
        <w:rPr>
          <w:rFonts w:ascii="Century Gothic" w:hAnsi="Century Gothic" w:cs="Century Gothic" w:eastAsia="Century Gothic" w:hint="default"/>
        </w:rPr>
        <w:t>10</w:t>
      </w:r>
      <w:r>
        <w:rPr>
          <w:rFonts w:ascii="Century Gothic" w:hAnsi="Century Gothic" w:cs="Century Gothic" w:eastAsia="Century Gothic" w:hint="default"/>
          <w:spacing w:val="-7"/>
        </w:rPr>
        <w:t> </w:t>
      </w:r>
      <w:r>
        <w:rPr/>
        <w:t>日，重庆市高级人民法院裁定重庆健桥诉公司</w:t>
      </w:r>
      <w:r>
        <w:rPr>
          <w:rFonts w:ascii="Century Gothic" w:hAnsi="Century Gothic" w:cs="Century Gothic" w:eastAsia="Century Gothic" w:hint="default"/>
        </w:rPr>
        <w:t>“</w:t>
      </w:r>
      <w:r>
        <w:rPr/>
        <w:t>科泰复</w:t>
      </w:r>
      <w:r>
        <w:rPr>
          <w:rFonts w:ascii="Century Gothic" w:hAnsi="Century Gothic" w:cs="Century Gothic" w:eastAsia="Century Gothic" w:hint="default"/>
        </w:rPr>
        <w:t>”</w:t>
      </w:r>
      <w:r>
        <w:rPr/>
        <w:t>牌双氢青蒿素哌喹片侵 犯其专利权（专利号</w:t>
      </w:r>
      <w:r>
        <w:rPr>
          <w:spacing w:val="-54"/>
        </w:rPr>
        <w:t> </w:t>
      </w:r>
      <w:r>
        <w:rPr>
          <w:rFonts w:ascii="Century Gothic" w:hAnsi="Century Gothic" w:cs="Century Gothic" w:eastAsia="Century Gothic" w:hint="default"/>
        </w:rPr>
        <w:t>ZL00113134.6</w:t>
      </w:r>
      <w:r>
        <w:rPr/>
        <w:t>）案中止诉讼，待本案专利权行政诉讼的审理结果生效后，本案 恢复诉讼。</w:t>
      </w:r>
      <w:r>
        <w:rPr>
          <w:rFonts w:ascii="Century Gothic" w:hAnsi="Century Gothic" w:cs="Century Gothic" w:eastAsia="Century Gothic" w:hint="default"/>
        </w:rPr>
        <w:t>2009</w:t>
      </w:r>
      <w:r>
        <w:rPr>
          <w:rFonts w:ascii="Century Gothic" w:hAnsi="Century Gothic" w:cs="Century Gothic" w:eastAsia="Century Gothic" w:hint="default"/>
          <w:spacing w:val="-7"/>
        </w:rPr>
        <w:t> </w:t>
      </w:r>
      <w:r>
        <w:rPr/>
        <w:t>年，北京市第一中级人民法院（</w:t>
      </w:r>
      <w:r>
        <w:rPr>
          <w:rFonts w:ascii="Century Gothic" w:hAnsi="Century Gothic" w:cs="Century Gothic" w:eastAsia="Century Gothic" w:hint="default"/>
        </w:rPr>
        <w:t>2008</w:t>
      </w:r>
      <w:r>
        <w:rPr/>
        <w:t>）一中初字第</w:t>
      </w:r>
      <w:r>
        <w:rPr>
          <w:spacing w:val="-54"/>
        </w:rPr>
        <w:t> </w:t>
      </w:r>
      <w:r>
        <w:rPr>
          <w:rFonts w:ascii="Century Gothic" w:hAnsi="Century Gothic" w:cs="Century Gothic" w:eastAsia="Century Gothic" w:hint="default"/>
        </w:rPr>
        <w:t>1755</w:t>
      </w:r>
      <w:r>
        <w:rPr>
          <w:rFonts w:ascii="Century Gothic" w:hAnsi="Century Gothic" w:cs="Century Gothic" w:eastAsia="Century Gothic" w:hint="default"/>
          <w:spacing w:val="-7"/>
        </w:rPr>
        <w:t> </w:t>
      </w:r>
      <w:r>
        <w:rPr/>
        <w:t>号行政判决书裁定维持国 家知识产权局专利复审委员会于</w:t>
      </w:r>
      <w:r>
        <w:rPr>
          <w:spacing w:val="-54"/>
        </w:rPr>
        <w:t> </w:t>
      </w:r>
      <w:r>
        <w:rPr>
          <w:rFonts w:ascii="Century Gothic" w:hAnsi="Century Gothic" w:cs="Century Gothic" w:eastAsia="Century Gothic" w:hint="default"/>
        </w:rPr>
        <w:t>2008</w:t>
      </w:r>
      <w:r>
        <w:rPr>
          <w:rFonts w:ascii="Century Gothic" w:hAnsi="Century Gothic" w:cs="Century Gothic" w:eastAsia="Century Gothic" w:hint="default"/>
          <w:spacing w:val="-7"/>
        </w:rPr>
        <w:t> </w:t>
      </w:r>
      <w:r>
        <w:rPr/>
        <w:t>年</w:t>
      </w:r>
      <w:r>
        <w:rPr>
          <w:spacing w:val="-54"/>
        </w:rPr>
        <w:t> </w:t>
      </w:r>
      <w:r>
        <w:rPr>
          <w:rFonts w:ascii="Century Gothic" w:hAnsi="Century Gothic" w:cs="Century Gothic" w:eastAsia="Century Gothic" w:hint="default"/>
        </w:rPr>
        <w:t>8</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7</w:t>
      </w:r>
      <w:r>
        <w:rPr>
          <w:rFonts w:ascii="Century Gothic" w:hAnsi="Century Gothic" w:cs="Century Gothic" w:eastAsia="Century Gothic" w:hint="default"/>
          <w:spacing w:val="-8"/>
        </w:rPr>
        <w:t> </w:t>
      </w:r>
      <w:r>
        <w:rPr/>
        <w:t>日作出的第</w:t>
      </w:r>
      <w:r>
        <w:rPr>
          <w:spacing w:val="-54"/>
        </w:rPr>
        <w:t> </w:t>
      </w:r>
      <w:r>
        <w:rPr>
          <w:rFonts w:ascii="Century Gothic" w:hAnsi="Century Gothic" w:cs="Century Gothic" w:eastAsia="Century Gothic" w:hint="default"/>
        </w:rPr>
        <w:t>12148</w:t>
      </w:r>
      <w:r>
        <w:rPr>
          <w:rFonts w:ascii="Century Gothic" w:hAnsi="Century Gothic" w:cs="Century Gothic" w:eastAsia="Century Gothic" w:hint="default"/>
          <w:spacing w:val="-7"/>
        </w:rPr>
        <w:t> </w:t>
      </w:r>
      <w:r>
        <w:rPr/>
        <w:t>号无效宣告请求审查决定。</w:t>
      </w:r>
    </w:p>
    <w:p>
      <w:pPr>
        <w:pStyle w:val="BodyText"/>
        <w:spacing w:line="336" w:lineRule="auto" w:before="18"/>
        <w:ind w:right="0" w:firstLine="420"/>
        <w:jc w:val="left"/>
      </w:pPr>
      <w:r>
        <w:rPr/>
        <w:t>截止</w:t>
      </w:r>
      <w:r>
        <w:rPr>
          <w:spacing w:val="-54"/>
        </w:rPr>
        <w:t> </w:t>
      </w:r>
      <w:r>
        <w:rPr>
          <w:rFonts w:ascii="Century Gothic" w:hAnsi="Century Gothic" w:cs="Century Gothic" w:eastAsia="Century Gothic" w:hint="default"/>
        </w:rPr>
        <w:t>2010</w:t>
      </w:r>
      <w:r>
        <w:rPr>
          <w:rFonts w:ascii="Century Gothic" w:hAnsi="Century Gothic" w:cs="Century Gothic" w:eastAsia="Century Gothic" w:hint="default"/>
          <w:spacing w:val="-8"/>
        </w:rPr>
        <w:t> </w:t>
      </w:r>
      <w:r>
        <w:rPr/>
        <w:t>年</w:t>
      </w:r>
      <w:r>
        <w:rPr>
          <w:spacing w:val="-54"/>
        </w:rPr>
        <w:t> </w:t>
      </w:r>
      <w:r>
        <w:rPr>
          <w:rFonts w:ascii="Century Gothic" w:hAnsi="Century Gothic" w:cs="Century Gothic" w:eastAsia="Century Gothic" w:hint="default"/>
        </w:rPr>
        <w:t>3</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18</w:t>
      </w:r>
      <w:r>
        <w:rPr>
          <w:rFonts w:ascii="Century Gothic" w:hAnsi="Century Gothic" w:cs="Century Gothic" w:eastAsia="Century Gothic" w:hint="default"/>
          <w:spacing w:val="-7"/>
        </w:rPr>
        <w:t> </w:t>
      </w:r>
      <w:r>
        <w:rPr/>
        <w:t>日，重庆市高级人民法院尚未恢复审理。若本案败诉，公司将不能在国内 </w:t>
      </w:r>
      <w:r>
        <w:rPr>
          <w:spacing w:val="-2"/>
        </w:rPr>
        <w:t>继续生产、销售</w:t>
      </w:r>
      <w:r>
        <w:rPr>
          <w:rFonts w:ascii="Century Gothic" w:hAnsi="Century Gothic" w:cs="Century Gothic" w:eastAsia="Century Gothic" w:hint="default"/>
          <w:spacing w:val="-2"/>
        </w:rPr>
        <w:t>“</w:t>
      </w:r>
      <w:r>
        <w:rPr>
          <w:spacing w:val="-2"/>
        </w:rPr>
        <w:t>科泰复</w:t>
      </w:r>
      <w:r>
        <w:rPr>
          <w:rFonts w:ascii="Century Gothic" w:hAnsi="Century Gothic" w:cs="Century Gothic" w:eastAsia="Century Gothic" w:hint="default"/>
          <w:spacing w:val="-2"/>
        </w:rPr>
        <w:t>”</w:t>
      </w:r>
      <w:r>
        <w:rPr>
          <w:spacing w:val="-2"/>
        </w:rPr>
        <w:t>牌双氢青蒿素哌喹片，对公司的生产经营会产生一定负面影响。公司目前无</w:t>
      </w:r>
      <w:r>
        <w:rPr>
          <w:spacing w:val="-63"/>
        </w:rPr>
        <w:t> </w:t>
      </w:r>
      <w:r>
        <w:rPr>
          <w:spacing w:val="-63"/>
        </w:rPr>
      </w:r>
      <w:r>
        <w:rPr/>
        <w:t>法就该诉讼事项对公司生产经营的影响作出具体估计。</w:t>
      </w:r>
    </w:p>
    <w:p>
      <w:pPr>
        <w:pStyle w:val="Heading4"/>
        <w:spacing w:line="240" w:lineRule="auto" w:before="50"/>
        <w:ind w:right="0"/>
        <w:jc w:val="left"/>
        <w:rPr>
          <w:rFonts w:ascii="宋体" w:hAnsi="宋体" w:cs="宋体" w:eastAsia="宋体" w:hint="default"/>
          <w:b w:val="0"/>
          <w:bCs w:val="0"/>
        </w:rPr>
      </w:pPr>
      <w:r>
        <w:rPr>
          <w:rFonts w:ascii="Century Gothic" w:hAnsi="Century Gothic" w:cs="Century Gothic" w:eastAsia="Century Gothic" w:hint="default"/>
        </w:rPr>
        <w:t>2. </w:t>
      </w:r>
      <w:r>
        <w:rPr>
          <w:rFonts w:ascii="Century Gothic" w:hAnsi="Century Gothic" w:cs="Century Gothic" w:eastAsia="Century Gothic" w:hint="default"/>
          <w:spacing w:val="11"/>
        </w:rPr>
        <w:t> </w:t>
      </w:r>
      <w:r>
        <w:rPr>
          <w:rFonts w:ascii="宋体" w:hAnsi="宋体" w:cs="宋体" w:eastAsia="宋体" w:hint="default"/>
        </w:rPr>
        <w:t>为其他单位提供债务担保形成的或有负债及其财务影响</w:t>
      </w:r>
      <w:r>
        <w:rPr>
          <w:rFonts w:ascii="宋体" w:hAnsi="宋体" w:cs="宋体" w:eastAsia="宋体" w:hint="default"/>
          <w:b w:val="0"/>
          <w:bCs w:val="0"/>
        </w:rPr>
      </w:r>
    </w:p>
    <w:p>
      <w:pPr>
        <w:pStyle w:val="BodyText"/>
        <w:spacing w:line="240" w:lineRule="auto" w:before="119"/>
        <w:ind w:left="558" w:right="0"/>
        <w:jc w:val="left"/>
      </w:pPr>
      <w:r>
        <w:rPr/>
        <w:t>截止</w:t>
      </w:r>
      <w:r>
        <w:rPr>
          <w:spacing w:val="-54"/>
        </w:rPr>
        <w:t> </w:t>
      </w:r>
      <w:r>
        <w:rPr>
          <w:rFonts w:ascii="Century Gothic" w:hAnsi="Century Gothic" w:cs="Century Gothic" w:eastAsia="Century Gothic" w:hint="default"/>
        </w:rPr>
        <w:t>2009</w:t>
      </w:r>
      <w:r>
        <w:rPr>
          <w:rFonts w:ascii="Century Gothic" w:hAnsi="Century Gothic" w:cs="Century Gothic" w:eastAsia="Century Gothic" w:hint="default"/>
          <w:spacing w:val="-8"/>
        </w:rPr>
        <w:t> </w:t>
      </w:r>
      <w:r>
        <w:rPr/>
        <w:t>年</w:t>
      </w:r>
      <w:r>
        <w:rPr>
          <w:spacing w:val="-54"/>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31</w:t>
      </w:r>
      <w:r>
        <w:rPr>
          <w:rFonts w:ascii="Century Gothic" w:hAnsi="Century Gothic" w:cs="Century Gothic" w:eastAsia="Century Gothic" w:hint="default"/>
          <w:spacing w:val="-8"/>
        </w:rPr>
        <w:t> </w:t>
      </w:r>
      <w:r>
        <w:rPr/>
        <w:t>日，本公司为下列单位贷款提供保证：</w:t>
      </w:r>
    </w:p>
    <w:p>
      <w:pPr>
        <w:spacing w:line="240" w:lineRule="auto" w:before="8"/>
        <w:rPr>
          <w:rFonts w:ascii="宋体" w:hAnsi="宋体" w:cs="宋体" w:eastAsia="宋体" w:hint="default"/>
          <w:sz w:val="11"/>
          <w:szCs w:val="11"/>
        </w:rPr>
      </w:pPr>
    </w:p>
    <w:tbl>
      <w:tblPr>
        <w:tblW w:w="0" w:type="auto"/>
        <w:jc w:val="left"/>
        <w:tblInd w:w="281" w:type="dxa"/>
        <w:tblLayout w:type="fixed"/>
        <w:tblCellMar>
          <w:top w:w="0" w:type="dxa"/>
          <w:left w:w="0" w:type="dxa"/>
          <w:bottom w:w="0" w:type="dxa"/>
          <w:right w:w="0" w:type="dxa"/>
        </w:tblCellMar>
        <w:tblLook w:val="01E0"/>
      </w:tblPr>
      <w:tblGrid>
        <w:gridCol w:w="2484"/>
        <w:gridCol w:w="1130"/>
        <w:gridCol w:w="1440"/>
        <w:gridCol w:w="1980"/>
        <w:gridCol w:w="1824"/>
      </w:tblGrid>
      <w:tr>
        <w:trPr>
          <w:trHeight w:val="362" w:hRule="exact"/>
        </w:trPr>
        <w:tc>
          <w:tcPr>
            <w:tcW w:w="2484"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513" w:right="0"/>
              <w:jc w:val="left"/>
              <w:rPr>
                <w:rFonts w:ascii="宋体" w:hAnsi="宋体" w:cs="宋体" w:eastAsia="宋体" w:hint="default"/>
                <w:sz w:val="21"/>
                <w:szCs w:val="21"/>
              </w:rPr>
            </w:pPr>
            <w:r>
              <w:rPr>
                <w:rFonts w:ascii="宋体" w:hAnsi="宋体" w:cs="宋体" w:eastAsia="宋体" w:hint="default"/>
                <w:sz w:val="21"/>
                <w:szCs w:val="21"/>
              </w:rPr>
              <w:t>被担保单位名称</w:t>
            </w:r>
          </w:p>
        </w:tc>
        <w:tc>
          <w:tcPr>
            <w:tcW w:w="1130"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136"/>
              <w:jc w:val="right"/>
              <w:rPr>
                <w:rFonts w:ascii="宋体" w:hAnsi="宋体" w:cs="宋体" w:eastAsia="宋体" w:hint="default"/>
                <w:sz w:val="21"/>
                <w:szCs w:val="21"/>
              </w:rPr>
            </w:pPr>
            <w:r>
              <w:rPr>
                <w:rFonts w:ascii="宋体" w:hAnsi="宋体" w:cs="宋体" w:eastAsia="宋体" w:hint="default"/>
                <w:sz w:val="21"/>
                <w:szCs w:val="21"/>
              </w:rPr>
              <w:t>担保事项</w:t>
            </w:r>
          </w:p>
        </w:tc>
        <w:tc>
          <w:tcPr>
            <w:tcW w:w="1440" w:type="dxa"/>
            <w:tcBorders>
              <w:top w:val="single" w:sz="12" w:space="0" w:color="000000"/>
              <w:left w:val="single" w:sz="6" w:space="0" w:color="000000"/>
              <w:bottom w:val="single" w:sz="6" w:space="0" w:color="000000"/>
              <w:right w:val="single" w:sz="6" w:space="0" w:color="000000"/>
            </w:tcBorders>
          </w:tcPr>
          <w:p>
            <w:pPr>
              <w:pStyle w:val="TableParagraph"/>
              <w:tabs>
                <w:tab w:pos="817" w:val="left" w:leader="none"/>
              </w:tabs>
              <w:spacing w:line="274" w:lineRule="exact"/>
              <w:ind w:left="398"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980" w:type="dxa"/>
            <w:tcBorders>
              <w:top w:val="single" w:sz="12" w:space="0" w:color="000000"/>
              <w:left w:val="single" w:sz="6" w:space="0" w:color="000000"/>
              <w:bottom w:val="single" w:sz="6" w:space="0" w:color="000000"/>
              <w:right w:val="single" w:sz="6" w:space="0" w:color="000000"/>
            </w:tcBorders>
          </w:tcPr>
          <w:p>
            <w:pPr>
              <w:pStyle w:val="TableParagraph"/>
              <w:tabs>
                <w:tab w:pos="418" w:val="left" w:leader="none"/>
              </w:tabs>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tab/>
              <w:t>限</w:t>
            </w:r>
          </w:p>
        </w:tc>
        <w:tc>
          <w:tcPr>
            <w:tcW w:w="1824"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55"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一、子公司</w:t>
            </w:r>
          </w:p>
        </w:tc>
        <w:tc>
          <w:tcPr>
            <w:tcW w:w="11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nil" w:sz="6" w:space="0" w:color="auto"/>
            </w:tcBorders>
          </w:tcPr>
          <w:p>
            <w:pPr/>
          </w:p>
        </w:tc>
      </w:tr>
      <w:tr>
        <w:trPr>
          <w:trHeight w:val="484"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华立仪表集团股份有限公司</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7" w:right="0"/>
              <w:jc w:val="left"/>
              <w:rPr>
                <w:rFonts w:ascii="宋体" w:hAnsi="宋体" w:cs="宋体" w:eastAsia="宋体" w:hint="default"/>
                <w:sz w:val="18"/>
                <w:szCs w:val="18"/>
              </w:rPr>
            </w:pPr>
            <w:r>
              <w:rPr>
                <w:rFonts w:ascii="宋体" w:hAnsi="宋体" w:cs="宋体" w:eastAsia="宋体" w:hint="default"/>
                <w:sz w:val="18"/>
                <w:szCs w:val="18"/>
              </w:rPr>
              <w:t>借款担保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Century Gothic" w:hAnsi="Century Gothic" w:cs="Century Gothic" w:eastAsia="Century Gothic" w:hint="default"/>
                <w:sz w:val="18"/>
                <w:szCs w:val="18"/>
              </w:rPr>
            </w:pPr>
            <w:r>
              <w:rPr>
                <w:rFonts w:ascii="Century Gothic"/>
                <w:spacing w:val="-1"/>
                <w:sz w:val="18"/>
              </w:rPr>
              <w:t>150,000,000.0</w:t>
            </w:r>
            <w:r>
              <w:rPr>
                <w:rFonts w:ascii="Century Gothic"/>
                <w:sz w:val="18"/>
              </w:rPr>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w w:val="99"/>
                <w:sz w:val="18"/>
              </w:rPr>
              <w:t>0</w:t>
            </w:r>
            <w:r>
              <w:rPr>
                <w:rFonts w:ascii="Century Gothic"/>
                <w:sz w:val="18"/>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主债权发生期间至届</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满之日起两年</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详见附注六</w:t>
            </w:r>
            <w:r>
              <w:rPr>
                <w:rFonts w:ascii="宋体" w:hAnsi="宋体" w:cs="宋体" w:eastAsia="宋体" w:hint="default"/>
                <w:spacing w:val="-90"/>
                <w:sz w:val="18"/>
                <w:szCs w:val="18"/>
              </w:rPr>
              <w:t>、</w:t>
            </w:r>
            <w:r>
              <w:rPr>
                <w:rFonts w:ascii="宋体" w:hAnsi="宋体" w:cs="宋体" w:eastAsia="宋体" w:hint="default"/>
                <w:sz w:val="18"/>
                <w:szCs w:val="18"/>
              </w:rPr>
              <w:t>（二</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9" w:lineRule="exact"/>
              <w:ind w:right="5"/>
              <w:jc w:val="center"/>
              <w:rPr>
                <w:rFonts w:ascii="Century Gothic" w:hAnsi="Century Gothic" w:cs="Century Gothic" w:eastAsia="Century Gothic" w:hint="default"/>
                <w:sz w:val="18"/>
                <w:szCs w:val="18"/>
              </w:rPr>
            </w:pPr>
            <w:r>
              <w:rPr>
                <w:rFonts w:ascii="Century Gothic" w:hAnsi="Century Gothic" w:cs="Century Gothic" w:eastAsia="Century Gothic" w:hint="default"/>
                <w:sz w:val="18"/>
                <w:szCs w:val="18"/>
              </w:rPr>
              <w:t>5</w:t>
            </w:r>
            <w:r>
              <w:rPr>
                <w:rFonts w:ascii="宋体" w:hAnsi="宋体" w:cs="宋体" w:eastAsia="宋体" w:hint="default"/>
                <w:sz w:val="18"/>
                <w:szCs w:val="18"/>
              </w:rPr>
              <w:t>、</w:t>
            </w:r>
            <w:r>
              <w:rPr>
                <w:rFonts w:ascii="Century Gothic" w:hAnsi="Century Gothic" w:cs="Century Gothic" w:eastAsia="Century Gothic" w:hint="default"/>
                <w:sz w:val="18"/>
                <w:szCs w:val="18"/>
              </w:rPr>
              <w:t>B</w:t>
            </w:r>
            <w:r>
              <w:rPr>
                <w:rFonts w:ascii="宋体" w:hAnsi="宋体" w:cs="宋体" w:eastAsia="宋体" w:hint="default"/>
                <w:sz w:val="18"/>
                <w:szCs w:val="18"/>
              </w:rPr>
              <w:t>、</w:t>
            </w:r>
            <w:r>
              <w:rPr>
                <w:rFonts w:ascii="Century Gothic" w:hAnsi="Century Gothic" w:cs="Century Gothic" w:eastAsia="Century Gothic" w:hint="default"/>
                <w:sz w:val="18"/>
                <w:szCs w:val="18"/>
              </w:rPr>
              <w:t>2</w:t>
            </w:r>
          </w:p>
        </w:tc>
      </w:tr>
      <w:tr>
        <w:trPr>
          <w:trHeight w:val="482"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湘西华立制药有限公司</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7" w:right="0"/>
              <w:jc w:val="left"/>
              <w:rPr>
                <w:rFonts w:ascii="宋体" w:hAnsi="宋体" w:cs="宋体" w:eastAsia="宋体" w:hint="default"/>
                <w:sz w:val="18"/>
                <w:szCs w:val="18"/>
              </w:rPr>
            </w:pPr>
            <w:r>
              <w:rPr>
                <w:rFonts w:ascii="宋体" w:hAnsi="宋体" w:cs="宋体" w:eastAsia="宋体" w:hint="default"/>
                <w:sz w:val="18"/>
                <w:szCs w:val="18"/>
              </w:rPr>
              <w:t>借款担保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8,000,000.00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主债权发生期间至届</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满之日起两年</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详见附注六</w:t>
            </w:r>
            <w:r>
              <w:rPr>
                <w:rFonts w:ascii="宋体" w:hAnsi="宋体" w:cs="宋体" w:eastAsia="宋体" w:hint="default"/>
                <w:spacing w:val="-90"/>
                <w:sz w:val="18"/>
                <w:szCs w:val="18"/>
              </w:rPr>
              <w:t>、</w:t>
            </w:r>
            <w:r>
              <w:rPr>
                <w:rFonts w:ascii="宋体" w:hAnsi="宋体" w:cs="宋体" w:eastAsia="宋体" w:hint="default"/>
                <w:sz w:val="18"/>
                <w:szCs w:val="18"/>
              </w:rPr>
              <w:t>（二</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9" w:lineRule="exact"/>
              <w:ind w:right="5"/>
              <w:jc w:val="center"/>
              <w:rPr>
                <w:rFonts w:ascii="Century Gothic" w:hAnsi="Century Gothic" w:cs="Century Gothic" w:eastAsia="Century Gothic" w:hint="default"/>
                <w:sz w:val="18"/>
                <w:szCs w:val="18"/>
              </w:rPr>
            </w:pPr>
            <w:r>
              <w:rPr>
                <w:rFonts w:ascii="Century Gothic" w:hAnsi="Century Gothic" w:cs="Century Gothic" w:eastAsia="Century Gothic" w:hint="default"/>
                <w:sz w:val="18"/>
                <w:szCs w:val="18"/>
              </w:rPr>
              <w:t>5</w:t>
            </w:r>
            <w:r>
              <w:rPr>
                <w:rFonts w:ascii="宋体" w:hAnsi="宋体" w:cs="宋体" w:eastAsia="宋体" w:hint="default"/>
                <w:sz w:val="18"/>
                <w:szCs w:val="18"/>
              </w:rPr>
              <w:t>、</w:t>
            </w:r>
            <w:r>
              <w:rPr>
                <w:rFonts w:ascii="Century Gothic" w:hAnsi="Century Gothic" w:cs="Century Gothic" w:eastAsia="Century Gothic" w:hint="default"/>
                <w:sz w:val="18"/>
                <w:szCs w:val="18"/>
              </w:rPr>
              <w:t>B</w:t>
            </w:r>
            <w:r>
              <w:rPr>
                <w:rFonts w:ascii="宋体" w:hAnsi="宋体" w:cs="宋体" w:eastAsia="宋体" w:hint="default"/>
                <w:sz w:val="18"/>
                <w:szCs w:val="18"/>
              </w:rPr>
              <w:t>、</w:t>
            </w:r>
            <w:r>
              <w:rPr>
                <w:rFonts w:ascii="Century Gothic" w:hAnsi="Century Gothic" w:cs="Century Gothic" w:eastAsia="Century Gothic" w:hint="default"/>
                <w:sz w:val="18"/>
                <w:szCs w:val="18"/>
              </w:rPr>
              <w:t>3</w:t>
            </w:r>
          </w:p>
        </w:tc>
      </w:tr>
      <w:tr>
        <w:trPr>
          <w:trHeight w:val="484"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浙江华立南湖制药有限公司</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7"/>
              <w:jc w:val="right"/>
              <w:rPr>
                <w:rFonts w:ascii="宋体" w:hAnsi="宋体" w:cs="宋体" w:eastAsia="宋体" w:hint="default"/>
                <w:sz w:val="18"/>
                <w:szCs w:val="18"/>
              </w:rPr>
            </w:pPr>
            <w:r>
              <w:rPr>
                <w:rFonts w:ascii="宋体" w:hAnsi="宋体" w:cs="宋体" w:eastAsia="宋体" w:hint="default"/>
                <w:sz w:val="18"/>
                <w:szCs w:val="18"/>
              </w:rPr>
              <w:t>最高额担保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34,000,000.00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主债权发生期间至届</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满之日起两年</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详见附注六</w:t>
            </w:r>
            <w:r>
              <w:rPr>
                <w:rFonts w:ascii="宋体" w:hAnsi="宋体" w:cs="宋体" w:eastAsia="宋体" w:hint="default"/>
                <w:spacing w:val="-90"/>
                <w:sz w:val="18"/>
                <w:szCs w:val="18"/>
              </w:rPr>
              <w:t>、</w:t>
            </w:r>
            <w:r>
              <w:rPr>
                <w:rFonts w:ascii="宋体" w:hAnsi="宋体" w:cs="宋体" w:eastAsia="宋体" w:hint="default"/>
                <w:sz w:val="18"/>
                <w:szCs w:val="18"/>
              </w:rPr>
              <w:t>（二</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9" w:lineRule="exact"/>
              <w:ind w:right="5"/>
              <w:jc w:val="center"/>
              <w:rPr>
                <w:rFonts w:ascii="Century Gothic" w:hAnsi="Century Gothic" w:cs="Century Gothic" w:eastAsia="Century Gothic" w:hint="default"/>
                <w:sz w:val="18"/>
                <w:szCs w:val="18"/>
              </w:rPr>
            </w:pPr>
            <w:r>
              <w:rPr>
                <w:rFonts w:ascii="Century Gothic" w:hAnsi="Century Gothic" w:cs="Century Gothic" w:eastAsia="Century Gothic" w:hint="default"/>
                <w:sz w:val="18"/>
                <w:szCs w:val="18"/>
              </w:rPr>
              <w:t>5</w:t>
            </w:r>
            <w:r>
              <w:rPr>
                <w:rFonts w:ascii="宋体" w:hAnsi="宋体" w:cs="宋体" w:eastAsia="宋体" w:hint="default"/>
                <w:sz w:val="18"/>
                <w:szCs w:val="18"/>
              </w:rPr>
              <w:t>、</w:t>
            </w:r>
            <w:r>
              <w:rPr>
                <w:rFonts w:ascii="Century Gothic" w:hAnsi="Century Gothic" w:cs="Century Gothic" w:eastAsia="Century Gothic" w:hint="default"/>
                <w:sz w:val="18"/>
                <w:szCs w:val="18"/>
              </w:rPr>
              <w:t>B</w:t>
            </w:r>
            <w:r>
              <w:rPr>
                <w:rFonts w:ascii="宋体" w:hAnsi="宋体" w:cs="宋体" w:eastAsia="宋体" w:hint="default"/>
                <w:sz w:val="18"/>
                <w:szCs w:val="18"/>
              </w:rPr>
              <w:t>、</w:t>
            </w:r>
            <w:r>
              <w:rPr>
                <w:rFonts w:ascii="Century Gothic" w:hAnsi="Century Gothic" w:cs="Century Gothic" w:eastAsia="Century Gothic" w:hint="default"/>
                <w:sz w:val="18"/>
                <w:szCs w:val="18"/>
              </w:rPr>
              <w:t>5</w:t>
            </w:r>
          </w:p>
        </w:tc>
      </w:tr>
      <w:tr>
        <w:trPr>
          <w:trHeight w:val="482"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7" w:right="0"/>
              <w:jc w:val="left"/>
              <w:rPr>
                <w:rFonts w:ascii="宋体" w:hAnsi="宋体" w:cs="宋体" w:eastAsia="宋体" w:hint="default"/>
                <w:sz w:val="18"/>
                <w:szCs w:val="18"/>
              </w:rPr>
            </w:pPr>
            <w:r>
              <w:rPr>
                <w:rFonts w:ascii="宋体" w:hAnsi="宋体" w:cs="宋体" w:eastAsia="宋体" w:hint="default"/>
                <w:sz w:val="18"/>
                <w:szCs w:val="18"/>
              </w:rPr>
              <w:t>借款担保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17,000,000.00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主债权发生期间至届</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满之日起两年</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详见附注六</w:t>
            </w:r>
            <w:r>
              <w:rPr>
                <w:rFonts w:ascii="宋体" w:hAnsi="宋体" w:cs="宋体" w:eastAsia="宋体" w:hint="default"/>
                <w:spacing w:val="-90"/>
                <w:sz w:val="18"/>
                <w:szCs w:val="18"/>
              </w:rPr>
              <w:t>、</w:t>
            </w:r>
            <w:r>
              <w:rPr>
                <w:rFonts w:ascii="宋体" w:hAnsi="宋体" w:cs="宋体" w:eastAsia="宋体" w:hint="default"/>
                <w:sz w:val="18"/>
                <w:szCs w:val="18"/>
              </w:rPr>
              <w:t>（二</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9" w:lineRule="exact"/>
              <w:ind w:right="5"/>
              <w:jc w:val="center"/>
              <w:rPr>
                <w:rFonts w:ascii="Century Gothic" w:hAnsi="Century Gothic" w:cs="Century Gothic" w:eastAsia="Century Gothic" w:hint="default"/>
                <w:sz w:val="18"/>
                <w:szCs w:val="18"/>
              </w:rPr>
            </w:pPr>
            <w:r>
              <w:rPr>
                <w:rFonts w:ascii="Century Gothic" w:hAnsi="Century Gothic" w:cs="Century Gothic" w:eastAsia="Century Gothic" w:hint="default"/>
                <w:sz w:val="18"/>
                <w:szCs w:val="18"/>
              </w:rPr>
              <w:t>5</w:t>
            </w:r>
            <w:r>
              <w:rPr>
                <w:rFonts w:ascii="宋体" w:hAnsi="宋体" w:cs="宋体" w:eastAsia="宋体" w:hint="default"/>
                <w:sz w:val="18"/>
                <w:szCs w:val="18"/>
              </w:rPr>
              <w:t>、</w:t>
            </w:r>
            <w:r>
              <w:rPr>
                <w:rFonts w:ascii="Century Gothic" w:hAnsi="Century Gothic" w:cs="Century Gothic" w:eastAsia="Century Gothic" w:hint="default"/>
                <w:sz w:val="18"/>
                <w:szCs w:val="18"/>
              </w:rPr>
              <w:t>B</w:t>
            </w:r>
            <w:r>
              <w:rPr>
                <w:rFonts w:ascii="宋体" w:hAnsi="宋体" w:cs="宋体" w:eastAsia="宋体" w:hint="default"/>
                <w:sz w:val="18"/>
                <w:szCs w:val="18"/>
              </w:rPr>
              <w:t>、</w:t>
            </w:r>
            <w:r>
              <w:rPr>
                <w:rFonts w:ascii="Century Gothic" w:hAnsi="Century Gothic" w:cs="Century Gothic" w:eastAsia="Century Gothic" w:hint="default"/>
                <w:sz w:val="18"/>
                <w:szCs w:val="18"/>
              </w:rPr>
              <w:t>4</w:t>
            </w:r>
          </w:p>
        </w:tc>
      </w:tr>
      <w:tr>
        <w:trPr>
          <w:trHeight w:val="355"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二、其他公司</w:t>
            </w:r>
          </w:p>
        </w:tc>
        <w:tc>
          <w:tcPr>
            <w:tcW w:w="113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
        </w:tc>
        <w:tc>
          <w:tcPr>
            <w:tcW w:w="1824"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4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97" w:right="0"/>
              <w:jc w:val="left"/>
              <w:rPr>
                <w:rFonts w:ascii="宋体" w:hAnsi="宋体" w:cs="宋体" w:eastAsia="宋体" w:hint="default"/>
                <w:sz w:val="18"/>
                <w:szCs w:val="18"/>
              </w:rPr>
            </w:pPr>
            <w:r>
              <w:rPr>
                <w:rFonts w:ascii="宋体" w:hAnsi="宋体" w:cs="宋体" w:eastAsia="宋体" w:hint="default"/>
                <w:sz w:val="18"/>
                <w:szCs w:val="18"/>
              </w:rPr>
              <w:t>借款担保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Century Gothic" w:hAnsi="Century Gothic" w:cs="Century Gothic" w:eastAsia="Century Gothic" w:hint="default"/>
                <w:sz w:val="18"/>
                <w:szCs w:val="18"/>
              </w:rPr>
            </w:pPr>
            <w:r>
              <w:rPr>
                <w:rFonts w:ascii="Century Gothic"/>
                <w:spacing w:val="-1"/>
                <w:sz w:val="18"/>
              </w:rPr>
              <w:t>120,000,000.0</w:t>
            </w:r>
            <w:r>
              <w:rPr>
                <w:rFonts w:ascii="Century Gothic"/>
                <w:sz w:val="18"/>
              </w:rPr>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w w:val="99"/>
                <w:sz w:val="18"/>
              </w:rPr>
              <w:t>0</w:t>
            </w:r>
            <w:r>
              <w:rPr>
                <w:rFonts w:ascii="Century Gothic"/>
                <w:sz w:val="18"/>
              </w:rPr>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主债权发生期间至届</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满之日起两年</w:t>
            </w:r>
          </w:p>
        </w:tc>
        <w:tc>
          <w:tcPr>
            <w:tcW w:w="1824"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4" w:right="0"/>
              <w:jc w:val="center"/>
              <w:rPr>
                <w:rFonts w:ascii="宋体" w:hAnsi="宋体" w:cs="宋体" w:eastAsia="宋体" w:hint="default"/>
                <w:sz w:val="18"/>
                <w:szCs w:val="18"/>
              </w:rPr>
            </w:pPr>
            <w:r>
              <w:rPr>
                <w:rFonts w:ascii="宋体" w:hAnsi="宋体" w:cs="宋体" w:eastAsia="宋体" w:hint="default"/>
                <w:sz w:val="18"/>
                <w:szCs w:val="18"/>
              </w:rPr>
              <w:t>详见附注六</w:t>
            </w:r>
            <w:r>
              <w:rPr>
                <w:rFonts w:ascii="宋体" w:hAnsi="宋体" w:cs="宋体" w:eastAsia="宋体" w:hint="default"/>
                <w:spacing w:val="-90"/>
                <w:sz w:val="18"/>
                <w:szCs w:val="18"/>
              </w:rPr>
              <w:t>、</w:t>
            </w:r>
            <w:r>
              <w:rPr>
                <w:rFonts w:ascii="宋体" w:hAnsi="宋体" w:cs="宋体" w:eastAsia="宋体" w:hint="default"/>
                <w:sz w:val="18"/>
                <w:szCs w:val="18"/>
              </w:rPr>
              <w:t>（二</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9" w:lineRule="exact"/>
              <w:ind w:right="5"/>
              <w:jc w:val="center"/>
              <w:rPr>
                <w:rFonts w:ascii="Century Gothic" w:hAnsi="Century Gothic" w:cs="Century Gothic" w:eastAsia="Century Gothic" w:hint="default"/>
                <w:sz w:val="18"/>
                <w:szCs w:val="18"/>
              </w:rPr>
            </w:pPr>
            <w:r>
              <w:rPr>
                <w:rFonts w:ascii="Century Gothic" w:hAnsi="Century Gothic" w:cs="Century Gothic" w:eastAsia="Century Gothic" w:hint="default"/>
                <w:sz w:val="18"/>
                <w:szCs w:val="18"/>
              </w:rPr>
              <w:t>5</w:t>
            </w:r>
            <w:r>
              <w:rPr>
                <w:rFonts w:ascii="宋体" w:hAnsi="宋体" w:cs="宋体" w:eastAsia="宋体" w:hint="default"/>
                <w:sz w:val="18"/>
                <w:szCs w:val="18"/>
              </w:rPr>
              <w:t>、</w:t>
            </w:r>
            <w:r>
              <w:rPr>
                <w:rFonts w:ascii="Century Gothic" w:hAnsi="Century Gothic" w:cs="Century Gothic" w:eastAsia="Century Gothic" w:hint="default"/>
                <w:sz w:val="18"/>
                <w:szCs w:val="18"/>
              </w:rPr>
              <w:t>B</w:t>
            </w:r>
            <w:r>
              <w:rPr>
                <w:rFonts w:ascii="宋体" w:hAnsi="宋体" w:cs="宋体" w:eastAsia="宋体" w:hint="default"/>
                <w:sz w:val="18"/>
                <w:szCs w:val="18"/>
              </w:rPr>
              <w:t>、</w:t>
            </w:r>
            <w:r>
              <w:rPr>
                <w:rFonts w:ascii="Century Gothic" w:hAnsi="Century Gothic" w:cs="Century Gothic" w:eastAsia="Century Gothic" w:hint="default"/>
                <w:sz w:val="18"/>
                <w:szCs w:val="18"/>
              </w:rPr>
              <w:t>1</w:t>
            </w:r>
          </w:p>
        </w:tc>
      </w:tr>
      <w:tr>
        <w:trPr>
          <w:trHeight w:val="465" w:hRule="exact"/>
        </w:trPr>
        <w:tc>
          <w:tcPr>
            <w:tcW w:w="2484" w:type="dxa"/>
            <w:tcBorders>
              <w:top w:val="single" w:sz="6" w:space="0" w:color="000000"/>
              <w:left w:val="nil" w:sz="6" w:space="0" w:color="auto"/>
              <w:bottom w:val="single" w:sz="12" w:space="0" w:color="000000"/>
              <w:right w:val="single" w:sz="6" w:space="0" w:color="000000"/>
            </w:tcBorders>
          </w:tcPr>
          <w:p>
            <w:pPr>
              <w:pStyle w:val="TableParagraph"/>
              <w:spacing w:line="207" w:lineRule="exact"/>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0" w:type="dxa"/>
            <w:tcBorders>
              <w:top w:val="single" w:sz="6" w:space="0" w:color="000000"/>
              <w:left w:val="single" w:sz="6" w:space="0" w:color="000000"/>
              <w:bottom w:val="single" w:sz="12" w:space="0" w:color="000000"/>
              <w:right w:val="single" w:sz="6" w:space="0" w:color="000000"/>
            </w:tcBorders>
          </w:tcPr>
          <w:p>
            <w:pPr/>
          </w:p>
        </w:tc>
        <w:tc>
          <w:tcPr>
            <w:tcW w:w="14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
              <w:ind w:right="9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329,000,000.0</w:t>
            </w:r>
            <w:r>
              <w:rPr>
                <w:rFonts w:ascii="Century Gothic"/>
                <w:b/>
                <w:w w:val="95"/>
                <w:sz w:val="18"/>
              </w:rPr>
            </w:r>
            <w:r>
              <w:rPr>
                <w:rFonts w:ascii="Century Gothic"/>
                <w:sz w:val="18"/>
              </w:rPr>
            </w:r>
          </w:p>
          <w:p>
            <w:pPr>
              <w:pStyle w:val="TableParagraph"/>
              <w:spacing w:line="240" w:lineRule="auto"/>
              <w:ind w:right="98"/>
              <w:jc w:val="right"/>
              <w:rPr>
                <w:rFonts w:ascii="Century Gothic" w:hAnsi="Century Gothic" w:cs="Century Gothic" w:eastAsia="Century Gothic" w:hint="default"/>
                <w:sz w:val="18"/>
                <w:szCs w:val="18"/>
              </w:rPr>
            </w:pPr>
            <w:r>
              <w:rPr>
                <w:rFonts w:ascii="Century Gothic"/>
                <w:b/>
                <w:w w:val="99"/>
                <w:sz w:val="18"/>
              </w:rPr>
              <w:t>0</w:t>
            </w:r>
            <w:r>
              <w:rPr>
                <w:rFonts w:ascii="Century Gothic"/>
                <w:sz w:val="18"/>
              </w:rPr>
            </w:r>
          </w:p>
        </w:tc>
        <w:tc>
          <w:tcPr>
            <w:tcW w:w="1980" w:type="dxa"/>
            <w:tcBorders>
              <w:top w:val="single" w:sz="6" w:space="0" w:color="000000"/>
              <w:left w:val="single" w:sz="6" w:space="0" w:color="000000"/>
              <w:bottom w:val="single" w:sz="12" w:space="0" w:color="000000"/>
              <w:right w:val="single" w:sz="6" w:space="0" w:color="000000"/>
            </w:tcBorders>
          </w:tcPr>
          <w:p>
            <w:pPr/>
          </w:p>
        </w:tc>
        <w:tc>
          <w:tcPr>
            <w:tcW w:w="182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20"/>
          <w:szCs w:val="20"/>
        </w:rPr>
      </w:pPr>
    </w:p>
    <w:p>
      <w:pPr>
        <w:spacing w:before="76"/>
        <w:ind w:left="4577" w:right="4555" w:firstLine="0"/>
        <w:jc w:val="center"/>
        <w:rPr>
          <w:rFonts w:ascii="Times New Roman" w:hAnsi="Times New Roman" w:cs="Times New Roman" w:eastAsia="Times New Roman" w:hint="default"/>
          <w:sz w:val="18"/>
          <w:szCs w:val="18"/>
        </w:rPr>
      </w:pPr>
      <w:r>
        <w:rPr>
          <w:rFonts w:ascii="Times New Roman"/>
          <w:sz w:val="18"/>
        </w:rPr>
        <w:t>99</w:t>
      </w:r>
    </w:p>
    <w:p>
      <w:pPr>
        <w:spacing w:after="0"/>
        <w:jc w:val="center"/>
        <w:rPr>
          <w:rFonts w:ascii="Times New Roman" w:hAnsi="Times New Roman" w:cs="Times New Roman" w:eastAsia="Times New Roman" w:hint="default"/>
          <w:sz w:val="18"/>
          <w:szCs w:val="18"/>
        </w:rPr>
        <w:sectPr>
          <w:type w:val="continuous"/>
          <w:pgSz w:w="11910" w:h="16840"/>
          <w:pgMar w:top="780" w:bottom="280" w:left="1280" w:right="118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64.860001pt;margin-top:-9.926001pt;width:84.0pt;height:23.94pt;mso-position-horizontal-relative:page;mso-position-vertical-relative:paragraph;z-index:6544"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436" w:lineRule="auto" w:before="0"/>
        <w:ind w:right="103" w:firstLine="419"/>
        <w:jc w:val="left"/>
        <w:rPr>
          <w:rFonts w:ascii="宋体" w:hAnsi="宋体" w:cs="宋体" w:eastAsia="宋体" w:hint="default"/>
        </w:rPr>
      </w:pPr>
      <w:r>
        <w:rPr>
          <w:spacing w:val="-6"/>
        </w:rPr>
        <w:t>除存在上述或有事项外，截止</w:t>
      </w:r>
      <w:r>
        <w:rPr>
          <w:spacing w:val="-50"/>
        </w:rPr>
        <w:t> </w:t>
      </w:r>
      <w:r>
        <w:rPr>
          <w:rFonts w:ascii="Century Gothic" w:hAnsi="Century Gothic" w:cs="Century Gothic" w:eastAsia="Century Gothic" w:hint="default"/>
        </w:rPr>
        <w:t>2009</w:t>
      </w:r>
      <w:r>
        <w:rPr>
          <w:rFonts w:ascii="Century Gothic" w:hAnsi="Century Gothic" w:cs="Century Gothic" w:eastAsia="Century Gothic" w:hint="default"/>
          <w:spacing w:val="-4"/>
        </w:rPr>
        <w:t> </w:t>
      </w:r>
      <w:r>
        <w:rPr/>
        <w:t>年</w:t>
      </w:r>
      <w:r>
        <w:rPr>
          <w:spacing w:val="-50"/>
        </w:rPr>
        <w:t> </w:t>
      </w:r>
      <w:r>
        <w:rPr>
          <w:rFonts w:ascii="Century Gothic" w:hAnsi="Century Gothic" w:cs="Century Gothic" w:eastAsia="Century Gothic" w:hint="default"/>
        </w:rPr>
        <w:t>12</w:t>
      </w:r>
      <w:r>
        <w:rPr>
          <w:rFonts w:ascii="Century Gothic" w:hAnsi="Century Gothic" w:cs="Century Gothic" w:eastAsia="Century Gothic" w:hint="default"/>
          <w:spacing w:val="-3"/>
        </w:rPr>
        <w:t> </w:t>
      </w:r>
      <w:r>
        <w:rPr/>
        <w:t>月</w:t>
      </w:r>
      <w:r>
        <w:rPr>
          <w:spacing w:val="-50"/>
        </w:rPr>
        <w:t> </w:t>
      </w:r>
      <w:r>
        <w:rPr>
          <w:rFonts w:ascii="Century Gothic" w:hAnsi="Century Gothic" w:cs="Century Gothic" w:eastAsia="Century Gothic" w:hint="default"/>
        </w:rPr>
        <w:t>31</w:t>
      </w:r>
      <w:r>
        <w:rPr>
          <w:rFonts w:ascii="Century Gothic" w:hAnsi="Century Gothic" w:cs="Century Gothic" w:eastAsia="Century Gothic" w:hint="default"/>
          <w:spacing w:val="-4"/>
        </w:rPr>
        <w:t> </w:t>
      </w:r>
      <w:r>
        <w:rPr>
          <w:spacing w:val="-4"/>
        </w:rPr>
        <w:t>日，本公司无其他应披露未披露的重大或有事项。</w:t>
      </w:r>
      <w:r>
        <w:rPr/>
        <w:t> </w:t>
      </w:r>
      <w:r>
        <w:rPr>
          <w:rFonts w:ascii="宋体" w:hAnsi="宋体" w:cs="宋体" w:eastAsia="宋体" w:hint="default"/>
          <w:b/>
          <w:bCs/>
        </w:rPr>
        <w:t>八、</w:t>
      </w:r>
      <w:r>
        <w:rPr>
          <w:rFonts w:ascii="宋体" w:hAnsi="宋体" w:cs="宋体" w:eastAsia="宋体" w:hint="default"/>
          <w:b/>
          <w:bCs/>
          <w:spacing w:val="-52"/>
        </w:rPr>
        <w:t> </w:t>
      </w:r>
      <w:r>
        <w:rPr>
          <w:rFonts w:ascii="宋体" w:hAnsi="宋体" w:cs="宋体" w:eastAsia="宋体" w:hint="default"/>
          <w:b/>
          <w:bCs/>
        </w:rPr>
        <w:t>重大承诺事项</w:t>
      </w:r>
      <w:r>
        <w:rPr>
          <w:rFonts w:ascii="宋体" w:hAnsi="宋体" w:cs="宋体" w:eastAsia="宋体" w:hint="default"/>
        </w:rPr>
      </w:r>
    </w:p>
    <w:p>
      <w:pPr>
        <w:pStyle w:val="BodyText"/>
        <w:spacing w:line="254" w:lineRule="exact" w:before="0"/>
        <w:ind w:left="558" w:right="152"/>
        <w:jc w:val="left"/>
      </w:pPr>
      <w:r>
        <w:rPr/>
        <w:t>截止</w:t>
      </w:r>
      <w:r>
        <w:rPr>
          <w:spacing w:val="-54"/>
        </w:rPr>
        <w:t> </w:t>
      </w:r>
      <w:r>
        <w:rPr>
          <w:rFonts w:ascii="Century Gothic" w:hAnsi="Century Gothic" w:cs="Century Gothic" w:eastAsia="Century Gothic" w:hint="default"/>
        </w:rPr>
        <w:t>2009</w:t>
      </w:r>
      <w:r>
        <w:rPr>
          <w:rFonts w:ascii="Century Gothic" w:hAnsi="Century Gothic" w:cs="Century Gothic" w:eastAsia="Century Gothic" w:hint="default"/>
          <w:spacing w:val="-8"/>
        </w:rPr>
        <w:t> </w:t>
      </w:r>
      <w:r>
        <w:rPr/>
        <w:t>年</w:t>
      </w:r>
      <w:r>
        <w:rPr>
          <w:spacing w:val="-54"/>
        </w:rPr>
        <w:t> </w:t>
      </w:r>
      <w:r>
        <w:rPr>
          <w:rFonts w:ascii="Century Gothic" w:hAnsi="Century Gothic" w:cs="Century Gothic" w:eastAsia="Century Gothic" w:hint="default"/>
        </w:rPr>
        <w:t>12</w:t>
      </w:r>
      <w:r>
        <w:rPr>
          <w:rFonts w:ascii="Century Gothic" w:hAnsi="Century Gothic" w:cs="Century Gothic" w:eastAsia="Century Gothic" w:hint="default"/>
          <w:spacing w:val="-7"/>
        </w:rPr>
        <w:t> </w:t>
      </w:r>
      <w:r>
        <w:rPr/>
        <w:t>月</w:t>
      </w:r>
      <w:r>
        <w:rPr>
          <w:spacing w:val="-54"/>
        </w:rPr>
        <w:t> </w:t>
      </w:r>
      <w:r>
        <w:rPr>
          <w:rFonts w:ascii="Century Gothic" w:hAnsi="Century Gothic" w:cs="Century Gothic" w:eastAsia="Century Gothic" w:hint="default"/>
        </w:rPr>
        <w:t>31</w:t>
      </w:r>
      <w:r>
        <w:rPr>
          <w:rFonts w:ascii="Century Gothic" w:hAnsi="Century Gothic" w:cs="Century Gothic" w:eastAsia="Century Gothic" w:hint="default"/>
          <w:spacing w:val="-8"/>
        </w:rPr>
        <w:t> </w:t>
      </w:r>
      <w:r>
        <w:rPr/>
        <w:t>日，本公司无应披露未披露的重大承诺事项。</w:t>
      </w:r>
    </w:p>
    <w:p>
      <w:pPr>
        <w:spacing w:line="240" w:lineRule="auto" w:before="3"/>
        <w:rPr>
          <w:rFonts w:ascii="宋体" w:hAnsi="宋体" w:cs="宋体" w:eastAsia="宋体" w:hint="default"/>
          <w:sz w:val="18"/>
          <w:szCs w:val="18"/>
        </w:rPr>
      </w:pPr>
    </w:p>
    <w:p>
      <w:pPr>
        <w:pStyle w:val="Heading4"/>
        <w:spacing w:line="240" w:lineRule="auto" w:before="0"/>
        <w:ind w:left="138" w:right="152"/>
        <w:jc w:val="left"/>
        <w:rPr>
          <w:rFonts w:ascii="宋体" w:hAnsi="宋体" w:cs="宋体" w:eastAsia="宋体" w:hint="default"/>
          <w:b w:val="0"/>
          <w:bCs w:val="0"/>
        </w:rPr>
      </w:pPr>
      <w:r>
        <w:rPr>
          <w:rFonts w:ascii="宋体" w:hAnsi="宋体" w:cs="宋体" w:eastAsia="宋体" w:hint="default"/>
        </w:rPr>
        <w:t>九、</w:t>
      </w:r>
      <w:r>
        <w:rPr>
          <w:rFonts w:ascii="宋体" w:hAnsi="宋体" w:cs="宋体" w:eastAsia="宋体" w:hint="default"/>
          <w:spacing w:val="-54"/>
        </w:rPr>
        <w:t> </w:t>
      </w:r>
      <w:r>
        <w:rPr>
          <w:rFonts w:ascii="宋体" w:hAnsi="宋体" w:cs="宋体" w:eastAsia="宋体" w:hint="default"/>
        </w:rPr>
        <w:t>资产负债表日后事项</w:t>
      </w:r>
      <w:r>
        <w:rPr>
          <w:rFonts w:ascii="宋体" w:hAnsi="宋体" w:cs="宋体" w:eastAsia="宋体" w:hint="default"/>
          <w:b w:val="0"/>
          <w:bCs w:val="0"/>
        </w:rPr>
      </w:r>
    </w:p>
    <w:p>
      <w:pPr>
        <w:spacing w:line="357" w:lineRule="auto" w:before="134"/>
        <w:ind w:left="558" w:right="152"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78"/>
          <w:sz w:val="21"/>
          <w:szCs w:val="21"/>
        </w:rPr>
        <w:t> </w:t>
      </w:r>
      <w:r>
        <w:rPr>
          <w:rFonts w:ascii="宋体" w:hAnsi="宋体" w:cs="宋体" w:eastAsia="宋体" w:hint="default"/>
          <w:b/>
          <w:bCs/>
          <w:sz w:val="21"/>
          <w:szCs w:val="21"/>
        </w:rPr>
        <w:t>资产负债表日后利润分配情况说明</w:t>
      </w:r>
      <w:r>
        <w:rPr>
          <w:rFonts w:ascii="宋体" w:hAnsi="宋体" w:cs="宋体" w:eastAsia="宋体" w:hint="default"/>
          <w:b/>
          <w:bCs/>
          <w:w w:val="99"/>
          <w:sz w:val="21"/>
          <w:szCs w:val="21"/>
        </w:rPr>
        <w:t> </w:t>
      </w:r>
      <w:r>
        <w:rPr>
          <w:rFonts w:ascii="宋体" w:hAnsi="宋体" w:cs="宋体" w:eastAsia="宋体" w:hint="default"/>
          <w:sz w:val="21"/>
          <w:szCs w:val="21"/>
        </w:rPr>
        <w:t>本年度公司不进行利润分配，也不进行资本公积转增股本。 </w:t>
      </w:r>
      <w:r>
        <w:rPr>
          <w:rFonts w:ascii="宋体" w:hAnsi="宋体" w:cs="宋体" w:eastAsia="宋体" w:hint="default"/>
          <w:spacing w:val="-2"/>
          <w:sz w:val="21"/>
          <w:szCs w:val="21"/>
        </w:rPr>
        <w:t>除存在上述资产负债表日后事项外，截止财务报告日，本公司无其他应披露未披露的重大资产负</w:t>
      </w:r>
    </w:p>
    <w:p>
      <w:pPr>
        <w:pStyle w:val="BodyText"/>
        <w:spacing w:line="240" w:lineRule="auto" w:before="32"/>
        <w:ind w:right="152"/>
        <w:jc w:val="left"/>
      </w:pPr>
      <w:r>
        <w:rPr/>
        <w:t>债表日后事项。</w:t>
      </w:r>
    </w:p>
    <w:p>
      <w:pPr>
        <w:spacing w:line="240" w:lineRule="auto" w:before="6"/>
        <w:rPr>
          <w:rFonts w:ascii="宋体" w:hAnsi="宋体" w:cs="宋体" w:eastAsia="宋体" w:hint="default"/>
          <w:sz w:val="19"/>
          <w:szCs w:val="19"/>
        </w:rPr>
      </w:pPr>
    </w:p>
    <w:p>
      <w:pPr>
        <w:pStyle w:val="Heading4"/>
        <w:spacing w:line="240" w:lineRule="auto" w:before="0"/>
        <w:ind w:left="138" w:right="152"/>
        <w:jc w:val="left"/>
        <w:rPr>
          <w:rFonts w:ascii="宋体" w:hAnsi="宋体" w:cs="宋体" w:eastAsia="宋体" w:hint="default"/>
          <w:b w:val="0"/>
          <w:bCs w:val="0"/>
        </w:rPr>
      </w:pPr>
      <w:r>
        <w:rPr>
          <w:rFonts w:ascii="宋体" w:hAnsi="宋体" w:cs="宋体" w:eastAsia="宋体" w:hint="default"/>
        </w:rPr>
        <w:t>十、</w:t>
      </w:r>
      <w:r>
        <w:rPr>
          <w:rFonts w:ascii="宋体" w:hAnsi="宋体" w:cs="宋体" w:eastAsia="宋体" w:hint="default"/>
          <w:spacing w:val="-56"/>
        </w:rPr>
        <w:t> </w:t>
      </w:r>
      <w:r>
        <w:rPr>
          <w:rFonts w:ascii="宋体" w:hAnsi="宋体" w:cs="宋体" w:eastAsia="宋体" w:hint="default"/>
        </w:rPr>
        <w:t>母公司财务报表主要项目注释</w:t>
      </w:r>
      <w:r>
        <w:rPr>
          <w:rFonts w:ascii="宋体" w:hAnsi="宋体" w:cs="宋体" w:eastAsia="宋体" w:hint="default"/>
          <w:b w:val="0"/>
          <w:bCs w:val="0"/>
        </w:rPr>
      </w:r>
    </w:p>
    <w:p>
      <w:pPr>
        <w:pStyle w:val="Heading4"/>
        <w:tabs>
          <w:tab w:pos="1413" w:val="left" w:leader="none"/>
        </w:tabs>
        <w:spacing w:line="240" w:lineRule="auto" w:before="134"/>
        <w:ind w:right="152"/>
        <w:jc w:val="left"/>
        <w:rPr>
          <w:rFonts w:ascii="宋体" w:hAnsi="宋体" w:cs="宋体" w:eastAsia="宋体" w:hint="default"/>
          <w:b w:val="0"/>
          <w:bCs w:val="0"/>
        </w:rPr>
      </w:pPr>
      <w:r>
        <w:rPr>
          <w:rFonts w:ascii="宋体" w:hAnsi="宋体" w:cs="宋体" w:eastAsia="宋体" w:hint="default"/>
          <w:w w:val="95"/>
        </w:rPr>
        <w:t>（一）</w:t>
        <w:tab/>
      </w:r>
      <w:r>
        <w:rPr>
          <w:rFonts w:ascii="宋体" w:hAnsi="宋体" w:cs="宋体" w:eastAsia="宋体" w:hint="default"/>
        </w:rPr>
        <w:t>应收账款</w:t>
      </w:r>
      <w:r>
        <w:rPr>
          <w:rFonts w:ascii="宋体" w:hAnsi="宋体" w:cs="宋体" w:eastAsia="宋体" w:hint="default"/>
          <w:b w:val="0"/>
          <w:bCs w:val="0"/>
        </w:rPr>
      </w:r>
    </w:p>
    <w:p>
      <w:pPr>
        <w:pStyle w:val="BodyText"/>
        <w:spacing w:line="240" w:lineRule="auto" w:before="134"/>
        <w:ind w:left="558" w:right="152"/>
        <w:jc w:val="left"/>
      </w:pPr>
      <w:r>
        <w:rPr/>
        <w:t>（</w:t>
      </w:r>
      <w:r>
        <w:rPr>
          <w:rFonts w:ascii="Century Gothic" w:hAnsi="Century Gothic" w:cs="Century Gothic" w:eastAsia="Century Gothic" w:hint="default"/>
        </w:rPr>
        <w:t>1</w:t>
      </w:r>
      <w:r>
        <w:rPr/>
        <w:t>）应收账款按类别列示如下：</w:t>
      </w:r>
    </w:p>
    <w:p>
      <w:pPr>
        <w:spacing w:line="240" w:lineRule="auto" w:before="9"/>
        <w:rPr>
          <w:rFonts w:ascii="宋体" w:hAnsi="宋体" w:cs="宋体" w:eastAsia="宋体" w:hint="default"/>
          <w:sz w:val="11"/>
          <w:szCs w:val="11"/>
        </w:rPr>
      </w:pPr>
    </w:p>
    <w:tbl>
      <w:tblPr>
        <w:tblW w:w="0" w:type="auto"/>
        <w:jc w:val="left"/>
        <w:tblInd w:w="224" w:type="dxa"/>
        <w:tblLayout w:type="fixed"/>
        <w:tblCellMar>
          <w:top w:w="0" w:type="dxa"/>
          <w:left w:w="0" w:type="dxa"/>
          <w:bottom w:w="0" w:type="dxa"/>
          <w:right w:w="0" w:type="dxa"/>
        </w:tblCellMar>
        <w:tblLook w:val="01E0"/>
      </w:tblPr>
      <w:tblGrid>
        <w:gridCol w:w="2914"/>
        <w:gridCol w:w="1574"/>
        <w:gridCol w:w="863"/>
        <w:gridCol w:w="1273"/>
        <w:gridCol w:w="899"/>
        <w:gridCol w:w="1452"/>
      </w:tblGrid>
      <w:tr>
        <w:trPr>
          <w:trHeight w:val="362" w:hRule="exact"/>
        </w:trPr>
        <w:tc>
          <w:tcPr>
            <w:tcW w:w="291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61" w:type="dxa"/>
            <w:gridSpan w:val="5"/>
            <w:tcBorders>
              <w:top w:val="single" w:sz="12"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5" w:hRule="exact"/>
        </w:trPr>
        <w:tc>
          <w:tcPr>
            <w:tcW w:w="2914" w:type="dxa"/>
            <w:vMerge/>
            <w:tcBorders>
              <w:left w:val="nil" w:sz="6" w:space="0" w:color="auto"/>
              <w:right w:val="single" w:sz="6" w:space="0" w:color="000000"/>
            </w:tcBorders>
          </w:tcPr>
          <w:p>
            <w:pPr/>
          </w:p>
        </w:tc>
        <w:tc>
          <w:tcPr>
            <w:tcW w:w="24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79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1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2" w:type="dxa"/>
            <w:vMerge w:val="restart"/>
            <w:tcBorders>
              <w:top w:val="single" w:sz="6" w:space="0" w:color="000000"/>
              <w:left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60" w:hRule="exact"/>
        </w:trPr>
        <w:tc>
          <w:tcPr>
            <w:tcW w:w="2914" w:type="dxa"/>
            <w:vMerge/>
            <w:tcBorders>
              <w:left w:val="nil" w:sz="6" w:space="0" w:color="auto"/>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90" w:lineRule="exact"/>
              <w:ind w:left="131" w:right="0"/>
              <w:jc w:val="left"/>
              <w:rPr>
                <w:rFonts w:ascii="宋体" w:hAnsi="宋体" w:cs="宋体" w:eastAsia="宋体" w:hint="default"/>
                <w:sz w:val="21"/>
                <w:szCs w:val="21"/>
              </w:rPr>
            </w:pPr>
            <w:r>
              <w:rPr>
                <w:rFonts w:ascii="宋体" w:hAnsi="宋体" w:cs="宋体" w:eastAsia="宋体" w:hint="default"/>
                <w:sz w:val="21"/>
                <w:szCs w:val="21"/>
              </w:rPr>
              <w:t>（</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1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 w:right="-5" w:firstLine="28"/>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97" w:right="-5"/>
              <w:jc w:val="left"/>
              <w:rPr>
                <w:rFonts w:ascii="宋体" w:hAnsi="宋体" w:cs="宋体" w:eastAsia="宋体" w:hint="default"/>
                <w:sz w:val="21"/>
                <w:szCs w:val="21"/>
              </w:rPr>
            </w:pPr>
            <w:r>
              <w:rPr>
                <w:rFonts w:ascii="宋体" w:hAnsi="宋体" w:cs="宋体" w:eastAsia="宋体" w:hint="default"/>
                <w:sz w:val="21"/>
                <w:szCs w:val="21"/>
              </w:rPr>
              <w:t>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452" w:type="dxa"/>
            <w:vMerge/>
            <w:tcBorders>
              <w:left w:val="single" w:sz="6" w:space="0" w:color="000000"/>
              <w:bottom w:val="single" w:sz="6" w:space="0" w:color="000000"/>
              <w:right w:val="nil" w:sz="6" w:space="0" w:color="auto"/>
            </w:tcBorders>
          </w:tcPr>
          <w:p>
            <w:pPr/>
          </w:p>
        </w:tc>
      </w:tr>
      <w:tr>
        <w:trPr>
          <w:trHeight w:val="355" w:hRule="exact"/>
        </w:trPr>
        <w:tc>
          <w:tcPr>
            <w:tcW w:w="291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574" w:type="dxa"/>
            <w:tcBorders>
              <w:top w:val="single" w:sz="6" w:space="0" w:color="000000"/>
              <w:left w:val="single" w:sz="6" w:space="0" w:color="000000"/>
              <w:bottom w:val="single" w:sz="6" w:space="0" w:color="000000"/>
              <w:right w:val="single" w:sz="6" w:space="0" w:color="000000"/>
            </w:tcBorders>
          </w:tcPr>
          <w:p>
            <w:pPr/>
          </w:p>
        </w:tc>
        <w:tc>
          <w:tcPr>
            <w:tcW w:w="863"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291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其他不重大应收账款</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799,363.90</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8" w:right="0"/>
              <w:jc w:val="center"/>
              <w:rPr>
                <w:rFonts w:ascii="Century Gothic" w:hAnsi="Century Gothic" w:cs="Century Gothic" w:eastAsia="Century Gothic" w:hint="default"/>
                <w:sz w:val="21"/>
                <w:szCs w:val="21"/>
              </w:rPr>
            </w:pPr>
            <w:r>
              <w:rPr>
                <w:rFonts w:ascii="Century Gothic"/>
                <w:sz w:val="21"/>
              </w:rPr>
              <w:t>100.00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Century Gothic" w:hAnsi="Century Gothic" w:cs="Century Gothic" w:eastAsia="Century Gothic" w:hint="default"/>
                <w:sz w:val="21"/>
                <w:szCs w:val="21"/>
              </w:rPr>
            </w:pPr>
            <w:r>
              <w:rPr>
                <w:rFonts w:ascii="Century Gothic"/>
                <w:spacing w:val="-1"/>
                <w:sz w:val="21"/>
              </w:rPr>
              <w:t>39,968.20</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Century Gothic" w:hAnsi="Century Gothic" w:cs="Century Gothic" w:eastAsia="Century Gothic" w:hint="default"/>
                <w:sz w:val="21"/>
                <w:szCs w:val="21"/>
              </w:rPr>
            </w:pPr>
            <w:r>
              <w:rPr>
                <w:rFonts w:ascii="Century Gothic"/>
                <w:spacing w:val="-2"/>
                <w:sz w:val="21"/>
              </w:rPr>
              <w:t>5.00</w:t>
            </w:r>
            <w:r>
              <w:rPr>
                <w:rFonts w:ascii="Century Gothic"/>
                <w:sz w:val="21"/>
              </w:rPr>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7"/>
              <w:jc w:val="right"/>
              <w:rPr>
                <w:rFonts w:ascii="Century Gothic" w:hAnsi="Century Gothic" w:cs="Century Gothic" w:eastAsia="Century Gothic" w:hint="default"/>
                <w:sz w:val="21"/>
                <w:szCs w:val="21"/>
              </w:rPr>
            </w:pPr>
            <w:r>
              <w:rPr>
                <w:rFonts w:ascii="Century Gothic"/>
                <w:spacing w:val="-1"/>
                <w:sz w:val="21"/>
              </w:rPr>
              <w:t>759,395.70</w:t>
            </w:r>
          </w:p>
        </w:tc>
      </w:tr>
      <w:tr>
        <w:trPr>
          <w:trHeight w:val="355" w:hRule="exact"/>
        </w:trPr>
        <w:tc>
          <w:tcPr>
            <w:tcW w:w="2914" w:type="dxa"/>
            <w:tcBorders>
              <w:top w:val="single" w:sz="6" w:space="0" w:color="000000"/>
              <w:left w:val="nil" w:sz="6" w:space="0" w:color="auto"/>
              <w:bottom w:val="single" w:sz="6" w:space="0" w:color="000000"/>
              <w:right w:val="single" w:sz="6" w:space="0" w:color="000000"/>
            </w:tcBorders>
          </w:tcPr>
          <w:p>
            <w:pPr>
              <w:pStyle w:val="TableParagraph"/>
              <w:tabs>
                <w:tab w:pos="440"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799,363.90</w:t>
            </w:r>
            <w:r>
              <w:rPr>
                <w:rFonts w:ascii="Century Gothic"/>
                <w:b/>
                <w:w w:val="95"/>
                <w:sz w:val="21"/>
              </w:rPr>
            </w:r>
            <w:r>
              <w:rPr>
                <w:rFonts w:ascii="Century Gothic"/>
                <w:sz w:val="21"/>
              </w:rPr>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100.00</w:t>
            </w:r>
            <w:r>
              <w:rPr>
                <w:rFonts w:ascii="Century Gothic"/>
                <w:b/>
                <w:sz w:val="21"/>
              </w:rPr>
            </w:r>
            <w:r>
              <w:rPr>
                <w:rFonts w:ascii="Century Gothic"/>
                <w:sz w:val="21"/>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3"/>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39,968.20</w:t>
            </w:r>
            <w:r>
              <w:rPr>
                <w:rFonts w:ascii="Century Gothic"/>
                <w:b/>
                <w:w w:val="95"/>
                <w:sz w:val="21"/>
              </w:rPr>
            </w:r>
            <w:r>
              <w:rPr>
                <w:rFonts w:ascii="Century Gothic"/>
                <w:sz w:val="21"/>
              </w:rPr>
            </w:r>
          </w:p>
        </w:tc>
        <w:tc>
          <w:tcPr>
            <w:tcW w:w="899"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7"/>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759,395.70</w:t>
            </w:r>
            <w:r>
              <w:rPr>
                <w:rFonts w:ascii="Century Gothic"/>
                <w:b/>
                <w:w w:val="95"/>
                <w:sz w:val="21"/>
              </w:rPr>
            </w:r>
            <w:r>
              <w:rPr>
                <w:rFonts w:ascii="Century Gothic"/>
                <w:sz w:val="21"/>
              </w:rPr>
            </w:r>
          </w:p>
        </w:tc>
      </w:tr>
      <w:tr>
        <w:trPr>
          <w:trHeight w:val="355" w:hRule="exact"/>
        </w:trPr>
        <w:tc>
          <w:tcPr>
            <w:tcW w:w="291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061"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5" w:hRule="exact"/>
        </w:trPr>
        <w:tc>
          <w:tcPr>
            <w:tcW w:w="2914" w:type="dxa"/>
            <w:vMerge/>
            <w:tcBorders>
              <w:left w:val="nil" w:sz="6" w:space="0" w:color="auto"/>
              <w:right w:val="single" w:sz="6" w:space="0" w:color="000000"/>
            </w:tcBorders>
          </w:tcPr>
          <w:p>
            <w:pPr/>
          </w:p>
        </w:tc>
        <w:tc>
          <w:tcPr>
            <w:tcW w:w="24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792"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21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6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2" w:type="dxa"/>
            <w:vMerge w:val="restart"/>
            <w:tcBorders>
              <w:top w:val="single" w:sz="6" w:space="0" w:color="000000"/>
              <w:left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60" w:hRule="exact"/>
        </w:trPr>
        <w:tc>
          <w:tcPr>
            <w:tcW w:w="2914" w:type="dxa"/>
            <w:vMerge/>
            <w:tcBorders>
              <w:left w:val="nil" w:sz="6" w:space="0" w:color="auto"/>
              <w:bottom w:val="single" w:sz="6" w:space="0" w:color="000000"/>
              <w:right w:val="single" w:sz="6" w:space="0" w:color="000000"/>
            </w:tcBorders>
          </w:tcPr>
          <w:p>
            <w:pP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90" w:lineRule="exact"/>
              <w:ind w:left="131" w:right="0"/>
              <w:jc w:val="left"/>
              <w:rPr>
                <w:rFonts w:ascii="宋体" w:hAnsi="宋体" w:cs="宋体" w:eastAsia="宋体" w:hint="default"/>
                <w:sz w:val="21"/>
                <w:szCs w:val="21"/>
              </w:rPr>
            </w:pPr>
            <w:r>
              <w:rPr>
                <w:rFonts w:ascii="宋体" w:hAnsi="宋体" w:cs="宋体" w:eastAsia="宋体" w:hint="default"/>
                <w:sz w:val="21"/>
                <w:szCs w:val="21"/>
              </w:rPr>
              <w:t>（</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2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6" w:firstLine="25"/>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0" w:lineRule="exact"/>
              <w:ind w:left="104" w:right="-6"/>
              <w:jc w:val="left"/>
              <w:rPr>
                <w:rFonts w:ascii="宋体" w:hAnsi="宋体" w:cs="宋体" w:eastAsia="宋体" w:hint="default"/>
                <w:sz w:val="21"/>
                <w:szCs w:val="21"/>
              </w:rPr>
            </w:pPr>
            <w:r>
              <w:rPr>
                <w:rFonts w:ascii="宋体" w:hAnsi="宋体" w:cs="宋体" w:eastAsia="宋体" w:hint="default"/>
                <w:sz w:val="21"/>
                <w:szCs w:val="21"/>
              </w:rPr>
              <w:t>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452" w:type="dxa"/>
            <w:vMerge/>
            <w:tcBorders>
              <w:left w:val="single" w:sz="6" w:space="0" w:color="000000"/>
              <w:bottom w:val="single" w:sz="6" w:space="0" w:color="000000"/>
              <w:right w:val="nil" w:sz="6" w:space="0" w:color="auto"/>
            </w:tcBorders>
          </w:tcPr>
          <w:p>
            <w:pPr/>
          </w:p>
        </w:tc>
      </w:tr>
      <w:tr>
        <w:trPr>
          <w:trHeight w:val="355" w:hRule="exact"/>
        </w:trPr>
        <w:tc>
          <w:tcPr>
            <w:tcW w:w="291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308" w:right="0"/>
              <w:jc w:val="left"/>
              <w:rPr>
                <w:rFonts w:ascii="宋体" w:hAnsi="宋体" w:cs="宋体" w:eastAsia="宋体" w:hint="default"/>
                <w:sz w:val="21"/>
                <w:szCs w:val="21"/>
              </w:rPr>
            </w:pPr>
            <w:r>
              <w:rPr>
                <w:rFonts w:ascii="宋体" w:hAnsi="宋体" w:cs="宋体" w:eastAsia="宋体" w:hint="default"/>
                <w:sz w:val="21"/>
                <w:szCs w:val="21"/>
              </w:rPr>
              <w:t>单项金额重大的应收账款</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3,377,356.80</w:t>
            </w:r>
          </w:p>
        </w:tc>
        <w:tc>
          <w:tcPr>
            <w:tcW w:w="8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left="8" w:right="0"/>
              <w:jc w:val="center"/>
              <w:rPr>
                <w:rFonts w:ascii="Century Gothic" w:hAnsi="Century Gothic" w:cs="Century Gothic" w:eastAsia="Century Gothic" w:hint="default"/>
                <w:sz w:val="21"/>
                <w:szCs w:val="21"/>
              </w:rPr>
            </w:pPr>
            <w:r>
              <w:rPr>
                <w:rFonts w:ascii="Century Gothic"/>
                <w:sz w:val="21"/>
              </w:rPr>
              <w:t>100.00</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6"/>
              <w:jc w:val="right"/>
              <w:rPr>
                <w:rFonts w:ascii="Century Gothic" w:hAnsi="Century Gothic" w:cs="Century Gothic" w:eastAsia="Century Gothic" w:hint="default"/>
                <w:sz w:val="21"/>
                <w:szCs w:val="21"/>
              </w:rPr>
            </w:pPr>
            <w:r>
              <w:rPr>
                <w:rFonts w:ascii="Century Gothic"/>
                <w:spacing w:val="-1"/>
                <w:sz w:val="21"/>
              </w:rPr>
              <w:t>168,867.84</w:t>
            </w:r>
          </w:p>
        </w:tc>
        <w:tc>
          <w:tcPr>
            <w:tcW w:w="8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Century Gothic" w:hAnsi="Century Gothic" w:cs="Century Gothic" w:eastAsia="Century Gothic" w:hint="default"/>
                <w:sz w:val="21"/>
                <w:szCs w:val="21"/>
              </w:rPr>
            </w:pPr>
            <w:r>
              <w:rPr>
                <w:rFonts w:ascii="Century Gothic"/>
                <w:spacing w:val="-2"/>
                <w:sz w:val="21"/>
              </w:rPr>
              <w:t>5.00</w:t>
            </w:r>
            <w:r>
              <w:rPr>
                <w:rFonts w:ascii="Century Gothic"/>
                <w:sz w:val="21"/>
              </w:rPr>
            </w:r>
          </w:p>
        </w:tc>
        <w:tc>
          <w:tcPr>
            <w:tcW w:w="14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8"/>
              <w:jc w:val="right"/>
              <w:rPr>
                <w:rFonts w:ascii="Century Gothic" w:hAnsi="Century Gothic" w:cs="Century Gothic" w:eastAsia="Century Gothic" w:hint="default"/>
                <w:sz w:val="21"/>
                <w:szCs w:val="21"/>
              </w:rPr>
            </w:pPr>
            <w:r>
              <w:rPr>
                <w:rFonts w:ascii="Century Gothic"/>
                <w:spacing w:val="-1"/>
                <w:sz w:val="21"/>
              </w:rPr>
              <w:t>3,208,488.96</w:t>
            </w:r>
          </w:p>
        </w:tc>
      </w:tr>
      <w:tr>
        <w:trPr>
          <w:trHeight w:val="355" w:hRule="exact"/>
        </w:trPr>
        <w:tc>
          <w:tcPr>
            <w:tcW w:w="291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其他不重大应收账款</w:t>
            </w:r>
          </w:p>
        </w:tc>
        <w:tc>
          <w:tcPr>
            <w:tcW w:w="1574" w:type="dxa"/>
            <w:tcBorders>
              <w:top w:val="single" w:sz="6" w:space="0" w:color="000000"/>
              <w:left w:val="single" w:sz="6" w:space="0" w:color="000000"/>
              <w:bottom w:val="single" w:sz="6" w:space="0" w:color="000000"/>
              <w:right w:val="single" w:sz="6" w:space="0" w:color="000000"/>
            </w:tcBorders>
          </w:tcPr>
          <w:p>
            <w:pPr/>
          </w:p>
        </w:tc>
        <w:tc>
          <w:tcPr>
            <w:tcW w:w="863"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899" w:type="dxa"/>
            <w:tcBorders>
              <w:top w:val="single" w:sz="6" w:space="0" w:color="000000"/>
              <w:left w:val="single" w:sz="6" w:space="0" w:color="000000"/>
              <w:bottom w:val="single" w:sz="6" w:space="0" w:color="000000"/>
              <w:right w:val="single" w:sz="6" w:space="0" w:color="000000"/>
            </w:tcBorders>
          </w:tcPr>
          <w:p>
            <w:pPr/>
          </w:p>
        </w:tc>
        <w:tc>
          <w:tcPr>
            <w:tcW w:w="1452"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2914" w:type="dxa"/>
            <w:tcBorders>
              <w:top w:val="single" w:sz="6" w:space="0" w:color="000000"/>
              <w:left w:val="nil" w:sz="6" w:space="0" w:color="auto"/>
              <w:bottom w:val="single" w:sz="12" w:space="0" w:color="000000"/>
              <w:right w:val="single" w:sz="6" w:space="0" w:color="000000"/>
            </w:tcBorders>
          </w:tcPr>
          <w:p>
            <w:pPr>
              <w:pStyle w:val="TableParagraph"/>
              <w:tabs>
                <w:tab w:pos="440" w:val="left" w:leader="none"/>
              </w:tabs>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3,377,356.80</w:t>
            </w:r>
            <w:r>
              <w:rPr>
                <w:rFonts w:ascii="Century Gothic"/>
                <w:b/>
                <w:w w:val="95"/>
                <w:sz w:val="21"/>
              </w:rPr>
            </w:r>
            <w:r>
              <w:rPr>
                <w:rFonts w:ascii="Century Gothic"/>
                <w:sz w:val="21"/>
              </w:rPr>
            </w:r>
          </w:p>
        </w:tc>
        <w:tc>
          <w:tcPr>
            <w:tcW w:w="8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100.00</w:t>
            </w:r>
            <w:r>
              <w:rPr>
                <w:rFonts w:ascii="Century Gothic"/>
                <w:b/>
                <w:sz w:val="21"/>
              </w:rPr>
            </w:r>
            <w:r>
              <w:rPr>
                <w:rFonts w:ascii="Century Gothic"/>
                <w:sz w:val="21"/>
              </w:rPr>
            </w:r>
          </w:p>
        </w:tc>
        <w:tc>
          <w:tcPr>
            <w:tcW w:w="12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168,867.84</w:t>
            </w:r>
            <w:r>
              <w:rPr>
                <w:rFonts w:ascii="Century Gothic"/>
                <w:b/>
                <w:w w:val="95"/>
                <w:sz w:val="21"/>
              </w:rPr>
            </w:r>
            <w:r>
              <w:rPr>
                <w:rFonts w:ascii="Century Gothic"/>
                <w:sz w:val="21"/>
              </w:rPr>
            </w:r>
          </w:p>
        </w:tc>
        <w:tc>
          <w:tcPr>
            <w:tcW w:w="899" w:type="dxa"/>
            <w:tcBorders>
              <w:top w:val="single" w:sz="6" w:space="0" w:color="000000"/>
              <w:left w:val="single" w:sz="6" w:space="0" w:color="000000"/>
              <w:bottom w:val="single" w:sz="12" w:space="0" w:color="000000"/>
              <w:right w:val="single" w:sz="6" w:space="0" w:color="000000"/>
            </w:tcBorders>
          </w:tcPr>
          <w:p>
            <w:pPr/>
          </w:p>
        </w:tc>
        <w:tc>
          <w:tcPr>
            <w:tcW w:w="145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107"/>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3,208,488.96</w:t>
            </w:r>
            <w:r>
              <w:rPr>
                <w:rFonts w:ascii="Century Gothic"/>
                <w:b/>
                <w:w w:val="95"/>
                <w:sz w:val="21"/>
              </w:rPr>
            </w:r>
            <w:r>
              <w:rPr>
                <w:rFonts w:ascii="Century Gothic"/>
                <w:sz w:val="21"/>
              </w:rPr>
            </w:r>
          </w:p>
        </w:tc>
      </w:tr>
    </w:tbl>
    <w:p>
      <w:pPr>
        <w:pStyle w:val="BodyText"/>
        <w:spacing w:line="240" w:lineRule="auto" w:before="86"/>
        <w:ind w:left="558" w:right="152"/>
        <w:jc w:val="left"/>
      </w:pPr>
      <w:r>
        <w:rPr/>
        <w:t>（</w:t>
      </w:r>
      <w:r>
        <w:rPr>
          <w:rFonts w:ascii="Century Gothic" w:hAnsi="Century Gothic" w:cs="Century Gothic" w:eastAsia="Century Gothic" w:hint="default"/>
        </w:rPr>
        <w:t>2</w:t>
      </w:r>
      <w:r>
        <w:rPr/>
        <w:t>）应收账款按账龄分析列示如下：</w:t>
      </w:r>
    </w:p>
    <w:p>
      <w:pPr>
        <w:spacing w:line="240" w:lineRule="auto" w:before="8"/>
        <w:rPr>
          <w:rFonts w:ascii="宋体" w:hAnsi="宋体" w:cs="宋体" w:eastAsia="宋体" w:hint="default"/>
          <w:sz w:val="17"/>
          <w:szCs w:val="17"/>
        </w:rPr>
      </w:pPr>
    </w:p>
    <w:tbl>
      <w:tblPr>
        <w:tblW w:w="0" w:type="auto"/>
        <w:jc w:val="left"/>
        <w:tblInd w:w="237" w:type="dxa"/>
        <w:tblLayout w:type="fixed"/>
        <w:tblCellMar>
          <w:top w:w="0" w:type="dxa"/>
          <w:left w:w="0" w:type="dxa"/>
          <w:bottom w:w="0" w:type="dxa"/>
          <w:right w:w="0" w:type="dxa"/>
        </w:tblCellMar>
        <w:tblLook w:val="01E0"/>
      </w:tblPr>
      <w:tblGrid>
        <w:gridCol w:w="2174"/>
        <w:gridCol w:w="1960"/>
        <w:gridCol w:w="1072"/>
        <w:gridCol w:w="1782"/>
        <w:gridCol w:w="1960"/>
      </w:tblGrid>
      <w:tr>
        <w:trPr>
          <w:trHeight w:val="305" w:hRule="exact"/>
        </w:trPr>
        <w:tc>
          <w:tcPr>
            <w:tcW w:w="2174" w:type="dxa"/>
            <w:vMerge w:val="restart"/>
            <w:tcBorders>
              <w:top w:val="single" w:sz="12" w:space="0" w:color="000000"/>
              <w:left w:val="nil" w:sz="6" w:space="0" w:color="auto"/>
              <w:right w:val="single" w:sz="6" w:space="0" w:color="000000"/>
            </w:tcBorders>
          </w:tcPr>
          <w:p>
            <w:pPr>
              <w:pStyle w:val="TableParagraph"/>
              <w:spacing w:line="240" w:lineRule="auto" w:before="106"/>
              <w:ind w:left="674"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12" w:space="0" w:color="000000"/>
              <w:left w:val="single" w:sz="6" w:space="0" w:color="000000"/>
              <w:bottom w:val="single" w:sz="6"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00" w:hRule="exact"/>
        </w:trPr>
        <w:tc>
          <w:tcPr>
            <w:tcW w:w="2174" w:type="dxa"/>
            <w:vMerge/>
            <w:tcBorders>
              <w:left w:val="nil" w:sz="6" w:space="0" w:color="auto"/>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4"/>
              <w:jc w:val="center"/>
              <w:rPr>
                <w:rFonts w:ascii="宋体" w:hAnsi="宋体" w:cs="宋体" w:eastAsia="宋体" w:hint="default"/>
                <w:sz w:val="21"/>
                <w:szCs w:val="21"/>
              </w:rPr>
            </w:pPr>
            <w:r>
              <w:rPr>
                <w:rFonts w:ascii="宋体" w:hAnsi="宋体" w:cs="宋体" w:eastAsia="宋体" w:hint="default"/>
                <w:spacing w:val="-9"/>
                <w:sz w:val="21"/>
                <w:szCs w:val="21"/>
              </w:rPr>
              <w:t>比例（</w:t>
            </w:r>
            <w:r>
              <w:rPr>
                <w:rFonts w:ascii="Century Gothic" w:hAnsi="Century Gothic" w:cs="Century Gothic" w:eastAsia="Century Gothic" w:hint="default"/>
                <w:spacing w:val="-9"/>
                <w:sz w:val="21"/>
                <w:szCs w:val="21"/>
              </w:rPr>
              <w:t>%</w:t>
            </w:r>
            <w:r>
              <w:rPr>
                <w:rFonts w:ascii="宋体" w:hAnsi="宋体" w:cs="宋体" w:eastAsia="宋体" w:hint="default"/>
                <w:spacing w:val="-9"/>
                <w:sz w:val="21"/>
                <w:szCs w:val="21"/>
              </w:rPr>
              <w:t>）</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299"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799,363.90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17" w:right="0"/>
              <w:jc w:val="center"/>
              <w:rPr>
                <w:rFonts w:ascii="Century Gothic" w:hAnsi="Century Gothic" w:cs="Century Gothic" w:eastAsia="Century Gothic" w:hint="default"/>
                <w:sz w:val="21"/>
                <w:szCs w:val="21"/>
              </w:rPr>
            </w:pPr>
            <w:r>
              <w:rPr>
                <w:rFonts w:ascii="Century Gothic"/>
                <w:sz w:val="21"/>
              </w:rPr>
              <w:t>100.00</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39,968.20</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759,395.70</w:t>
            </w:r>
          </w:p>
        </w:tc>
      </w:tr>
      <w:tr>
        <w:trPr>
          <w:trHeight w:val="299"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tabs>
                <w:tab w:pos="418" w:val="left" w:leader="none"/>
              </w:tabs>
              <w:spacing w:line="247" w:lineRule="exact"/>
              <w:ind w:right="75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799,363.90</w:t>
            </w:r>
            <w:r>
              <w:rPr>
                <w:rFonts w:ascii="Century Gothic"/>
                <w:b/>
                <w:w w:val="95"/>
                <w:sz w:val="21"/>
              </w:rPr>
            </w:r>
            <w:r>
              <w:rPr>
                <w:rFonts w:ascii="Century Gothic"/>
                <w:sz w:val="21"/>
              </w:rPr>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08"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100.00</w:t>
            </w:r>
            <w:r>
              <w:rPr>
                <w:rFonts w:ascii="Century Gothic"/>
                <w:b/>
                <w:sz w:val="21"/>
              </w:rPr>
            </w:r>
            <w:r>
              <w:rPr>
                <w:rFonts w:ascii="Century Gothic"/>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39,968.20</w:t>
            </w:r>
            <w:r>
              <w:rPr>
                <w:rFonts w:ascii="Century Gothic"/>
                <w:b/>
                <w:w w:val="95"/>
                <w:sz w:val="21"/>
              </w:rPr>
            </w:r>
            <w:r>
              <w:rPr>
                <w:rFonts w:ascii="Century Gothic"/>
                <w:sz w:val="21"/>
              </w:rPr>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759,395.70</w:t>
            </w:r>
            <w:r>
              <w:rPr>
                <w:rFonts w:ascii="Century Gothic"/>
                <w:b/>
                <w:w w:val="95"/>
                <w:sz w:val="21"/>
              </w:rPr>
            </w:r>
            <w:r>
              <w:rPr>
                <w:rFonts w:ascii="Century Gothic"/>
                <w:sz w:val="21"/>
              </w:rPr>
            </w:r>
          </w:p>
        </w:tc>
      </w:tr>
      <w:tr>
        <w:trPr>
          <w:trHeight w:val="299" w:hRule="exact"/>
        </w:trPr>
        <w:tc>
          <w:tcPr>
            <w:tcW w:w="2174" w:type="dxa"/>
            <w:vMerge w:val="restart"/>
            <w:tcBorders>
              <w:top w:val="single" w:sz="6" w:space="0" w:color="000000"/>
              <w:left w:val="nil" w:sz="6" w:space="0" w:color="auto"/>
              <w:right w:val="single" w:sz="6" w:space="0" w:color="000000"/>
            </w:tcBorders>
          </w:tcPr>
          <w:p>
            <w:pPr>
              <w:pStyle w:val="TableParagraph"/>
              <w:spacing w:line="240" w:lineRule="auto" w:before="114"/>
              <w:ind w:left="674"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73" w:type="dxa"/>
            <w:gridSpan w:val="4"/>
            <w:tcBorders>
              <w:top w:val="single" w:sz="6" w:space="0" w:color="000000"/>
              <w:left w:val="single" w:sz="6" w:space="0" w:color="000000"/>
              <w:bottom w:val="single" w:sz="6" w:space="0" w:color="000000"/>
              <w:right w:val="nil" w:sz="6" w:space="0" w:color="auto"/>
            </w:tcBorders>
          </w:tcPr>
          <w:p>
            <w:pPr>
              <w:pStyle w:val="TableParagraph"/>
              <w:spacing w:line="247" w:lineRule="exact"/>
              <w:ind w:right="5"/>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299" w:hRule="exact"/>
        </w:trPr>
        <w:tc>
          <w:tcPr>
            <w:tcW w:w="2174" w:type="dxa"/>
            <w:vMerge/>
            <w:tcBorders>
              <w:left w:val="nil" w:sz="6" w:space="0" w:color="auto"/>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100" w:right="-4"/>
              <w:jc w:val="center"/>
              <w:rPr>
                <w:rFonts w:ascii="宋体" w:hAnsi="宋体" w:cs="宋体" w:eastAsia="宋体" w:hint="default"/>
                <w:sz w:val="21"/>
                <w:szCs w:val="21"/>
              </w:rPr>
            </w:pPr>
            <w:r>
              <w:rPr>
                <w:rFonts w:ascii="宋体" w:hAnsi="宋体" w:cs="宋体" w:eastAsia="宋体" w:hint="default"/>
                <w:spacing w:val="-9"/>
                <w:sz w:val="21"/>
                <w:szCs w:val="21"/>
              </w:rPr>
              <w:t>比例（</w:t>
            </w:r>
            <w:r>
              <w:rPr>
                <w:rFonts w:ascii="Century Gothic" w:hAnsi="Century Gothic" w:cs="Century Gothic" w:eastAsia="Century Gothic" w:hint="default"/>
                <w:spacing w:val="-9"/>
                <w:sz w:val="21"/>
                <w:szCs w:val="21"/>
              </w:rPr>
              <w:t>%</w:t>
            </w:r>
            <w:r>
              <w:rPr>
                <w:rFonts w:ascii="宋体" w:hAnsi="宋体" w:cs="宋体" w:eastAsia="宋体" w:hint="default"/>
                <w:spacing w:val="-9"/>
                <w:sz w:val="21"/>
                <w:szCs w:val="21"/>
              </w:rPr>
              <w:t>）</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299" w:hRule="exact"/>
        </w:trPr>
        <w:tc>
          <w:tcPr>
            <w:tcW w:w="2174" w:type="dxa"/>
            <w:tcBorders>
              <w:top w:val="single" w:sz="6" w:space="0" w:color="000000"/>
              <w:left w:val="nil" w:sz="6" w:space="0" w:color="auto"/>
              <w:bottom w:val="single" w:sz="6" w:space="0" w:color="000000"/>
              <w:right w:val="single" w:sz="6" w:space="0" w:color="000000"/>
            </w:tcBorders>
          </w:tcPr>
          <w:p>
            <w:pPr>
              <w:pStyle w:val="TableParagraph"/>
              <w:spacing w:line="263"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3,377,356.80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17" w:right="0"/>
              <w:jc w:val="center"/>
              <w:rPr>
                <w:rFonts w:ascii="Century Gothic" w:hAnsi="Century Gothic" w:cs="Century Gothic" w:eastAsia="Century Gothic" w:hint="default"/>
                <w:sz w:val="21"/>
                <w:szCs w:val="21"/>
              </w:rPr>
            </w:pPr>
            <w:r>
              <w:rPr>
                <w:rFonts w:ascii="Century Gothic"/>
                <w:sz w:val="21"/>
              </w:rPr>
              <w:t>100.00</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168,867.84</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7"/>
              <w:jc w:val="right"/>
              <w:rPr>
                <w:rFonts w:ascii="Century Gothic" w:hAnsi="Century Gothic" w:cs="Century Gothic" w:eastAsia="Century Gothic" w:hint="default"/>
                <w:sz w:val="21"/>
                <w:szCs w:val="21"/>
              </w:rPr>
            </w:pPr>
            <w:r>
              <w:rPr>
                <w:rFonts w:ascii="Century Gothic"/>
                <w:spacing w:val="-1"/>
                <w:sz w:val="21"/>
              </w:rPr>
              <w:t>3,208,488.96</w:t>
            </w:r>
          </w:p>
        </w:tc>
      </w:tr>
      <w:tr>
        <w:trPr>
          <w:trHeight w:val="308" w:hRule="exact"/>
        </w:trPr>
        <w:tc>
          <w:tcPr>
            <w:tcW w:w="2174" w:type="dxa"/>
            <w:tcBorders>
              <w:top w:val="single" w:sz="6" w:space="0" w:color="000000"/>
              <w:left w:val="nil" w:sz="6" w:space="0" w:color="auto"/>
              <w:bottom w:val="single" w:sz="12" w:space="0" w:color="000000"/>
              <w:right w:val="single" w:sz="6" w:space="0" w:color="000000"/>
            </w:tcBorders>
          </w:tcPr>
          <w:p>
            <w:pPr>
              <w:pStyle w:val="TableParagraph"/>
              <w:tabs>
                <w:tab w:pos="418" w:val="left" w:leader="none"/>
              </w:tabs>
              <w:spacing w:line="247" w:lineRule="exact"/>
              <w:ind w:right="756"/>
              <w:jc w:val="right"/>
              <w:rPr>
                <w:rFonts w:ascii="宋体" w:hAnsi="宋体" w:cs="宋体" w:eastAsia="宋体" w:hint="default"/>
                <w:sz w:val="21"/>
                <w:szCs w:val="21"/>
              </w:rPr>
            </w:pPr>
            <w:r>
              <w:rPr>
                <w:rFonts w:ascii="宋体" w:hAnsi="宋体" w:cs="宋体" w:eastAsia="宋体" w:hint="default"/>
                <w:sz w:val="21"/>
                <w:szCs w:val="21"/>
              </w:rPr>
              <w:t>合</w:t>
              <w:tab/>
              <w:t>计</w:t>
            </w:r>
          </w:p>
        </w:tc>
        <w:tc>
          <w:tcPr>
            <w:tcW w:w="1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3,377,356.80</w:t>
            </w:r>
            <w:r>
              <w:rPr>
                <w:rFonts w:ascii="Century Gothic"/>
                <w:b/>
                <w:w w:val="95"/>
                <w:sz w:val="21"/>
              </w:rPr>
            </w:r>
            <w:r>
              <w:rPr>
                <w:rFonts w:ascii="Century Gothic"/>
                <w:sz w:val="21"/>
              </w:rPr>
            </w:r>
          </w:p>
        </w:tc>
        <w:tc>
          <w:tcPr>
            <w:tcW w:w="10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left="208"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100.00</w:t>
            </w:r>
            <w:r>
              <w:rPr>
                <w:rFonts w:ascii="Century Gothic"/>
                <w:b/>
                <w:sz w:val="21"/>
              </w:rPr>
            </w:r>
            <w:r>
              <w:rPr>
                <w:rFonts w:ascii="Century Gothic"/>
                <w:sz w:val="21"/>
              </w:rPr>
            </w:r>
          </w:p>
        </w:tc>
        <w:tc>
          <w:tcPr>
            <w:tcW w:w="1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168,867.84</w:t>
            </w:r>
            <w:r>
              <w:rPr>
                <w:rFonts w:ascii="Century Gothic"/>
                <w:b/>
                <w:w w:val="95"/>
                <w:sz w:val="21"/>
              </w:rPr>
            </w:r>
            <w:r>
              <w:rPr>
                <w:rFonts w:ascii="Century Gothic"/>
                <w:sz w:val="21"/>
              </w:rPr>
            </w:r>
          </w:p>
        </w:tc>
        <w:tc>
          <w:tcPr>
            <w:tcW w:w="19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3,208,488.96</w:t>
            </w:r>
            <w:r>
              <w:rPr>
                <w:rFonts w:ascii="Century Gothic"/>
                <w:b/>
                <w:w w:val="95"/>
                <w:sz w:val="21"/>
              </w:rPr>
            </w:r>
            <w:r>
              <w:rPr>
                <w:rFonts w:ascii="Century Gothic"/>
                <w:sz w:val="21"/>
              </w:rPr>
            </w:r>
          </w:p>
        </w:tc>
      </w:tr>
    </w:tbl>
    <w:p>
      <w:pPr>
        <w:pStyle w:val="BodyText"/>
        <w:spacing w:line="240" w:lineRule="auto" w:before="86"/>
        <w:ind w:left="558" w:right="152"/>
        <w:jc w:val="left"/>
      </w:pPr>
      <w:r>
        <w:rPr/>
        <w:t>（</w:t>
      </w:r>
      <w:r>
        <w:rPr>
          <w:rFonts w:ascii="Century Gothic" w:hAnsi="Century Gothic" w:cs="Century Gothic" w:eastAsia="Century Gothic" w:hint="default"/>
        </w:rPr>
        <w:t>3</w:t>
      </w:r>
      <w:r>
        <w:rPr/>
        <w:t>）本报告期应收账款中无持有本公司</w:t>
      </w:r>
      <w:r>
        <w:rPr>
          <w:spacing w:val="-54"/>
        </w:rPr>
        <w:t> </w:t>
      </w:r>
      <w:r>
        <w:rPr>
          <w:rFonts w:ascii="Century Gothic" w:hAnsi="Century Gothic" w:cs="Century Gothic" w:eastAsia="Century Gothic" w:hint="default"/>
        </w:rPr>
        <w:t>5%</w:t>
      </w:r>
      <w:r>
        <w:rPr/>
        <w:t>（含</w:t>
      </w:r>
      <w:r>
        <w:rPr>
          <w:spacing w:val="-55"/>
        </w:rPr>
        <w:t> </w:t>
      </w:r>
      <w:r>
        <w:rPr>
          <w:rFonts w:ascii="Century Gothic" w:hAnsi="Century Gothic" w:cs="Century Gothic" w:eastAsia="Century Gothic" w:hint="default"/>
        </w:rPr>
        <w:t>5%</w:t>
      </w:r>
      <w:r>
        <w:rPr/>
        <w:t>）以上表决权股份的股东单位欠款情况。</w:t>
      </w:r>
    </w:p>
    <w:p>
      <w:pPr>
        <w:pStyle w:val="BodyText"/>
        <w:spacing w:line="240" w:lineRule="auto"/>
        <w:ind w:left="558" w:right="152"/>
        <w:jc w:val="left"/>
      </w:pPr>
      <w:r>
        <w:rPr/>
        <w:t>（</w:t>
      </w:r>
      <w:r>
        <w:rPr>
          <w:rFonts w:ascii="Century Gothic" w:hAnsi="Century Gothic" w:cs="Century Gothic" w:eastAsia="Century Gothic" w:hint="default"/>
        </w:rPr>
        <w:t>4</w:t>
      </w:r>
      <w:r>
        <w:rPr/>
        <w:t>）年末应收账款按单位列示如下：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0"/>
        <w:ind w:left="3267" w:right="3344" w:firstLine="0"/>
        <w:jc w:val="center"/>
        <w:rPr>
          <w:rFonts w:ascii="Times New Roman" w:hAnsi="Times New Roman" w:cs="Times New Roman" w:eastAsia="Times New Roman" w:hint="default"/>
          <w:sz w:val="18"/>
          <w:szCs w:val="18"/>
        </w:rPr>
      </w:pPr>
      <w:r>
        <w:rPr>
          <w:rFonts w:ascii="Times New Roman"/>
          <w:sz w:val="18"/>
        </w:rPr>
        <w:t>100</w:t>
      </w:r>
    </w:p>
    <w:p>
      <w:pPr>
        <w:spacing w:after="0"/>
        <w:jc w:val="center"/>
        <w:rPr>
          <w:rFonts w:ascii="Times New Roman" w:hAnsi="Times New Roman" w:cs="Times New Roman" w:eastAsia="Times New Roman" w:hint="default"/>
          <w:sz w:val="18"/>
          <w:szCs w:val="18"/>
        </w:rPr>
        <w:sectPr>
          <w:pgSz w:w="11910" w:h="16840"/>
          <w:pgMar w:top="780" w:bottom="280" w:left="1160" w:right="1200"/>
        </w:sectPr>
      </w:pPr>
    </w:p>
    <w:p>
      <w:pPr>
        <w:spacing w:line="240" w:lineRule="auto" w:before="6"/>
        <w:rPr>
          <w:rFonts w:ascii="Times New Roman" w:hAnsi="Times New Roman" w:cs="Times New Roman" w:eastAsia="Times New Roman" w:hint="default"/>
          <w:sz w:val="23"/>
          <w:szCs w:val="23"/>
        </w:rPr>
      </w:pPr>
    </w:p>
    <w:p>
      <w:pPr>
        <w:pStyle w:val="Heading4"/>
        <w:tabs>
          <w:tab w:pos="7386" w:val="left" w:leader="none"/>
        </w:tabs>
        <w:spacing w:line="240" w:lineRule="auto"/>
        <w:ind w:left="3654" w:right="152"/>
        <w:jc w:val="left"/>
        <w:rPr>
          <w:b w:val="0"/>
          <w:bCs w:val="0"/>
        </w:rPr>
      </w:pPr>
      <w:r>
        <w:rPr/>
        <w:pict>
          <v:shape style="position:absolute;margin-left:70.860001pt;margin-top:-9.926001pt;width:84.0pt;height:23.94pt;mso-position-horizontal-relative:page;mso-position-vertical-relative:paragraph;z-index:6592"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4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31" w:type="dxa"/>
        <w:tblLayout w:type="fixed"/>
        <w:tblCellMar>
          <w:top w:w="0" w:type="dxa"/>
          <w:left w:w="0" w:type="dxa"/>
          <w:bottom w:w="0" w:type="dxa"/>
          <w:right w:w="0" w:type="dxa"/>
        </w:tblCellMar>
        <w:tblLook w:val="01E0"/>
      </w:tblPr>
      <w:tblGrid>
        <w:gridCol w:w="2714"/>
        <w:gridCol w:w="1175"/>
        <w:gridCol w:w="1602"/>
        <w:gridCol w:w="1602"/>
        <w:gridCol w:w="1945"/>
      </w:tblGrid>
      <w:tr>
        <w:trPr>
          <w:trHeight w:val="568" w:hRule="exact"/>
        </w:trPr>
        <w:tc>
          <w:tcPr>
            <w:tcW w:w="271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17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关系</w:t>
            </w:r>
          </w:p>
        </w:tc>
        <w:tc>
          <w:tcPr>
            <w:tcW w:w="16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年末金额</w:t>
            </w:r>
          </w:p>
        </w:tc>
        <w:tc>
          <w:tcPr>
            <w:tcW w:w="16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945"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占应收账款总额的</w:t>
            </w:r>
          </w:p>
          <w:p>
            <w:pPr>
              <w:pStyle w:val="TableParagraph"/>
              <w:spacing w:line="290" w:lineRule="exact"/>
              <w:ind w:right="6"/>
              <w:jc w:val="center"/>
              <w:rPr>
                <w:rFonts w:ascii="宋体" w:hAnsi="宋体" w:cs="宋体" w:eastAsia="宋体" w:hint="default"/>
                <w:sz w:val="21"/>
                <w:szCs w:val="21"/>
              </w:rPr>
            </w:pPr>
            <w:r>
              <w:rPr>
                <w:rFonts w:ascii="宋体" w:hAnsi="宋体" w:cs="宋体" w:eastAsia="宋体" w:hint="default"/>
                <w:sz w:val="21"/>
                <w:szCs w:val="21"/>
              </w:rPr>
              <w:t>比例（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r>
      <w:tr>
        <w:trPr>
          <w:trHeight w:val="560"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5"/>
                <w:sz w:val="21"/>
                <w:szCs w:val="21"/>
              </w:rPr>
              <w:t>北京华立科泰医药有限责</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Century Gothic" w:hAnsi="Century Gothic" w:cs="Century Gothic" w:eastAsia="Century Gothic" w:hint="default"/>
                <w:sz w:val="21"/>
                <w:szCs w:val="21"/>
              </w:rPr>
            </w:pPr>
            <w:r>
              <w:rPr>
                <w:rFonts w:ascii="Century Gothic"/>
                <w:sz w:val="21"/>
              </w:rPr>
              <w:t>537,454.90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709"/>
              <w:jc w:val="right"/>
              <w:rPr>
                <w:rFonts w:ascii="Century Gothic" w:hAnsi="Century Gothic" w:cs="Century Gothic" w:eastAsia="Century Gothic" w:hint="default"/>
                <w:sz w:val="21"/>
                <w:szCs w:val="21"/>
              </w:rPr>
            </w:pPr>
            <w:r>
              <w:rPr>
                <w:rFonts w:ascii="Century Gothic"/>
                <w:spacing w:val="-1"/>
                <w:sz w:val="21"/>
              </w:rPr>
              <w:t>67.24</w:t>
            </w:r>
          </w:p>
        </w:tc>
      </w:tr>
      <w:tr>
        <w:trPr>
          <w:trHeight w:val="300" w:hRule="exact"/>
        </w:trPr>
        <w:tc>
          <w:tcPr>
            <w:tcW w:w="271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上海珐迩玛实业有限公司</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Century Gothic" w:hAnsi="Century Gothic" w:cs="Century Gothic" w:eastAsia="Century Gothic" w:hint="default"/>
                <w:sz w:val="21"/>
                <w:szCs w:val="21"/>
              </w:rPr>
            </w:pPr>
            <w:r>
              <w:rPr>
                <w:rFonts w:ascii="Century Gothic"/>
                <w:sz w:val="21"/>
              </w:rPr>
              <w:t>261,909.00</w:t>
            </w:r>
          </w:p>
        </w:tc>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一年以内</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709"/>
              <w:jc w:val="right"/>
              <w:rPr>
                <w:rFonts w:ascii="Century Gothic" w:hAnsi="Century Gothic" w:cs="Century Gothic" w:eastAsia="Century Gothic" w:hint="default"/>
                <w:sz w:val="21"/>
                <w:szCs w:val="21"/>
              </w:rPr>
            </w:pPr>
            <w:r>
              <w:rPr>
                <w:rFonts w:ascii="Century Gothic"/>
                <w:spacing w:val="-1"/>
                <w:sz w:val="21"/>
              </w:rPr>
              <w:t>32.76</w:t>
            </w:r>
          </w:p>
        </w:tc>
      </w:tr>
      <w:tr>
        <w:trPr>
          <w:trHeight w:val="307" w:hRule="exact"/>
        </w:trPr>
        <w:tc>
          <w:tcPr>
            <w:tcW w:w="2714" w:type="dxa"/>
            <w:tcBorders>
              <w:top w:val="single" w:sz="6" w:space="0" w:color="000000"/>
              <w:left w:val="nil" w:sz="6" w:space="0" w:color="auto"/>
              <w:bottom w:val="single" w:sz="12" w:space="0" w:color="000000"/>
              <w:right w:val="single" w:sz="6" w:space="0" w:color="000000"/>
            </w:tcBorders>
          </w:tcPr>
          <w:p>
            <w:pPr>
              <w:pStyle w:val="TableParagraph"/>
              <w:tabs>
                <w:tab w:pos="440" w:val="left" w:leader="none"/>
              </w:tabs>
              <w:spacing w:line="24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75" w:type="dxa"/>
            <w:tcBorders>
              <w:top w:val="single" w:sz="6" w:space="0" w:color="000000"/>
              <w:left w:val="single" w:sz="6" w:space="0" w:color="000000"/>
              <w:bottom w:val="single" w:sz="12" w:space="0" w:color="000000"/>
              <w:right w:val="single" w:sz="6" w:space="0" w:color="000000"/>
            </w:tcBorders>
          </w:tcPr>
          <w:p>
            <w:pPr/>
          </w:p>
        </w:tc>
        <w:tc>
          <w:tcPr>
            <w:tcW w:w="16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799,363.90</w:t>
            </w:r>
            <w:r>
              <w:rPr>
                <w:rFonts w:ascii="Century Gothic"/>
                <w:b/>
                <w:sz w:val="21"/>
              </w:rPr>
            </w:r>
            <w:r>
              <w:rPr>
                <w:rFonts w:ascii="Century Gothic"/>
                <w:sz w:val="21"/>
              </w:rPr>
            </w:r>
          </w:p>
        </w:tc>
        <w:tc>
          <w:tcPr>
            <w:tcW w:w="1602" w:type="dxa"/>
            <w:tcBorders>
              <w:top w:val="single" w:sz="6" w:space="0" w:color="000000"/>
              <w:left w:val="single" w:sz="6" w:space="0" w:color="000000"/>
              <w:bottom w:val="single" w:sz="12" w:space="0" w:color="000000"/>
              <w:right w:val="single" w:sz="6" w:space="0" w:color="000000"/>
            </w:tcBorders>
          </w:tcPr>
          <w:p>
            <w:pPr/>
          </w:p>
        </w:tc>
        <w:tc>
          <w:tcPr>
            <w:tcW w:w="194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647"/>
              <w:jc w:val="right"/>
              <w:rPr>
                <w:rFonts w:ascii="Century Gothic" w:hAnsi="Century Gothic" w:cs="Century Gothic" w:eastAsia="Century Gothic" w:hint="default"/>
                <w:sz w:val="21"/>
                <w:szCs w:val="21"/>
              </w:rPr>
            </w:pPr>
            <w:r>
              <w:rPr>
                <w:rFonts w:ascii="Century Gothic"/>
                <w:b/>
                <w:w w:val="99"/>
                <w:sz w:val="21"/>
              </w:rPr>
            </w:r>
            <w:r>
              <w:rPr>
                <w:rFonts w:ascii="Century Gothic"/>
                <w:b/>
                <w:spacing w:val="-1"/>
                <w:w w:val="95"/>
                <w:sz w:val="21"/>
                <w:u w:val="single" w:color="000000"/>
              </w:rPr>
              <w:t>100.00</w:t>
            </w:r>
            <w:r>
              <w:rPr>
                <w:rFonts w:ascii="Century Gothic"/>
                <w:b/>
                <w:spacing w:val="-1"/>
                <w:w w:val="95"/>
                <w:sz w:val="21"/>
              </w:rPr>
            </w:r>
            <w:r>
              <w:rPr>
                <w:rFonts w:ascii="Century Gothic"/>
                <w:sz w:val="21"/>
              </w:rPr>
            </w:r>
          </w:p>
        </w:tc>
      </w:tr>
    </w:tbl>
    <w:p>
      <w:pPr>
        <w:pStyle w:val="BodyText"/>
        <w:spacing w:line="240" w:lineRule="auto" w:before="94"/>
        <w:ind w:left="598" w:right="152"/>
        <w:jc w:val="left"/>
      </w:pPr>
      <w:r>
        <w:rPr/>
        <w:t>（</w:t>
      </w:r>
      <w:r>
        <w:rPr>
          <w:rFonts w:ascii="Century Gothic" w:hAnsi="Century Gothic" w:cs="Century Gothic" w:eastAsia="Century Gothic" w:hint="default"/>
        </w:rPr>
        <w:t>5</w:t>
      </w:r>
      <w:r>
        <w:rPr/>
        <w:t>）应收关联方账款情况</w:t>
      </w:r>
    </w:p>
    <w:p>
      <w:pPr>
        <w:spacing w:line="240" w:lineRule="auto" w:before="8"/>
        <w:rPr>
          <w:rFonts w:ascii="宋体" w:hAnsi="宋体" w:cs="宋体" w:eastAsia="宋体"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2744"/>
        <w:gridCol w:w="1225"/>
        <w:gridCol w:w="2900"/>
        <w:gridCol w:w="2423"/>
      </w:tblGrid>
      <w:tr>
        <w:trPr>
          <w:trHeight w:val="568" w:hRule="exact"/>
        </w:trPr>
        <w:tc>
          <w:tcPr>
            <w:tcW w:w="274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0"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2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关系</w:t>
            </w:r>
          </w:p>
        </w:tc>
        <w:tc>
          <w:tcPr>
            <w:tcW w:w="29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年末金额</w:t>
            </w:r>
          </w:p>
        </w:tc>
        <w:tc>
          <w:tcPr>
            <w:tcW w:w="2423"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90" w:lineRule="exact"/>
              <w:ind w:right="6"/>
              <w:jc w:val="center"/>
              <w:rPr>
                <w:rFonts w:ascii="宋体" w:hAnsi="宋体" w:cs="宋体" w:eastAsia="宋体" w:hint="default"/>
                <w:sz w:val="21"/>
                <w:szCs w:val="21"/>
              </w:rPr>
            </w:pPr>
            <w:r>
              <w:rPr>
                <w:rFonts w:ascii="宋体" w:hAnsi="宋体" w:cs="宋体" w:eastAsia="宋体" w:hint="default"/>
                <w:sz w:val="21"/>
                <w:szCs w:val="21"/>
              </w:rPr>
              <w:t>（</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r>
      <w:tr>
        <w:trPr>
          <w:trHeight w:val="560" w:hRule="exact"/>
        </w:trPr>
        <w:tc>
          <w:tcPr>
            <w:tcW w:w="274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北京华立科泰医药有限责</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
              <w:jc w:val="center"/>
              <w:rPr>
                <w:rFonts w:ascii="Century Gothic" w:hAnsi="Century Gothic" w:cs="Century Gothic" w:eastAsia="Century Gothic" w:hint="default"/>
                <w:sz w:val="21"/>
                <w:szCs w:val="21"/>
              </w:rPr>
            </w:pPr>
            <w:r>
              <w:rPr>
                <w:rFonts w:ascii="Century Gothic"/>
                <w:sz w:val="21"/>
              </w:rPr>
              <w:t>537,454.90</w:t>
            </w:r>
          </w:p>
        </w:tc>
        <w:tc>
          <w:tcPr>
            <w:tcW w:w="2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5"/>
              <w:jc w:val="center"/>
              <w:rPr>
                <w:rFonts w:ascii="Century Gothic" w:hAnsi="Century Gothic" w:cs="Century Gothic" w:eastAsia="Century Gothic" w:hint="default"/>
                <w:sz w:val="21"/>
                <w:szCs w:val="21"/>
              </w:rPr>
            </w:pPr>
            <w:r>
              <w:rPr>
                <w:rFonts w:ascii="Century Gothic"/>
                <w:sz w:val="21"/>
              </w:rPr>
              <w:t>67.24</w:t>
            </w:r>
          </w:p>
        </w:tc>
      </w:tr>
      <w:tr>
        <w:trPr>
          <w:trHeight w:val="300" w:hRule="exact"/>
        </w:trPr>
        <w:tc>
          <w:tcPr>
            <w:tcW w:w="274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上海珐迩玛实业有限公司</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2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Century Gothic" w:hAnsi="Century Gothic" w:cs="Century Gothic" w:eastAsia="Century Gothic" w:hint="default"/>
                <w:sz w:val="21"/>
                <w:szCs w:val="21"/>
              </w:rPr>
            </w:pPr>
            <w:r>
              <w:rPr>
                <w:rFonts w:ascii="Century Gothic"/>
                <w:sz w:val="21"/>
              </w:rPr>
              <w:t>261,909.00</w:t>
            </w:r>
          </w:p>
        </w:tc>
        <w:tc>
          <w:tcPr>
            <w:tcW w:w="2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5"/>
              <w:jc w:val="center"/>
              <w:rPr>
                <w:rFonts w:ascii="Century Gothic" w:hAnsi="Century Gothic" w:cs="Century Gothic" w:eastAsia="Century Gothic" w:hint="default"/>
                <w:sz w:val="21"/>
                <w:szCs w:val="21"/>
              </w:rPr>
            </w:pPr>
            <w:r>
              <w:rPr>
                <w:rFonts w:ascii="Century Gothic"/>
                <w:sz w:val="21"/>
              </w:rPr>
              <w:t>32.76</w:t>
            </w:r>
          </w:p>
        </w:tc>
      </w:tr>
      <w:tr>
        <w:trPr>
          <w:trHeight w:val="307" w:hRule="exact"/>
        </w:trPr>
        <w:tc>
          <w:tcPr>
            <w:tcW w:w="2744" w:type="dxa"/>
            <w:tcBorders>
              <w:top w:val="single" w:sz="6" w:space="0" w:color="000000"/>
              <w:left w:val="nil" w:sz="6" w:space="0" w:color="auto"/>
              <w:bottom w:val="single" w:sz="12" w:space="0" w:color="000000"/>
              <w:right w:val="single" w:sz="6" w:space="0" w:color="000000"/>
            </w:tcBorders>
          </w:tcPr>
          <w:p>
            <w:pPr>
              <w:pStyle w:val="TableParagraph"/>
              <w:tabs>
                <w:tab w:pos="439" w:val="left" w:leader="none"/>
              </w:tabs>
              <w:spacing w:line="24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225" w:type="dxa"/>
            <w:tcBorders>
              <w:top w:val="single" w:sz="6" w:space="0" w:color="000000"/>
              <w:left w:val="single" w:sz="6" w:space="0" w:color="000000"/>
              <w:bottom w:val="single" w:sz="12" w:space="0" w:color="000000"/>
              <w:right w:val="single" w:sz="6" w:space="0" w:color="000000"/>
            </w:tcBorders>
          </w:tcPr>
          <w:p>
            <w:pPr/>
          </w:p>
        </w:tc>
        <w:tc>
          <w:tcPr>
            <w:tcW w:w="29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1"/>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799,363.90</w:t>
            </w:r>
            <w:r>
              <w:rPr>
                <w:rFonts w:ascii="Century Gothic"/>
                <w:b/>
                <w:sz w:val="21"/>
              </w:rPr>
            </w:r>
            <w:r>
              <w:rPr>
                <w:rFonts w:ascii="Century Gothic"/>
                <w:sz w:val="21"/>
              </w:rPr>
            </w:r>
          </w:p>
        </w:tc>
        <w:tc>
          <w:tcPr>
            <w:tcW w:w="242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5"/>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100.00</w:t>
            </w:r>
            <w:r>
              <w:rPr>
                <w:rFonts w:ascii="Century Gothic"/>
                <w:b/>
                <w:sz w:val="21"/>
              </w:rPr>
            </w:r>
            <w:r>
              <w:rPr>
                <w:rFonts w:ascii="Century Gothic"/>
                <w:sz w:val="21"/>
              </w:rPr>
            </w:r>
          </w:p>
        </w:tc>
      </w:tr>
    </w:tbl>
    <w:p>
      <w:pPr>
        <w:pStyle w:val="Heading4"/>
        <w:tabs>
          <w:tab w:pos="1453" w:val="left" w:leader="none"/>
        </w:tabs>
        <w:spacing w:line="240" w:lineRule="auto" w:before="86"/>
        <w:ind w:left="598" w:right="152"/>
        <w:jc w:val="left"/>
        <w:rPr>
          <w:rFonts w:ascii="宋体" w:hAnsi="宋体" w:cs="宋体" w:eastAsia="宋体" w:hint="default"/>
          <w:b w:val="0"/>
          <w:bCs w:val="0"/>
        </w:rPr>
      </w:pPr>
      <w:r>
        <w:rPr>
          <w:rFonts w:ascii="宋体" w:hAnsi="宋体" w:cs="宋体" w:eastAsia="宋体" w:hint="default"/>
          <w:w w:val="95"/>
        </w:rPr>
        <w:t>（二）</w:t>
        <w:tab/>
      </w:r>
      <w:r>
        <w:rPr>
          <w:rFonts w:ascii="宋体" w:hAnsi="宋体" w:cs="宋体" w:eastAsia="宋体" w:hint="default"/>
        </w:rPr>
        <w:t>其他应收款</w:t>
      </w:r>
      <w:r>
        <w:rPr>
          <w:rFonts w:ascii="宋体" w:hAnsi="宋体" w:cs="宋体" w:eastAsia="宋体" w:hint="default"/>
          <w:b w:val="0"/>
          <w:bCs w:val="0"/>
        </w:rPr>
      </w:r>
    </w:p>
    <w:p>
      <w:pPr>
        <w:pStyle w:val="BodyText"/>
        <w:spacing w:line="240" w:lineRule="auto" w:before="134"/>
        <w:ind w:left="598" w:right="152"/>
        <w:jc w:val="left"/>
      </w:pPr>
      <w:r>
        <w:rPr/>
        <w:t>（</w:t>
      </w:r>
      <w:r>
        <w:rPr>
          <w:rFonts w:ascii="Century Gothic" w:hAnsi="Century Gothic" w:cs="Century Gothic" w:eastAsia="Century Gothic" w:hint="default"/>
        </w:rPr>
        <w:t>1</w:t>
      </w:r>
      <w:r>
        <w:rPr/>
        <w:t>）其他应收款按类别列示如下：</w:t>
      </w:r>
    </w:p>
    <w:p>
      <w:pPr>
        <w:spacing w:line="240" w:lineRule="auto" w:before="8"/>
        <w:rPr>
          <w:rFonts w:ascii="宋体" w:hAnsi="宋体" w:cs="宋体" w:eastAsia="宋体" w:hint="default"/>
          <w:sz w:val="11"/>
          <w:szCs w:val="11"/>
        </w:rPr>
      </w:pPr>
    </w:p>
    <w:tbl>
      <w:tblPr>
        <w:tblW w:w="0" w:type="auto"/>
        <w:jc w:val="left"/>
        <w:tblInd w:w="257" w:type="dxa"/>
        <w:tblLayout w:type="fixed"/>
        <w:tblCellMar>
          <w:top w:w="0" w:type="dxa"/>
          <w:left w:w="0" w:type="dxa"/>
          <w:bottom w:w="0" w:type="dxa"/>
          <w:right w:w="0" w:type="dxa"/>
        </w:tblCellMar>
        <w:tblLook w:val="01E0"/>
      </w:tblPr>
      <w:tblGrid>
        <w:gridCol w:w="2274"/>
        <w:gridCol w:w="1686"/>
        <w:gridCol w:w="888"/>
        <w:gridCol w:w="1568"/>
        <w:gridCol w:w="886"/>
        <w:gridCol w:w="1686"/>
      </w:tblGrid>
      <w:tr>
        <w:trPr>
          <w:trHeight w:val="363" w:hRule="exact"/>
        </w:trPr>
        <w:tc>
          <w:tcPr>
            <w:tcW w:w="227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714" w:type="dxa"/>
            <w:gridSpan w:val="5"/>
            <w:tcBorders>
              <w:top w:val="single" w:sz="12"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54" w:hRule="exact"/>
        </w:trPr>
        <w:tc>
          <w:tcPr>
            <w:tcW w:w="2274" w:type="dxa"/>
            <w:vMerge/>
            <w:tcBorders>
              <w:left w:val="nil" w:sz="6" w:space="0" w:color="auto"/>
              <w:right w:val="single" w:sz="6" w:space="0" w:color="000000"/>
            </w:tcBorders>
          </w:tcPr>
          <w:p>
            <w:pPr/>
          </w:p>
        </w:tc>
        <w:tc>
          <w:tcPr>
            <w:tcW w:w="25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2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8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6" w:type="dxa"/>
            <w:vMerge w:val="restart"/>
            <w:tcBorders>
              <w:top w:val="single" w:sz="6" w:space="0" w:color="000000"/>
              <w:left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62" w:hRule="exact"/>
        </w:trPr>
        <w:tc>
          <w:tcPr>
            <w:tcW w:w="2274" w:type="dxa"/>
            <w:vMerge/>
            <w:tcBorders>
              <w:left w:val="nil" w:sz="6" w:space="0" w:color="auto"/>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91" w:lineRule="exact"/>
              <w:ind w:left="143" w:right="0"/>
              <w:jc w:val="left"/>
              <w:rPr>
                <w:rFonts w:ascii="宋体" w:hAnsi="宋体" w:cs="宋体" w:eastAsia="宋体" w:hint="default"/>
                <w:sz w:val="21"/>
                <w:szCs w:val="21"/>
              </w:rPr>
            </w:pPr>
            <w:r>
              <w:rPr>
                <w:rFonts w:ascii="宋体" w:hAnsi="宋体" w:cs="宋体" w:eastAsia="宋体" w:hint="default"/>
                <w:sz w:val="21"/>
                <w:szCs w:val="21"/>
              </w:rPr>
              <w:t>（</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firstLine="19"/>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例（</w:t>
            </w:r>
            <w:r>
              <w:rPr>
                <w:rFonts w:ascii="Century Gothic" w:hAnsi="Century Gothic" w:cs="Century Gothic" w:eastAsia="Century Gothic" w:hint="default"/>
                <w:spacing w:val="-5"/>
                <w:sz w:val="21"/>
                <w:szCs w:val="21"/>
              </w:rPr>
              <w:t>%</w:t>
            </w:r>
            <w:r>
              <w:rPr>
                <w:rFonts w:ascii="宋体" w:hAnsi="宋体" w:cs="宋体" w:eastAsia="宋体" w:hint="default"/>
                <w:spacing w:val="-5"/>
                <w:sz w:val="21"/>
                <w:szCs w:val="21"/>
              </w:rPr>
              <w:t>）</w:t>
            </w:r>
          </w:p>
        </w:tc>
        <w:tc>
          <w:tcPr>
            <w:tcW w:w="1686" w:type="dxa"/>
            <w:vMerge/>
            <w:tcBorders>
              <w:left w:val="single" w:sz="6" w:space="0" w:color="000000"/>
              <w:bottom w:val="single" w:sz="6" w:space="0" w:color="000000"/>
              <w:right w:val="nil" w:sz="6" w:space="0" w:color="auto"/>
            </w:tcBorders>
          </w:tcPr>
          <w:p>
            <w:pPr/>
          </w:p>
        </w:tc>
      </w:tr>
      <w:tr>
        <w:trPr>
          <w:trHeight w:val="560" w:hRule="exact"/>
        </w:trPr>
        <w:tc>
          <w:tcPr>
            <w:tcW w:w="227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hAnsi="宋体" w:cs="宋体" w:eastAsia="宋体" w:hint="default"/>
                <w:sz w:val="21"/>
                <w:szCs w:val="21"/>
              </w:rPr>
              <w:t>单项金额重大的其他</w:t>
            </w:r>
          </w:p>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应收款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1"/>
                <w:sz w:val="21"/>
              </w:rPr>
              <w:t>136,179,336.69</w:t>
            </w:r>
            <w:r>
              <w:rPr>
                <w:rFonts w:ascii="Century Gothic"/>
                <w:sz w:val="21"/>
              </w:rPr>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88.54</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19,498,237.17</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66"/>
              <w:jc w:val="right"/>
              <w:rPr>
                <w:rFonts w:ascii="Century Gothic" w:hAnsi="Century Gothic" w:cs="Century Gothic" w:eastAsia="Century Gothic" w:hint="default"/>
                <w:sz w:val="21"/>
                <w:szCs w:val="21"/>
              </w:rPr>
            </w:pPr>
            <w:r>
              <w:rPr>
                <w:rFonts w:ascii="Century Gothic"/>
                <w:spacing w:val="-1"/>
                <w:w w:val="95"/>
                <w:sz w:val="21"/>
              </w:rPr>
              <w:t>5-100</w:t>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116,681,099.52</w:t>
            </w:r>
            <w:r>
              <w:rPr>
                <w:rFonts w:ascii="Century Gothic"/>
                <w:sz w:val="21"/>
              </w:rPr>
            </w:r>
          </w:p>
        </w:tc>
      </w:tr>
      <w:tr>
        <w:trPr>
          <w:trHeight w:val="562" w:hRule="exact"/>
        </w:trPr>
        <w:tc>
          <w:tcPr>
            <w:tcW w:w="227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hAnsi="宋体" w:cs="宋体" w:eastAsia="宋体" w:hint="default"/>
                <w:sz w:val="21"/>
                <w:szCs w:val="21"/>
              </w:rPr>
              <w:t>其他不重大其他应收</w:t>
            </w:r>
          </w:p>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17,624,139.52</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2"/>
                <w:sz w:val="21"/>
              </w:rPr>
              <w:t>11.46</w:t>
            </w:r>
            <w:r>
              <w:rPr>
                <w:rFonts w:ascii="Century Gothic"/>
                <w:sz w:val="21"/>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4,439,201.54</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25"/>
              <w:jc w:val="right"/>
              <w:rPr>
                <w:rFonts w:ascii="Century Gothic" w:hAnsi="Century Gothic" w:cs="Century Gothic" w:eastAsia="Century Gothic" w:hint="default"/>
                <w:sz w:val="21"/>
                <w:szCs w:val="21"/>
              </w:rPr>
            </w:pPr>
            <w:r>
              <w:rPr>
                <w:rFonts w:ascii="Century Gothic"/>
                <w:spacing w:val="-1"/>
                <w:sz w:val="21"/>
              </w:rPr>
              <w:t>5</w:t>
            </w:r>
            <w:r>
              <w:rPr>
                <w:rFonts w:ascii="Times New Roman"/>
                <w:spacing w:val="-1"/>
                <w:sz w:val="21"/>
              </w:rPr>
              <w:t>-</w:t>
            </w:r>
            <w:r>
              <w:rPr>
                <w:rFonts w:ascii="Century Gothic"/>
                <w:spacing w:val="-1"/>
                <w:sz w:val="21"/>
              </w:rPr>
              <w:t>30</w:t>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13,184,937.98</w:t>
            </w:r>
          </w:p>
        </w:tc>
      </w:tr>
      <w:tr>
        <w:trPr>
          <w:trHeight w:val="355" w:hRule="exact"/>
        </w:trPr>
        <w:tc>
          <w:tcPr>
            <w:tcW w:w="2274" w:type="dxa"/>
            <w:tcBorders>
              <w:top w:val="single" w:sz="6" w:space="0" w:color="000000"/>
              <w:left w:val="nil" w:sz="6" w:space="0" w:color="auto"/>
              <w:bottom w:val="single" w:sz="6" w:space="0" w:color="000000"/>
              <w:right w:val="single" w:sz="6" w:space="0" w:color="000000"/>
            </w:tcBorders>
          </w:tcPr>
          <w:p>
            <w:pPr>
              <w:pStyle w:val="TableParagraph"/>
              <w:tabs>
                <w:tab w:pos="439" w:val="left" w:leader="none"/>
              </w:tabs>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153,803,476.21</w:t>
            </w:r>
            <w:r>
              <w:rPr>
                <w:rFonts w:ascii="Century Gothic"/>
                <w:b/>
                <w:w w:val="95"/>
                <w:sz w:val="21"/>
              </w:rPr>
            </w:r>
            <w:r>
              <w:rPr>
                <w:rFonts w:ascii="Century Gothic"/>
                <w:sz w:val="21"/>
              </w:rPr>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spacing w:val="-1"/>
                <w:w w:val="95"/>
                <w:sz w:val="21"/>
                <w:u w:val="single" w:color="000000"/>
              </w:rPr>
              <w:t>100.00</w:t>
            </w:r>
            <w:r>
              <w:rPr>
                <w:rFonts w:ascii="Century Gothic"/>
                <w:b/>
                <w:spacing w:val="-1"/>
                <w:w w:val="95"/>
                <w:sz w:val="21"/>
              </w:rPr>
            </w:r>
            <w:r>
              <w:rPr>
                <w:rFonts w:ascii="Century Gothic"/>
                <w:sz w:val="21"/>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23,937,438.71</w:t>
            </w:r>
            <w:r>
              <w:rPr>
                <w:rFonts w:ascii="Century Gothic"/>
                <w:b/>
                <w:w w:val="95"/>
                <w:sz w:val="21"/>
              </w:rPr>
            </w:r>
            <w:r>
              <w:rPr>
                <w:rFonts w:ascii="Century Gothic"/>
                <w:sz w:val="21"/>
              </w:rPr>
            </w:r>
          </w:p>
        </w:tc>
        <w:tc>
          <w:tcPr>
            <w:tcW w:w="8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129,866,037.50</w:t>
            </w:r>
            <w:r>
              <w:rPr>
                <w:rFonts w:ascii="Century Gothic"/>
                <w:b/>
                <w:w w:val="95"/>
                <w:sz w:val="21"/>
              </w:rPr>
            </w:r>
            <w:r>
              <w:rPr>
                <w:rFonts w:ascii="Century Gothic"/>
                <w:sz w:val="21"/>
              </w:rPr>
            </w:r>
          </w:p>
        </w:tc>
      </w:tr>
      <w:tr>
        <w:trPr>
          <w:trHeight w:val="355" w:hRule="exact"/>
        </w:trPr>
        <w:tc>
          <w:tcPr>
            <w:tcW w:w="227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714"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54" w:hRule="exact"/>
        </w:trPr>
        <w:tc>
          <w:tcPr>
            <w:tcW w:w="2274" w:type="dxa"/>
            <w:vMerge/>
            <w:tcBorders>
              <w:left w:val="nil" w:sz="6" w:space="0" w:color="auto"/>
              <w:right w:val="single" w:sz="6" w:space="0" w:color="000000"/>
            </w:tcBorders>
          </w:tcPr>
          <w:p>
            <w:pPr/>
          </w:p>
        </w:tc>
        <w:tc>
          <w:tcPr>
            <w:tcW w:w="257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账面金额</w:t>
            </w:r>
          </w:p>
        </w:tc>
        <w:tc>
          <w:tcPr>
            <w:tcW w:w="24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8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86" w:type="dxa"/>
            <w:vMerge w:val="restart"/>
            <w:tcBorders>
              <w:top w:val="single" w:sz="6" w:space="0" w:color="000000"/>
              <w:left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562" w:hRule="exact"/>
        </w:trPr>
        <w:tc>
          <w:tcPr>
            <w:tcW w:w="2274" w:type="dxa"/>
            <w:vMerge/>
            <w:tcBorders>
              <w:left w:val="nil" w:sz="6" w:space="0" w:color="auto"/>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91" w:lineRule="exact"/>
              <w:ind w:left="143" w:right="0"/>
              <w:jc w:val="left"/>
              <w:rPr>
                <w:rFonts w:ascii="宋体" w:hAnsi="宋体" w:cs="宋体" w:eastAsia="宋体" w:hint="default"/>
                <w:sz w:val="21"/>
                <w:szCs w:val="21"/>
              </w:rPr>
            </w:pPr>
            <w:r>
              <w:rPr>
                <w:rFonts w:ascii="宋体" w:hAnsi="宋体" w:cs="宋体" w:eastAsia="宋体" w:hint="default"/>
                <w:sz w:val="21"/>
                <w:szCs w:val="21"/>
              </w:rPr>
              <w:t>（</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firstLine="19"/>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91" w:lineRule="exact"/>
              <w:ind w:left="100" w:right="-5"/>
              <w:jc w:val="left"/>
              <w:rPr>
                <w:rFonts w:ascii="宋体" w:hAnsi="宋体" w:cs="宋体" w:eastAsia="宋体" w:hint="default"/>
                <w:sz w:val="21"/>
                <w:szCs w:val="21"/>
              </w:rPr>
            </w:pPr>
            <w:r>
              <w:rPr>
                <w:rFonts w:ascii="宋体" w:hAnsi="宋体" w:cs="宋体" w:eastAsia="宋体" w:hint="default"/>
                <w:spacing w:val="-5"/>
                <w:sz w:val="21"/>
                <w:szCs w:val="21"/>
              </w:rPr>
              <w:t>例（</w:t>
            </w:r>
            <w:r>
              <w:rPr>
                <w:rFonts w:ascii="Century Gothic" w:hAnsi="Century Gothic" w:cs="Century Gothic" w:eastAsia="Century Gothic" w:hint="default"/>
                <w:spacing w:val="-5"/>
                <w:sz w:val="21"/>
                <w:szCs w:val="21"/>
              </w:rPr>
              <w:t>%</w:t>
            </w:r>
            <w:r>
              <w:rPr>
                <w:rFonts w:ascii="宋体" w:hAnsi="宋体" w:cs="宋体" w:eastAsia="宋体" w:hint="default"/>
                <w:spacing w:val="-5"/>
                <w:sz w:val="21"/>
                <w:szCs w:val="21"/>
              </w:rPr>
              <w:t>）</w:t>
            </w:r>
          </w:p>
        </w:tc>
        <w:tc>
          <w:tcPr>
            <w:tcW w:w="1686" w:type="dxa"/>
            <w:vMerge/>
            <w:tcBorders>
              <w:left w:val="single" w:sz="6" w:space="0" w:color="000000"/>
              <w:bottom w:val="single" w:sz="6" w:space="0" w:color="000000"/>
              <w:right w:val="nil" w:sz="6" w:space="0" w:color="auto"/>
            </w:tcBorders>
          </w:tcPr>
          <w:p>
            <w:pPr/>
          </w:p>
        </w:tc>
      </w:tr>
      <w:tr>
        <w:trPr>
          <w:trHeight w:val="560" w:hRule="exact"/>
        </w:trPr>
        <w:tc>
          <w:tcPr>
            <w:tcW w:w="227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hAnsi="宋体" w:cs="宋体" w:eastAsia="宋体" w:hint="default"/>
                <w:sz w:val="21"/>
                <w:szCs w:val="21"/>
              </w:rPr>
              <w:t>单项金额重大的其他</w:t>
            </w:r>
          </w:p>
          <w:p>
            <w:pPr>
              <w:pStyle w:val="TableParagraph"/>
              <w:spacing w:line="274" w:lineRule="exact"/>
              <w:ind w:left="21" w:right="0"/>
              <w:jc w:val="center"/>
              <w:rPr>
                <w:rFonts w:ascii="宋体" w:hAnsi="宋体" w:cs="宋体" w:eastAsia="宋体" w:hint="default"/>
                <w:sz w:val="21"/>
                <w:szCs w:val="21"/>
              </w:rPr>
            </w:pPr>
            <w:r>
              <w:rPr>
                <w:rFonts w:ascii="宋体" w:hAnsi="宋体" w:cs="宋体" w:eastAsia="宋体" w:hint="default"/>
                <w:sz w:val="21"/>
                <w:szCs w:val="21"/>
              </w:rPr>
              <w:t>应收款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1"/>
                <w:sz w:val="21"/>
              </w:rPr>
              <w:t>255,515,017.78</w:t>
            </w:r>
            <w:r>
              <w:rPr>
                <w:rFonts w:ascii="Century Gothic"/>
                <w:sz w:val="21"/>
              </w:rPr>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93.88</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15,249,637.68</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66"/>
              <w:jc w:val="right"/>
              <w:rPr>
                <w:rFonts w:ascii="Century Gothic" w:hAnsi="Century Gothic" w:cs="Century Gothic" w:eastAsia="Century Gothic" w:hint="default"/>
                <w:sz w:val="21"/>
                <w:szCs w:val="21"/>
              </w:rPr>
            </w:pPr>
            <w:r>
              <w:rPr>
                <w:rFonts w:ascii="Century Gothic"/>
                <w:spacing w:val="-1"/>
                <w:w w:val="95"/>
                <w:sz w:val="21"/>
              </w:rPr>
              <w:t>5-100</w:t>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240,265,380.10</w:t>
            </w:r>
            <w:r>
              <w:rPr>
                <w:rFonts w:ascii="Century Gothic"/>
                <w:sz w:val="21"/>
              </w:rPr>
            </w:r>
          </w:p>
        </w:tc>
      </w:tr>
      <w:tr>
        <w:trPr>
          <w:trHeight w:val="562" w:hRule="exact"/>
        </w:trPr>
        <w:tc>
          <w:tcPr>
            <w:tcW w:w="227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其他不重大其他应收</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16,633,498.27</w:t>
            </w:r>
          </w:p>
        </w:tc>
        <w:tc>
          <w:tcPr>
            <w:tcW w:w="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1"/>
              <w:jc w:val="right"/>
              <w:rPr>
                <w:rFonts w:ascii="Century Gothic" w:hAnsi="Century Gothic" w:cs="Century Gothic" w:eastAsia="Century Gothic" w:hint="default"/>
                <w:sz w:val="21"/>
                <w:szCs w:val="21"/>
              </w:rPr>
            </w:pPr>
            <w:r>
              <w:rPr>
                <w:rFonts w:ascii="Century Gothic"/>
                <w:spacing w:val="-2"/>
                <w:sz w:val="21"/>
              </w:rPr>
              <w:t>6.12</w:t>
            </w:r>
            <w:r>
              <w:rPr>
                <w:rFonts w:ascii="Century Gothic"/>
                <w:sz w:val="21"/>
              </w:rPr>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100"/>
              <w:jc w:val="right"/>
              <w:rPr>
                <w:rFonts w:ascii="Century Gothic" w:hAnsi="Century Gothic" w:cs="Century Gothic" w:eastAsia="Century Gothic" w:hint="default"/>
                <w:sz w:val="21"/>
                <w:szCs w:val="21"/>
              </w:rPr>
            </w:pPr>
            <w:r>
              <w:rPr>
                <w:rFonts w:ascii="Century Gothic"/>
                <w:spacing w:val="-1"/>
                <w:sz w:val="21"/>
              </w:rPr>
              <w:t>3,289,385.16</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225"/>
              <w:jc w:val="right"/>
              <w:rPr>
                <w:rFonts w:ascii="Century Gothic" w:hAnsi="Century Gothic" w:cs="Century Gothic" w:eastAsia="Century Gothic" w:hint="default"/>
                <w:sz w:val="21"/>
                <w:szCs w:val="21"/>
              </w:rPr>
            </w:pPr>
            <w:r>
              <w:rPr>
                <w:rFonts w:ascii="Century Gothic"/>
                <w:spacing w:val="-1"/>
                <w:sz w:val="21"/>
              </w:rPr>
              <w:t>5</w:t>
            </w:r>
            <w:r>
              <w:rPr>
                <w:rFonts w:ascii="Times New Roman"/>
                <w:spacing w:val="-1"/>
                <w:sz w:val="21"/>
              </w:rPr>
              <w:t>-</w:t>
            </w:r>
            <w:r>
              <w:rPr>
                <w:rFonts w:ascii="Century Gothic"/>
                <w:spacing w:val="-1"/>
                <w:sz w:val="21"/>
              </w:rPr>
              <w:t>30</w:t>
            </w:r>
            <w:r>
              <w:rPr>
                <w:rFonts w:ascii="Century Gothic"/>
                <w:sz w:val="21"/>
              </w:rPr>
            </w:r>
          </w:p>
        </w:tc>
        <w:tc>
          <w:tcPr>
            <w:tcW w:w="168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6"/>
              <w:jc w:val="right"/>
              <w:rPr>
                <w:rFonts w:ascii="Century Gothic" w:hAnsi="Century Gothic" w:cs="Century Gothic" w:eastAsia="Century Gothic" w:hint="default"/>
                <w:sz w:val="21"/>
                <w:szCs w:val="21"/>
              </w:rPr>
            </w:pPr>
            <w:r>
              <w:rPr>
                <w:rFonts w:ascii="Century Gothic"/>
                <w:spacing w:val="-1"/>
                <w:sz w:val="21"/>
              </w:rPr>
              <w:t>13,344,113.11</w:t>
            </w:r>
          </w:p>
        </w:tc>
      </w:tr>
      <w:tr>
        <w:trPr>
          <w:trHeight w:val="363" w:hRule="exact"/>
        </w:trPr>
        <w:tc>
          <w:tcPr>
            <w:tcW w:w="2274" w:type="dxa"/>
            <w:tcBorders>
              <w:top w:val="single" w:sz="6" w:space="0" w:color="000000"/>
              <w:left w:val="nil" w:sz="6" w:space="0" w:color="auto"/>
              <w:bottom w:val="single" w:sz="12" w:space="0" w:color="000000"/>
              <w:right w:val="single" w:sz="6" w:space="0" w:color="000000"/>
            </w:tcBorders>
          </w:tcPr>
          <w:p>
            <w:pPr>
              <w:pStyle w:val="TableParagraph"/>
              <w:tabs>
                <w:tab w:pos="439" w:val="left" w:leader="none"/>
              </w:tabs>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272,148,516.05</w:t>
            </w:r>
            <w:r>
              <w:rPr>
                <w:rFonts w:ascii="Century Gothic"/>
                <w:b/>
                <w:w w:val="95"/>
                <w:sz w:val="21"/>
              </w:rPr>
            </w:r>
            <w:r>
              <w:rPr>
                <w:rFonts w:ascii="Century Gothic"/>
                <w:sz w:val="21"/>
              </w:rPr>
            </w:r>
          </w:p>
        </w:tc>
        <w:tc>
          <w:tcPr>
            <w:tcW w:w="8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b/>
                <w:w w:val="99"/>
                <w:sz w:val="21"/>
              </w:rPr>
            </w:r>
            <w:r>
              <w:rPr>
                <w:rFonts w:ascii="Century Gothic"/>
                <w:b/>
                <w:spacing w:val="-1"/>
                <w:w w:val="95"/>
                <w:sz w:val="21"/>
                <w:u w:val="single" w:color="000000"/>
              </w:rPr>
              <w:t>100.00</w:t>
            </w:r>
            <w:r>
              <w:rPr>
                <w:rFonts w:ascii="Century Gothic"/>
                <w:b/>
                <w:spacing w:val="-1"/>
                <w:w w:val="95"/>
                <w:sz w:val="21"/>
              </w:rPr>
            </w:r>
            <w:r>
              <w:rPr>
                <w:rFonts w:ascii="Century Gothic"/>
                <w:sz w:val="21"/>
              </w:rPr>
            </w:r>
          </w:p>
        </w:tc>
        <w:tc>
          <w:tcPr>
            <w:tcW w:w="1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18,539,022.84</w:t>
            </w:r>
            <w:r>
              <w:rPr>
                <w:rFonts w:ascii="Century Gothic"/>
                <w:b/>
                <w:w w:val="95"/>
                <w:sz w:val="21"/>
              </w:rPr>
            </w:r>
            <w:r>
              <w:rPr>
                <w:rFonts w:ascii="Century Gothic"/>
                <w:sz w:val="21"/>
              </w:rPr>
            </w:r>
          </w:p>
        </w:tc>
        <w:tc>
          <w:tcPr>
            <w:tcW w:w="886"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253,609,493.21</w:t>
            </w:r>
            <w:r>
              <w:rPr>
                <w:rFonts w:ascii="Century Gothic"/>
                <w:b/>
                <w:w w:val="95"/>
                <w:sz w:val="21"/>
              </w:rPr>
            </w:r>
            <w:r>
              <w:rPr>
                <w:rFonts w:ascii="Century Gothic"/>
                <w:sz w:val="21"/>
              </w:rPr>
            </w:r>
          </w:p>
        </w:tc>
      </w:tr>
    </w:tbl>
    <w:p>
      <w:pPr>
        <w:pStyle w:val="BodyText"/>
        <w:spacing w:line="240" w:lineRule="auto" w:before="86"/>
        <w:ind w:left="598" w:right="152"/>
        <w:jc w:val="left"/>
      </w:pPr>
      <w:r>
        <w:rPr/>
        <w:t>（</w:t>
      </w:r>
      <w:r>
        <w:rPr>
          <w:rFonts w:ascii="Century Gothic" w:hAnsi="Century Gothic" w:cs="Century Gothic" w:eastAsia="Century Gothic" w:hint="default"/>
        </w:rPr>
        <w:t>2</w:t>
      </w:r>
      <w:r>
        <w:rPr/>
        <w:t>）其他应收款按账龄分析列示如下：</w:t>
      </w:r>
    </w:p>
    <w:p>
      <w:pPr>
        <w:spacing w:line="240" w:lineRule="auto" w:before="9"/>
        <w:rPr>
          <w:rFonts w:ascii="宋体" w:hAnsi="宋体" w:cs="宋体" w:eastAsia="宋体" w:hint="default"/>
          <w:sz w:val="17"/>
          <w:szCs w:val="17"/>
        </w:rPr>
      </w:pPr>
    </w:p>
    <w:tbl>
      <w:tblPr>
        <w:tblW w:w="0" w:type="auto"/>
        <w:jc w:val="left"/>
        <w:tblInd w:w="336" w:type="dxa"/>
        <w:tblLayout w:type="fixed"/>
        <w:tblCellMar>
          <w:top w:w="0" w:type="dxa"/>
          <w:left w:w="0" w:type="dxa"/>
          <w:bottom w:w="0" w:type="dxa"/>
          <w:right w:w="0" w:type="dxa"/>
        </w:tblCellMar>
        <w:tblLook w:val="01E0"/>
      </w:tblPr>
      <w:tblGrid>
        <w:gridCol w:w="2071"/>
        <w:gridCol w:w="1960"/>
        <w:gridCol w:w="1072"/>
        <w:gridCol w:w="1782"/>
        <w:gridCol w:w="1952"/>
      </w:tblGrid>
      <w:tr>
        <w:trPr>
          <w:trHeight w:val="334" w:hRule="exact"/>
        </w:trPr>
        <w:tc>
          <w:tcPr>
            <w:tcW w:w="2071" w:type="dxa"/>
            <w:vMerge w:val="restart"/>
            <w:tcBorders>
              <w:top w:val="single" w:sz="12" w:space="0" w:color="000000"/>
              <w:left w:val="nil" w:sz="6" w:space="0" w:color="auto"/>
              <w:right w:val="single" w:sz="6" w:space="0" w:color="000000"/>
            </w:tcBorders>
          </w:tcPr>
          <w:p>
            <w:pPr>
              <w:pStyle w:val="TableParagraph"/>
              <w:spacing w:line="240" w:lineRule="auto" w:before="134"/>
              <w:ind w:left="615"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66" w:type="dxa"/>
            <w:gridSpan w:val="4"/>
            <w:tcBorders>
              <w:top w:val="single" w:sz="12" w:space="0" w:color="000000"/>
              <w:left w:val="single" w:sz="6" w:space="0" w:color="000000"/>
              <w:bottom w:val="single" w:sz="6" w:space="0" w:color="000000"/>
              <w:right w:val="nil" w:sz="6" w:space="0" w:color="auto"/>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26" w:hRule="exact"/>
        </w:trPr>
        <w:tc>
          <w:tcPr>
            <w:tcW w:w="2071" w:type="dxa"/>
            <w:vMerge/>
            <w:tcBorders>
              <w:left w:val="nil" w:sz="6" w:space="0" w:color="auto"/>
              <w:bottom w:val="single" w:sz="6" w:space="0" w:color="000000"/>
              <w:right w:val="single" w:sz="6" w:space="0" w:color="000000"/>
            </w:tcBorders>
          </w:tcPr>
          <w:p>
            <w:pP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4"/>
              <w:jc w:val="left"/>
              <w:rPr>
                <w:rFonts w:ascii="宋体" w:hAnsi="宋体" w:cs="宋体" w:eastAsia="宋体" w:hint="default"/>
                <w:sz w:val="21"/>
                <w:szCs w:val="21"/>
              </w:rPr>
            </w:pPr>
            <w:r>
              <w:rPr>
                <w:rFonts w:ascii="宋体" w:hAnsi="宋体" w:cs="宋体" w:eastAsia="宋体" w:hint="default"/>
                <w:spacing w:val="-9"/>
                <w:sz w:val="21"/>
                <w:szCs w:val="21"/>
              </w:rPr>
              <w:t>比例（</w:t>
            </w:r>
            <w:r>
              <w:rPr>
                <w:rFonts w:ascii="Century Gothic" w:hAnsi="Century Gothic" w:cs="Century Gothic" w:eastAsia="Century Gothic" w:hint="default"/>
                <w:spacing w:val="-9"/>
                <w:sz w:val="21"/>
                <w:szCs w:val="21"/>
              </w:rPr>
              <w:t>%</w:t>
            </w:r>
            <w:r>
              <w:rPr>
                <w:rFonts w:ascii="宋体" w:hAnsi="宋体" w:cs="宋体" w:eastAsia="宋体" w:hint="default"/>
                <w:spacing w:val="-9"/>
                <w:sz w:val="21"/>
                <w:szCs w:val="21"/>
              </w:rPr>
              <w:t>）</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52"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28"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07"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9"/>
              <w:jc w:val="right"/>
              <w:rPr>
                <w:rFonts w:ascii="Century Gothic" w:hAnsi="Century Gothic" w:cs="Century Gothic" w:eastAsia="Century Gothic" w:hint="default"/>
                <w:sz w:val="21"/>
                <w:szCs w:val="21"/>
              </w:rPr>
            </w:pPr>
            <w:r>
              <w:rPr>
                <w:rFonts w:ascii="Century Gothic"/>
                <w:spacing w:val="-1"/>
                <w:sz w:val="21"/>
              </w:rPr>
              <w:t>117,620,928.61</w:t>
            </w:r>
            <w:r>
              <w:rPr>
                <w:rFonts w:ascii="Century Gothic"/>
                <w:sz w:val="21"/>
              </w:rPr>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34" w:right="0"/>
              <w:jc w:val="left"/>
              <w:rPr>
                <w:rFonts w:ascii="Century Gothic" w:hAnsi="Century Gothic" w:cs="Century Gothic" w:eastAsia="Century Gothic" w:hint="default"/>
                <w:sz w:val="21"/>
                <w:szCs w:val="21"/>
              </w:rPr>
            </w:pPr>
            <w:r>
              <w:rPr>
                <w:rFonts w:ascii="Century Gothic"/>
                <w:sz w:val="21"/>
              </w:rPr>
              <w:t>76.47</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15,381,046.43</w:t>
            </w:r>
          </w:p>
        </w:tc>
        <w:tc>
          <w:tcPr>
            <w:tcW w:w="19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99"/>
              <w:jc w:val="right"/>
              <w:rPr>
                <w:rFonts w:ascii="Century Gothic" w:hAnsi="Century Gothic" w:cs="Century Gothic" w:eastAsia="Century Gothic" w:hint="default"/>
                <w:sz w:val="21"/>
                <w:szCs w:val="21"/>
              </w:rPr>
            </w:pPr>
            <w:r>
              <w:rPr>
                <w:rFonts w:ascii="Century Gothic"/>
                <w:spacing w:val="-1"/>
                <w:sz w:val="21"/>
              </w:rPr>
              <w:t>102,239,882.18</w:t>
            </w:r>
            <w:r>
              <w:rPr>
                <w:rFonts w:ascii="Century Gothic"/>
                <w:sz w:val="21"/>
              </w:rPr>
            </w:r>
          </w:p>
        </w:tc>
      </w:tr>
      <w:tr>
        <w:trPr>
          <w:trHeight w:val="326"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07"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w:t>
            </w:r>
            <w:r>
              <w:rPr>
                <w:rFonts w:ascii="Century Gothic" w:hAnsi="Century Gothic" w:cs="Century Gothic" w:eastAsia="Century Gothic" w:hint="default"/>
                <w:sz w:val="21"/>
                <w:szCs w:val="21"/>
              </w:rPr>
              <w:t>2</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年（含）</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23,146,834.34</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434" w:right="0"/>
              <w:jc w:val="left"/>
              <w:rPr>
                <w:rFonts w:ascii="Century Gothic" w:hAnsi="Century Gothic" w:cs="Century Gothic" w:eastAsia="Century Gothic" w:hint="default"/>
                <w:sz w:val="21"/>
                <w:szCs w:val="21"/>
              </w:rPr>
            </w:pPr>
            <w:r>
              <w:rPr>
                <w:rFonts w:ascii="Century Gothic"/>
                <w:sz w:val="21"/>
              </w:rPr>
              <w:t>15.05</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2,266,332.29</w:t>
            </w:r>
          </w:p>
        </w:tc>
        <w:tc>
          <w:tcPr>
            <w:tcW w:w="19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20,880,502.05</w:t>
            </w:r>
          </w:p>
        </w:tc>
      </w:tr>
      <w:tr>
        <w:trPr>
          <w:trHeight w:val="328"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07"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w:t>
            </w: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年（含）</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3,082,993.26</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550" w:right="0"/>
              <w:jc w:val="left"/>
              <w:rPr>
                <w:rFonts w:ascii="Century Gothic" w:hAnsi="Century Gothic" w:cs="Century Gothic" w:eastAsia="Century Gothic" w:hint="default"/>
                <w:sz w:val="21"/>
                <w:szCs w:val="21"/>
              </w:rPr>
            </w:pPr>
            <w:r>
              <w:rPr>
                <w:rFonts w:ascii="Century Gothic"/>
                <w:sz w:val="21"/>
              </w:rPr>
              <w:t>2.00</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9"/>
              <w:jc w:val="right"/>
              <w:rPr>
                <w:rFonts w:ascii="Century Gothic" w:hAnsi="Century Gothic" w:cs="Century Gothic" w:eastAsia="Century Gothic" w:hint="default"/>
                <w:sz w:val="21"/>
                <w:szCs w:val="21"/>
              </w:rPr>
            </w:pPr>
            <w:r>
              <w:rPr>
                <w:rFonts w:ascii="Century Gothic"/>
                <w:spacing w:val="-1"/>
                <w:sz w:val="21"/>
              </w:rPr>
              <w:t>461,781.49</w:t>
            </w:r>
          </w:p>
        </w:tc>
        <w:tc>
          <w:tcPr>
            <w:tcW w:w="19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2,621,211.77</w:t>
            </w:r>
          </w:p>
        </w:tc>
      </w:tr>
      <w:tr>
        <w:trPr>
          <w:trHeight w:val="326"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07"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年以上</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9,952,720.00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550" w:right="0"/>
              <w:jc w:val="left"/>
              <w:rPr>
                <w:rFonts w:ascii="Century Gothic" w:hAnsi="Century Gothic" w:cs="Century Gothic" w:eastAsia="Century Gothic" w:hint="default"/>
                <w:sz w:val="21"/>
                <w:szCs w:val="21"/>
              </w:rPr>
            </w:pPr>
            <w:r>
              <w:rPr>
                <w:rFonts w:ascii="Century Gothic"/>
                <w:sz w:val="21"/>
              </w:rPr>
              <w:t>6.48</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5,828,278.50</w:t>
            </w:r>
          </w:p>
        </w:tc>
        <w:tc>
          <w:tcPr>
            <w:tcW w:w="19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4,124,441.50</w:t>
            </w:r>
          </w:p>
        </w:tc>
      </w:tr>
      <w:tr>
        <w:trPr>
          <w:trHeight w:val="328" w:hRule="exact"/>
        </w:trPr>
        <w:tc>
          <w:tcPr>
            <w:tcW w:w="2071" w:type="dxa"/>
            <w:tcBorders>
              <w:top w:val="single" w:sz="6" w:space="0" w:color="000000"/>
              <w:left w:val="nil" w:sz="6" w:space="0" w:color="auto"/>
              <w:bottom w:val="single" w:sz="6" w:space="0" w:color="000000"/>
              <w:right w:val="single" w:sz="6" w:space="0" w:color="000000"/>
            </w:tcBorders>
          </w:tcPr>
          <w:p>
            <w:pPr>
              <w:pStyle w:val="TableParagraph"/>
              <w:tabs>
                <w:tab w:pos="425" w:val="left" w:leader="none"/>
              </w:tabs>
              <w:spacing w:line="261" w:lineRule="exact"/>
              <w:ind w:left="7"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153,803,476.21</w:t>
            </w:r>
            <w:r>
              <w:rPr>
                <w:rFonts w:ascii="Century Gothic"/>
                <w:b/>
                <w:w w:val="95"/>
                <w:sz w:val="21"/>
              </w:rPr>
            </w:r>
            <w:r>
              <w:rPr>
                <w:rFonts w:ascii="Century Gothic"/>
                <w:sz w:val="21"/>
              </w:rPr>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09" w:right="0"/>
              <w:jc w:val="left"/>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100.00</w:t>
            </w:r>
            <w:r>
              <w:rPr>
                <w:rFonts w:ascii="Century Gothic"/>
                <w:b/>
                <w:sz w:val="21"/>
              </w:rPr>
            </w:r>
            <w:r>
              <w:rPr>
                <w:rFonts w:ascii="Century Gothic"/>
                <w:sz w:val="21"/>
              </w:rPr>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23,937,438.71</w:t>
            </w:r>
            <w:r>
              <w:rPr>
                <w:rFonts w:ascii="Century Gothic"/>
                <w:b/>
                <w:w w:val="95"/>
                <w:sz w:val="21"/>
              </w:rPr>
            </w:r>
            <w:r>
              <w:rPr>
                <w:rFonts w:ascii="Century Gothic"/>
                <w:sz w:val="21"/>
              </w:rPr>
            </w:r>
          </w:p>
        </w:tc>
        <w:tc>
          <w:tcPr>
            <w:tcW w:w="195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129,866,037.50</w:t>
            </w:r>
            <w:r>
              <w:rPr>
                <w:rFonts w:ascii="Century Gothic"/>
                <w:b/>
                <w:w w:val="95"/>
                <w:sz w:val="21"/>
              </w:rPr>
            </w:r>
            <w:r>
              <w:rPr>
                <w:rFonts w:ascii="Century Gothic"/>
                <w:sz w:val="21"/>
              </w:rPr>
            </w:r>
          </w:p>
        </w:tc>
      </w:tr>
      <w:tr>
        <w:trPr>
          <w:trHeight w:val="334" w:hRule="exact"/>
        </w:trPr>
        <w:tc>
          <w:tcPr>
            <w:tcW w:w="2071" w:type="dxa"/>
            <w:tcBorders>
              <w:top w:val="single" w:sz="6" w:space="0" w:color="000000"/>
              <w:left w:val="nil" w:sz="6" w:space="0" w:color="auto"/>
              <w:bottom w:val="single" w:sz="12" w:space="0" w:color="000000"/>
              <w:right w:val="single" w:sz="6" w:space="0" w:color="000000"/>
            </w:tcBorders>
          </w:tcPr>
          <w:p>
            <w:pPr>
              <w:pStyle w:val="TableParagraph"/>
              <w:spacing w:line="254" w:lineRule="exact"/>
              <w:ind w:left="615" w:right="0"/>
              <w:jc w:val="left"/>
              <w:rPr>
                <w:rFonts w:ascii="宋体" w:hAnsi="宋体" w:cs="宋体" w:eastAsia="宋体" w:hint="default"/>
                <w:sz w:val="21"/>
                <w:szCs w:val="21"/>
              </w:rPr>
            </w:pPr>
            <w:r>
              <w:rPr>
                <w:rFonts w:ascii="宋体" w:hAnsi="宋体" w:cs="宋体" w:eastAsia="宋体" w:hint="default"/>
                <w:sz w:val="21"/>
                <w:szCs w:val="21"/>
              </w:rPr>
              <w:t>账龄结构</w:t>
            </w:r>
          </w:p>
        </w:tc>
        <w:tc>
          <w:tcPr>
            <w:tcW w:w="6766" w:type="dxa"/>
            <w:gridSpan w:val="4"/>
            <w:tcBorders>
              <w:top w:val="single" w:sz="6" w:space="0" w:color="000000"/>
              <w:left w:val="single" w:sz="6" w:space="0" w:color="000000"/>
              <w:bottom w:val="single" w:sz="12" w:space="0" w:color="000000"/>
              <w:right w:val="nil" w:sz="6" w:space="0" w:color="auto"/>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年初账面余额</w:t>
            </w:r>
          </w:p>
        </w:tc>
      </w:tr>
    </w:tbl>
    <w:p>
      <w:pPr>
        <w:spacing w:line="240" w:lineRule="auto" w:before="0"/>
        <w:rPr>
          <w:rFonts w:ascii="宋体" w:hAnsi="宋体" w:cs="宋体" w:eastAsia="宋体" w:hint="default"/>
          <w:sz w:val="15"/>
          <w:szCs w:val="15"/>
        </w:rPr>
      </w:pPr>
    </w:p>
    <w:p>
      <w:pPr>
        <w:spacing w:before="76"/>
        <w:ind w:left="3267" w:right="3267" w:firstLine="0"/>
        <w:jc w:val="center"/>
        <w:rPr>
          <w:rFonts w:ascii="Times New Roman" w:hAnsi="Times New Roman" w:cs="Times New Roman" w:eastAsia="Times New Roman" w:hint="default"/>
          <w:sz w:val="18"/>
          <w:szCs w:val="18"/>
        </w:rPr>
      </w:pPr>
      <w:r>
        <w:rPr>
          <w:rFonts w:ascii="Times New Roman"/>
          <w:sz w:val="18"/>
        </w:rPr>
        <w:t>101</w:t>
      </w:r>
    </w:p>
    <w:p>
      <w:pPr>
        <w:spacing w:after="0"/>
        <w:jc w:val="center"/>
        <w:rPr>
          <w:rFonts w:ascii="Times New Roman" w:hAnsi="Times New Roman" w:cs="Times New Roman" w:eastAsia="Times New Roman" w:hint="default"/>
          <w:sz w:val="18"/>
          <w:szCs w:val="18"/>
        </w:rPr>
        <w:sectPr>
          <w:pgSz w:w="11910" w:h="16840"/>
          <w:pgMar w:top="780" w:bottom="280" w:left="1240" w:right="112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6640"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81" w:type="dxa"/>
        <w:tblLayout w:type="fixed"/>
        <w:tblCellMar>
          <w:top w:w="0" w:type="dxa"/>
          <w:left w:w="0" w:type="dxa"/>
          <w:bottom w:w="0" w:type="dxa"/>
          <w:right w:w="0" w:type="dxa"/>
        </w:tblCellMar>
        <w:tblLook w:val="01E0"/>
      </w:tblPr>
      <w:tblGrid>
        <w:gridCol w:w="2086"/>
        <w:gridCol w:w="1960"/>
        <w:gridCol w:w="1072"/>
        <w:gridCol w:w="1782"/>
        <w:gridCol w:w="1960"/>
      </w:tblGrid>
      <w:tr>
        <w:trPr>
          <w:trHeight w:val="334" w:hRule="exact"/>
        </w:trPr>
        <w:tc>
          <w:tcPr>
            <w:tcW w:w="2086" w:type="dxa"/>
            <w:tcBorders>
              <w:top w:val="single" w:sz="12" w:space="0" w:color="000000"/>
              <w:left w:val="nil" w:sz="6" w:space="0" w:color="auto"/>
              <w:bottom w:val="single" w:sz="6" w:space="0" w:color="000000"/>
              <w:right w:val="single" w:sz="6" w:space="0" w:color="000000"/>
            </w:tcBorders>
          </w:tcPr>
          <w:p>
            <w:pPr/>
          </w:p>
        </w:tc>
        <w:tc>
          <w:tcPr>
            <w:tcW w:w="1960"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72"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right="-4"/>
              <w:jc w:val="right"/>
              <w:rPr>
                <w:rFonts w:ascii="宋体" w:hAnsi="宋体" w:cs="宋体" w:eastAsia="宋体" w:hint="default"/>
                <w:sz w:val="21"/>
                <w:szCs w:val="21"/>
              </w:rPr>
            </w:pPr>
            <w:r>
              <w:rPr>
                <w:rFonts w:ascii="宋体" w:hAnsi="宋体" w:cs="宋体" w:eastAsia="宋体" w:hint="default"/>
                <w:spacing w:val="-9"/>
                <w:sz w:val="21"/>
                <w:szCs w:val="21"/>
              </w:rPr>
              <w:t>比例（</w:t>
            </w:r>
            <w:r>
              <w:rPr>
                <w:rFonts w:ascii="Century Gothic" w:hAnsi="Century Gothic" w:cs="Century Gothic" w:eastAsia="Century Gothic" w:hint="default"/>
                <w:spacing w:val="-9"/>
                <w:sz w:val="21"/>
                <w:szCs w:val="21"/>
              </w:rPr>
              <w:t>%</w:t>
            </w:r>
            <w:r>
              <w:rPr>
                <w:rFonts w:ascii="宋体" w:hAnsi="宋体" w:cs="宋体" w:eastAsia="宋体" w:hint="default"/>
                <w:spacing w:val="-9"/>
                <w:sz w:val="21"/>
                <w:szCs w:val="21"/>
              </w:rPr>
              <w:t>）</w:t>
            </w:r>
          </w:p>
        </w:tc>
        <w:tc>
          <w:tcPr>
            <w:tcW w:w="1782"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46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0" w:type="dxa"/>
            <w:tcBorders>
              <w:top w:val="single" w:sz="12" w:space="0" w:color="000000"/>
              <w:left w:val="single" w:sz="6" w:space="0" w:color="000000"/>
              <w:bottom w:val="single" w:sz="6" w:space="0" w:color="000000"/>
              <w:right w:val="nil" w:sz="6" w:space="0" w:color="auto"/>
            </w:tcBorders>
          </w:tcPr>
          <w:p>
            <w:pPr>
              <w:pStyle w:val="TableParagraph"/>
              <w:spacing w:line="260" w:lineRule="exact"/>
              <w:ind w:right="6"/>
              <w:jc w:val="center"/>
              <w:rPr>
                <w:rFonts w:ascii="宋体" w:hAnsi="宋体" w:cs="宋体" w:eastAsia="宋体" w:hint="default"/>
                <w:sz w:val="21"/>
                <w:szCs w:val="21"/>
              </w:rPr>
            </w:pPr>
            <w:r>
              <w:rPr>
                <w:rFonts w:ascii="宋体" w:hAnsi="宋体" w:cs="宋体" w:eastAsia="宋体" w:hint="default"/>
                <w:sz w:val="21"/>
                <w:szCs w:val="21"/>
              </w:rPr>
              <w:t>净额</w:t>
            </w:r>
          </w:p>
        </w:tc>
      </w:tr>
      <w:tr>
        <w:trPr>
          <w:trHeight w:val="32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9"/>
              <w:jc w:val="right"/>
              <w:rPr>
                <w:rFonts w:ascii="Century Gothic" w:hAnsi="Century Gothic" w:cs="Century Gothic" w:eastAsia="Century Gothic" w:hint="default"/>
                <w:sz w:val="21"/>
                <w:szCs w:val="21"/>
              </w:rPr>
            </w:pPr>
            <w:r>
              <w:rPr>
                <w:rFonts w:ascii="Century Gothic"/>
                <w:spacing w:val="-1"/>
                <w:sz w:val="21"/>
              </w:rPr>
              <w:t>248,485,092.33</w:t>
            </w:r>
            <w:r>
              <w:rPr>
                <w:rFonts w:ascii="Century Gothic"/>
                <w:sz w:val="21"/>
              </w:rPr>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91.30</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12,424,254.61</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spacing w:val="-1"/>
                <w:sz w:val="21"/>
              </w:rPr>
              <w:t>236,060,837.72</w:t>
            </w:r>
            <w:r>
              <w:rPr>
                <w:rFonts w:ascii="Century Gothic"/>
                <w:sz w:val="21"/>
              </w:rPr>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w:t>
            </w:r>
            <w:r>
              <w:rPr>
                <w:rFonts w:ascii="Century Gothic" w:hAnsi="Century Gothic" w:cs="Century Gothic" w:eastAsia="Century Gothic" w:hint="default"/>
                <w:sz w:val="21"/>
                <w:szCs w:val="21"/>
              </w:rPr>
              <w:t>2</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年（含）</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13,638,115.72</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5.01</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9"/>
              <w:jc w:val="right"/>
              <w:rPr>
                <w:rFonts w:ascii="Century Gothic" w:hAnsi="Century Gothic" w:cs="Century Gothic" w:eastAsia="Century Gothic" w:hint="default"/>
                <w:sz w:val="21"/>
                <w:szCs w:val="21"/>
              </w:rPr>
            </w:pPr>
            <w:r>
              <w:rPr>
                <w:rFonts w:ascii="Century Gothic"/>
                <w:spacing w:val="-1"/>
                <w:sz w:val="21"/>
              </w:rPr>
              <w:t>639,315.53</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5"/>
              <w:jc w:val="right"/>
              <w:rPr>
                <w:rFonts w:ascii="Century Gothic" w:hAnsi="Century Gothic" w:cs="Century Gothic" w:eastAsia="Century Gothic" w:hint="default"/>
                <w:sz w:val="21"/>
                <w:szCs w:val="21"/>
              </w:rPr>
            </w:pPr>
            <w:r>
              <w:rPr>
                <w:rFonts w:ascii="Century Gothic"/>
                <w:spacing w:val="-1"/>
                <w:sz w:val="21"/>
              </w:rPr>
              <w:t>12,998,800.19</w:t>
            </w:r>
          </w:p>
        </w:tc>
      </w:tr>
      <w:tr>
        <w:trPr>
          <w:trHeight w:val="328"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w:t>
            </w: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年（含）</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2,226,048.00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0.82</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9"/>
              <w:jc w:val="right"/>
              <w:rPr>
                <w:rFonts w:ascii="Century Gothic" w:hAnsi="Century Gothic" w:cs="Century Gothic" w:eastAsia="Century Gothic" w:hint="default"/>
                <w:sz w:val="21"/>
                <w:szCs w:val="21"/>
              </w:rPr>
            </w:pPr>
            <w:r>
              <w:rPr>
                <w:rFonts w:ascii="Century Gothic"/>
                <w:spacing w:val="-1"/>
                <w:sz w:val="21"/>
              </w:rPr>
              <w:t>333,907.20</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7"/>
              <w:jc w:val="right"/>
              <w:rPr>
                <w:rFonts w:ascii="Century Gothic" w:hAnsi="Century Gothic" w:cs="Century Gothic" w:eastAsia="Century Gothic" w:hint="default"/>
                <w:sz w:val="21"/>
                <w:szCs w:val="21"/>
              </w:rPr>
            </w:pPr>
            <w:r>
              <w:rPr>
                <w:rFonts w:ascii="Century Gothic"/>
                <w:spacing w:val="-1"/>
                <w:sz w:val="21"/>
              </w:rPr>
              <w:t>1,892,140.80</w:t>
            </w:r>
          </w:p>
        </w:tc>
      </w:tr>
      <w:tr>
        <w:trPr>
          <w:trHeight w:val="326" w:hRule="exact"/>
        </w:trPr>
        <w:tc>
          <w:tcPr>
            <w:tcW w:w="2086" w:type="dxa"/>
            <w:tcBorders>
              <w:top w:val="single" w:sz="6" w:space="0" w:color="000000"/>
              <w:left w:val="nil" w:sz="6" w:space="0" w:color="auto"/>
              <w:bottom w:val="single" w:sz="6" w:space="0" w:color="000000"/>
              <w:right w:val="single" w:sz="6" w:space="0" w:color="000000"/>
            </w:tcBorders>
          </w:tcPr>
          <w:p>
            <w:pPr>
              <w:pStyle w:val="TableParagraph"/>
              <w:spacing w:line="278" w:lineRule="exact"/>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年以上</w:t>
            </w:r>
          </w:p>
        </w:tc>
        <w:tc>
          <w:tcPr>
            <w:tcW w:w="1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7,799,260.00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spacing w:val="-1"/>
                <w:sz w:val="21"/>
              </w:rPr>
              <w:t>2.87</w:t>
            </w:r>
          </w:p>
        </w:tc>
        <w:tc>
          <w:tcPr>
            <w:tcW w:w="1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0"/>
              <w:jc w:val="right"/>
              <w:rPr>
                <w:rFonts w:ascii="Century Gothic" w:hAnsi="Century Gothic" w:cs="Century Gothic" w:eastAsia="Century Gothic" w:hint="default"/>
                <w:sz w:val="21"/>
                <w:szCs w:val="21"/>
              </w:rPr>
            </w:pPr>
            <w:r>
              <w:rPr>
                <w:rFonts w:ascii="Century Gothic"/>
                <w:spacing w:val="-1"/>
                <w:sz w:val="21"/>
              </w:rPr>
              <w:t>5,141,545.50</w:t>
            </w:r>
          </w:p>
        </w:tc>
        <w:tc>
          <w:tcPr>
            <w:tcW w:w="196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107"/>
              <w:jc w:val="right"/>
              <w:rPr>
                <w:rFonts w:ascii="Century Gothic" w:hAnsi="Century Gothic" w:cs="Century Gothic" w:eastAsia="Century Gothic" w:hint="default"/>
                <w:sz w:val="21"/>
                <w:szCs w:val="21"/>
              </w:rPr>
            </w:pPr>
            <w:r>
              <w:rPr>
                <w:rFonts w:ascii="Century Gothic"/>
                <w:spacing w:val="-1"/>
                <w:sz w:val="21"/>
              </w:rPr>
              <w:t>2,657,714.50</w:t>
            </w:r>
          </w:p>
        </w:tc>
      </w:tr>
      <w:tr>
        <w:trPr>
          <w:trHeight w:val="335" w:hRule="exact"/>
        </w:trPr>
        <w:tc>
          <w:tcPr>
            <w:tcW w:w="2086" w:type="dxa"/>
            <w:tcBorders>
              <w:top w:val="single" w:sz="6" w:space="0" w:color="000000"/>
              <w:left w:val="nil" w:sz="6" w:space="0" w:color="auto"/>
              <w:bottom w:val="single" w:sz="12" w:space="0" w:color="000000"/>
              <w:right w:val="single" w:sz="6" w:space="0" w:color="000000"/>
            </w:tcBorders>
          </w:tcPr>
          <w:p>
            <w:pPr>
              <w:pStyle w:val="TableParagraph"/>
              <w:tabs>
                <w:tab w:pos="440" w:val="left" w:leader="none"/>
              </w:tabs>
              <w:spacing w:line="261"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272,148,516.05</w:t>
            </w:r>
            <w:r>
              <w:rPr>
                <w:rFonts w:ascii="Century Gothic"/>
                <w:b/>
                <w:w w:val="95"/>
                <w:sz w:val="21"/>
              </w:rPr>
            </w:r>
            <w:r>
              <w:rPr>
                <w:rFonts w:ascii="Century Gothic"/>
                <w:sz w:val="21"/>
              </w:rPr>
            </w:r>
          </w:p>
        </w:tc>
        <w:tc>
          <w:tcPr>
            <w:tcW w:w="10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309" w:right="0"/>
              <w:jc w:val="left"/>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100.00</w:t>
            </w:r>
            <w:r>
              <w:rPr>
                <w:rFonts w:ascii="Century Gothic"/>
                <w:b/>
                <w:sz w:val="21"/>
              </w:rPr>
            </w:r>
            <w:r>
              <w:rPr>
                <w:rFonts w:ascii="Century Gothic"/>
                <w:sz w:val="21"/>
              </w:rPr>
            </w:r>
          </w:p>
        </w:tc>
        <w:tc>
          <w:tcPr>
            <w:tcW w:w="1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18,539,022.84</w:t>
            </w:r>
            <w:r>
              <w:rPr>
                <w:rFonts w:ascii="Century Gothic"/>
                <w:b/>
                <w:w w:val="95"/>
                <w:sz w:val="21"/>
              </w:rPr>
            </w:r>
            <w:r>
              <w:rPr>
                <w:rFonts w:ascii="Century Gothic"/>
                <w:sz w:val="21"/>
              </w:rPr>
            </w:r>
          </w:p>
        </w:tc>
        <w:tc>
          <w:tcPr>
            <w:tcW w:w="19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6"/>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253,609,493.21</w:t>
            </w:r>
            <w:r>
              <w:rPr>
                <w:rFonts w:ascii="Century Gothic"/>
                <w:b/>
                <w:w w:val="95"/>
                <w:sz w:val="21"/>
              </w:rPr>
            </w:r>
            <w:r>
              <w:rPr>
                <w:rFonts w:ascii="Century Gothic"/>
                <w:sz w:val="21"/>
              </w:rPr>
            </w:r>
          </w:p>
        </w:tc>
      </w:tr>
    </w:tbl>
    <w:p>
      <w:pPr>
        <w:pStyle w:val="BodyText"/>
        <w:spacing w:line="240" w:lineRule="auto" w:before="94"/>
        <w:ind w:left="558" w:right="0"/>
        <w:jc w:val="left"/>
      </w:pPr>
      <w:r>
        <w:rPr/>
        <w:t>（</w:t>
      </w:r>
      <w:r>
        <w:rPr>
          <w:rFonts w:ascii="Century Gothic" w:hAnsi="Century Gothic" w:cs="Century Gothic" w:eastAsia="Century Gothic" w:hint="default"/>
        </w:rPr>
        <w:t>3</w:t>
      </w:r>
      <w:r>
        <w:rPr/>
        <w:t>）期末单项金额重大或虽不重大但单独进行减值测试的其他应收款坏账准备计提情况</w:t>
      </w:r>
    </w:p>
    <w:p>
      <w:pPr>
        <w:spacing w:line="240" w:lineRule="auto" w:before="8"/>
        <w:rPr>
          <w:rFonts w:ascii="宋体" w:hAnsi="宋体" w:cs="宋体" w:eastAsia="宋体" w:hint="default"/>
          <w:sz w:val="17"/>
          <w:szCs w:val="17"/>
        </w:rPr>
      </w:pPr>
    </w:p>
    <w:tbl>
      <w:tblPr>
        <w:tblW w:w="0" w:type="auto"/>
        <w:jc w:val="left"/>
        <w:tblInd w:w="281" w:type="dxa"/>
        <w:tblLayout w:type="fixed"/>
        <w:tblCellMar>
          <w:top w:w="0" w:type="dxa"/>
          <w:left w:w="0" w:type="dxa"/>
          <w:bottom w:w="0" w:type="dxa"/>
          <w:right w:w="0" w:type="dxa"/>
        </w:tblCellMar>
        <w:tblLook w:val="01E0"/>
      </w:tblPr>
      <w:tblGrid>
        <w:gridCol w:w="2136"/>
        <w:gridCol w:w="1568"/>
        <w:gridCol w:w="1955"/>
        <w:gridCol w:w="1406"/>
        <w:gridCol w:w="1793"/>
      </w:tblGrid>
      <w:tr>
        <w:trPr>
          <w:trHeight w:val="551" w:hRule="exact"/>
        </w:trPr>
        <w:tc>
          <w:tcPr>
            <w:tcW w:w="213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6"/>
              <w:ind w:left="339"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5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4"/>
              <w:ind w:right="145"/>
              <w:jc w:val="right"/>
              <w:rPr>
                <w:rFonts w:ascii="宋体" w:hAnsi="宋体" w:cs="宋体" w:eastAsia="宋体" w:hint="default"/>
                <w:sz w:val="21"/>
                <w:szCs w:val="21"/>
              </w:rPr>
            </w:pPr>
            <w:r>
              <w:rPr>
                <w:rFonts w:ascii="宋体" w:hAnsi="宋体" w:cs="宋体" w:eastAsia="宋体" w:hint="default"/>
                <w:sz w:val="21"/>
                <w:szCs w:val="21"/>
              </w:rPr>
              <w:t>年末账面金额</w:t>
            </w:r>
          </w:p>
        </w:tc>
        <w:tc>
          <w:tcPr>
            <w:tcW w:w="19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4"/>
              <w:ind w:left="339" w:right="0"/>
              <w:jc w:val="left"/>
              <w:rPr>
                <w:rFonts w:ascii="宋体" w:hAnsi="宋体" w:cs="宋体" w:eastAsia="宋体" w:hint="default"/>
                <w:sz w:val="21"/>
                <w:szCs w:val="21"/>
              </w:rPr>
            </w:pPr>
            <w:r>
              <w:rPr>
                <w:rFonts w:ascii="宋体" w:hAnsi="宋体" w:cs="宋体" w:eastAsia="宋体" w:hint="default"/>
                <w:sz w:val="21"/>
                <w:szCs w:val="21"/>
              </w:rPr>
              <w:t>坏账准备金额</w:t>
            </w:r>
          </w:p>
        </w:tc>
        <w:tc>
          <w:tcPr>
            <w:tcW w:w="14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793"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94"/>
              <w:ind w:left="679" w:right="0"/>
              <w:jc w:val="left"/>
              <w:rPr>
                <w:rFonts w:ascii="宋体" w:hAnsi="宋体" w:cs="宋体" w:eastAsia="宋体" w:hint="default"/>
                <w:sz w:val="21"/>
                <w:szCs w:val="21"/>
              </w:rPr>
            </w:pPr>
            <w:r>
              <w:rPr>
                <w:rFonts w:ascii="宋体" w:hAnsi="宋体" w:cs="宋体" w:eastAsia="宋体" w:hint="default"/>
                <w:sz w:val="21"/>
                <w:szCs w:val="21"/>
              </w:rPr>
              <w:t>理由</w:t>
            </w:r>
          </w:p>
        </w:tc>
      </w:tr>
      <w:tr>
        <w:trPr>
          <w:trHeight w:val="355" w:hRule="exact"/>
        </w:trPr>
        <w:tc>
          <w:tcPr>
            <w:tcW w:w="21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3"/>
              <w:ind w:left="1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Century Gothic" w:hAnsi="Century Gothic" w:cs="Century Gothic" w:eastAsia="Century Gothic" w:hint="default"/>
                <w:sz w:val="18"/>
                <w:szCs w:val="18"/>
              </w:rPr>
            </w:pPr>
            <w:r>
              <w:rPr>
                <w:rFonts w:ascii="Century Gothic"/>
                <w:spacing w:val="-1"/>
                <w:sz w:val="18"/>
              </w:rPr>
              <w:t>12,528,961.40</w:t>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0"/>
              <w:jc w:val="right"/>
              <w:rPr>
                <w:rFonts w:ascii="Century Gothic" w:hAnsi="Century Gothic" w:cs="Century Gothic" w:eastAsia="Century Gothic" w:hint="default"/>
                <w:sz w:val="18"/>
                <w:szCs w:val="18"/>
              </w:rPr>
            </w:pPr>
            <w:r>
              <w:rPr>
                <w:rFonts w:ascii="Century Gothic"/>
                <w:spacing w:val="-1"/>
                <w:sz w:val="18"/>
              </w:rPr>
              <w:t>10,000,000.00</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Century Gothic" w:hAnsi="Century Gothic" w:cs="Century Gothic" w:eastAsia="Century Gothic" w:hint="default"/>
                <w:sz w:val="18"/>
                <w:szCs w:val="18"/>
              </w:rPr>
            </w:pPr>
            <w:r>
              <w:rPr>
                <w:rFonts w:ascii="Century Gothic"/>
                <w:sz w:val="18"/>
              </w:rPr>
              <w:t>80</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left="727" w:right="0"/>
              <w:jc w:val="left"/>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1</w:t>
            </w:r>
          </w:p>
        </w:tc>
      </w:tr>
      <w:tr>
        <w:trPr>
          <w:trHeight w:val="482" w:hRule="exact"/>
        </w:trPr>
        <w:tc>
          <w:tcPr>
            <w:tcW w:w="2136"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1"/>
                <w:sz w:val="18"/>
                <w:szCs w:val="18"/>
              </w:rPr>
              <w:t>西藏中科生物技术开发</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2,550,000.00</w:t>
            </w:r>
          </w:p>
        </w:tc>
        <w:tc>
          <w:tcPr>
            <w:tcW w:w="1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2,550,000.00</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100</w:t>
            </w:r>
          </w:p>
        </w:tc>
        <w:tc>
          <w:tcPr>
            <w:tcW w:w="179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727" w:right="0"/>
              <w:jc w:val="left"/>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2</w:t>
            </w:r>
          </w:p>
        </w:tc>
      </w:tr>
      <w:tr>
        <w:trPr>
          <w:trHeight w:val="363" w:hRule="exact"/>
        </w:trPr>
        <w:tc>
          <w:tcPr>
            <w:tcW w:w="213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5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15,078,961.40</w:t>
            </w:r>
            <w:r>
              <w:rPr>
                <w:rFonts w:ascii="Century Gothic"/>
                <w:b/>
                <w:w w:val="95"/>
                <w:sz w:val="21"/>
              </w:rPr>
            </w:r>
            <w:r>
              <w:rPr>
                <w:rFonts w:ascii="Century Gothic"/>
                <w:sz w:val="21"/>
              </w:rPr>
            </w:r>
          </w:p>
        </w:tc>
        <w:tc>
          <w:tcPr>
            <w:tcW w:w="19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12,550,000.00</w:t>
            </w:r>
            <w:r>
              <w:rPr>
                <w:rFonts w:ascii="Century Gothic"/>
                <w:b/>
                <w:w w:val="95"/>
                <w:sz w:val="21"/>
              </w:rPr>
            </w:r>
            <w:r>
              <w:rPr>
                <w:rFonts w:ascii="Century Gothic"/>
                <w:sz w:val="21"/>
              </w:rPr>
            </w:r>
          </w:p>
        </w:tc>
        <w:tc>
          <w:tcPr>
            <w:tcW w:w="1406" w:type="dxa"/>
            <w:tcBorders>
              <w:top w:val="single" w:sz="6" w:space="0" w:color="000000"/>
              <w:left w:val="single" w:sz="6" w:space="0" w:color="000000"/>
              <w:bottom w:val="single" w:sz="12" w:space="0" w:color="000000"/>
              <w:right w:val="single" w:sz="6" w:space="0" w:color="000000"/>
            </w:tcBorders>
          </w:tcPr>
          <w:p>
            <w:pPr/>
          </w:p>
        </w:tc>
        <w:tc>
          <w:tcPr>
            <w:tcW w:w="1793" w:type="dxa"/>
            <w:tcBorders>
              <w:top w:val="single" w:sz="6" w:space="0" w:color="000000"/>
              <w:left w:val="single" w:sz="6" w:space="0" w:color="000000"/>
              <w:bottom w:val="single" w:sz="12" w:space="0" w:color="000000"/>
              <w:right w:val="nil" w:sz="6" w:space="0" w:color="auto"/>
            </w:tcBorders>
          </w:tcPr>
          <w:p>
            <w:pPr/>
          </w:p>
        </w:tc>
      </w:tr>
    </w:tbl>
    <w:p>
      <w:pPr>
        <w:pStyle w:val="BodyText"/>
        <w:spacing w:line="336" w:lineRule="auto" w:before="86"/>
        <w:ind w:right="105" w:firstLine="420"/>
        <w:jc w:val="left"/>
      </w:pPr>
      <w:r>
        <w:rPr/>
        <w:t>注</w:t>
      </w:r>
      <w:r>
        <w:rPr>
          <w:spacing w:val="-61"/>
        </w:rPr>
        <w:t> </w:t>
      </w:r>
      <w:r>
        <w:rPr>
          <w:rFonts w:ascii="Century Gothic" w:hAnsi="Century Gothic" w:cs="Century Gothic" w:eastAsia="Century Gothic" w:hint="default"/>
        </w:rPr>
        <w:t>1</w:t>
      </w:r>
      <w:r>
        <w:rPr/>
        <w:t>：公司对应收重庆福瑞制药有限公司欠款</w:t>
      </w:r>
      <w:r>
        <w:rPr>
          <w:spacing w:val="-61"/>
        </w:rPr>
        <w:t> </w:t>
      </w:r>
      <w:r>
        <w:rPr>
          <w:rFonts w:ascii="Century Gothic" w:hAnsi="Century Gothic" w:cs="Century Gothic" w:eastAsia="Century Gothic" w:hint="default"/>
        </w:rPr>
        <w:t>1,252.90</w:t>
      </w:r>
      <w:r>
        <w:rPr>
          <w:rFonts w:ascii="Century Gothic" w:hAnsi="Century Gothic" w:cs="Century Gothic" w:eastAsia="Century Gothic" w:hint="default"/>
          <w:spacing w:val="-14"/>
        </w:rPr>
        <w:t> </w:t>
      </w:r>
      <w:r>
        <w:rPr>
          <w:spacing w:val="-4"/>
        </w:rPr>
        <w:t>万元，单独进行减值测试，预计能收回的</w:t>
      </w:r>
      <w:r>
        <w:rPr/>
        <w:t> 金额较少，因此对其按照</w:t>
      </w:r>
      <w:r>
        <w:rPr>
          <w:spacing w:val="-56"/>
        </w:rPr>
        <w:t> </w:t>
      </w:r>
      <w:r>
        <w:rPr>
          <w:rFonts w:ascii="Century Gothic" w:hAnsi="Century Gothic" w:cs="Century Gothic" w:eastAsia="Century Gothic" w:hint="default"/>
        </w:rPr>
        <w:t>80%</w:t>
      </w:r>
      <w:r>
        <w:rPr/>
        <w:t>的比例单项计提坏账准备</w:t>
      </w:r>
      <w:r>
        <w:rPr>
          <w:spacing w:val="-56"/>
        </w:rPr>
        <w:t> </w:t>
      </w:r>
      <w:r>
        <w:rPr>
          <w:rFonts w:ascii="Century Gothic" w:hAnsi="Century Gothic" w:cs="Century Gothic" w:eastAsia="Century Gothic" w:hint="default"/>
        </w:rPr>
        <w:t>1,000</w:t>
      </w:r>
      <w:r>
        <w:rPr>
          <w:rFonts w:ascii="Century Gothic" w:hAnsi="Century Gothic" w:cs="Century Gothic" w:eastAsia="Century Gothic" w:hint="default"/>
          <w:spacing w:val="-9"/>
        </w:rPr>
        <w:t> </w:t>
      </w:r>
      <w:r>
        <w:rPr/>
        <w:t>万元。</w:t>
      </w:r>
    </w:p>
    <w:p>
      <w:pPr>
        <w:pStyle w:val="BodyText"/>
        <w:spacing w:line="336" w:lineRule="auto" w:before="19"/>
        <w:ind w:right="98" w:firstLine="419"/>
        <w:jc w:val="left"/>
      </w:pPr>
      <w:r>
        <w:rPr/>
        <w:t>注</w:t>
      </w:r>
      <w:r>
        <w:rPr>
          <w:spacing w:val="-67"/>
        </w:rPr>
        <w:t> </w:t>
      </w:r>
      <w:r>
        <w:rPr>
          <w:rFonts w:ascii="Century Gothic" w:hAnsi="Century Gothic" w:cs="Century Gothic" w:eastAsia="Century Gothic" w:hint="default"/>
        </w:rPr>
        <w:t>2</w:t>
      </w:r>
      <w:r>
        <w:rPr/>
        <w:t>：公司对应收西藏中科生物技术开发有限公司欠款</w:t>
      </w:r>
      <w:r>
        <w:rPr>
          <w:spacing w:val="-67"/>
        </w:rPr>
        <w:t> </w:t>
      </w:r>
      <w:r>
        <w:rPr>
          <w:rFonts w:ascii="Century Gothic" w:hAnsi="Century Gothic" w:cs="Century Gothic" w:eastAsia="Century Gothic" w:hint="default"/>
        </w:rPr>
        <w:t>255</w:t>
      </w:r>
      <w:r>
        <w:rPr>
          <w:rFonts w:ascii="Century Gothic" w:hAnsi="Century Gothic" w:cs="Century Gothic" w:eastAsia="Century Gothic" w:hint="default"/>
          <w:spacing w:val="-21"/>
        </w:rPr>
        <w:t> </w:t>
      </w:r>
      <w:r>
        <w:rPr/>
        <w:t>万元，单独进行减值测试，有证据表 明这些款项已无法收回，已于以前年度对其全额计提坏账准备。</w:t>
      </w:r>
    </w:p>
    <w:p>
      <w:pPr>
        <w:pStyle w:val="BodyText"/>
        <w:spacing w:line="240" w:lineRule="auto" w:before="50"/>
        <w:ind w:left="558" w:right="0"/>
        <w:jc w:val="left"/>
      </w:pPr>
      <w:r>
        <w:rPr/>
        <w:t>（</w:t>
      </w:r>
      <w:r>
        <w:rPr>
          <w:rFonts w:ascii="Century Gothic" w:hAnsi="Century Gothic" w:cs="Century Gothic" w:eastAsia="Century Gothic" w:hint="default"/>
        </w:rPr>
        <w:t>4</w:t>
      </w:r>
      <w:r>
        <w:rPr/>
        <w:t>）本报告期其他应收款中无持有本公司</w:t>
      </w:r>
      <w:r>
        <w:rPr>
          <w:spacing w:val="-56"/>
        </w:rPr>
        <w:t> </w:t>
      </w:r>
      <w:r>
        <w:rPr>
          <w:rFonts w:ascii="Century Gothic" w:hAnsi="Century Gothic" w:cs="Century Gothic" w:eastAsia="Century Gothic" w:hint="default"/>
        </w:rPr>
        <w:t>5%</w:t>
      </w:r>
      <w:r>
        <w:rPr/>
        <w:t>（含</w:t>
      </w:r>
      <w:r>
        <w:rPr>
          <w:spacing w:val="-56"/>
        </w:rPr>
        <w:t> </w:t>
      </w:r>
      <w:r>
        <w:rPr>
          <w:rFonts w:ascii="Century Gothic" w:hAnsi="Century Gothic" w:cs="Century Gothic" w:eastAsia="Century Gothic" w:hint="default"/>
        </w:rPr>
        <w:t>5%</w:t>
      </w:r>
      <w:r>
        <w:rPr/>
        <w:t>）以上表决权股份的股东单位欠款情况。</w:t>
      </w:r>
    </w:p>
    <w:p>
      <w:pPr>
        <w:pStyle w:val="BodyText"/>
        <w:spacing w:line="240" w:lineRule="auto"/>
        <w:ind w:left="558" w:right="0"/>
        <w:jc w:val="left"/>
      </w:pPr>
      <w:r>
        <w:rPr/>
        <w:t>（</w:t>
      </w:r>
      <w:r>
        <w:rPr>
          <w:rFonts w:ascii="Century Gothic" w:hAnsi="Century Gothic" w:cs="Century Gothic" w:eastAsia="Century Gothic" w:hint="default"/>
        </w:rPr>
        <w:t>5</w:t>
      </w:r>
      <w:r>
        <w:rPr/>
        <w:t>）年末其他应收款前五名单位列示如下：</w:t>
      </w:r>
    </w:p>
    <w:p>
      <w:pPr>
        <w:spacing w:line="240" w:lineRule="auto" w:before="9"/>
        <w:rPr>
          <w:rFonts w:ascii="宋体" w:hAnsi="宋体" w:cs="宋体" w:eastAsia="宋体" w:hint="default"/>
          <w:sz w:val="11"/>
          <w:szCs w:val="11"/>
        </w:rPr>
      </w:pPr>
    </w:p>
    <w:tbl>
      <w:tblPr>
        <w:tblW w:w="0" w:type="auto"/>
        <w:jc w:val="left"/>
        <w:tblInd w:w="214" w:type="dxa"/>
        <w:tblLayout w:type="fixed"/>
        <w:tblCellMar>
          <w:top w:w="0" w:type="dxa"/>
          <w:left w:w="0" w:type="dxa"/>
          <w:bottom w:w="0" w:type="dxa"/>
          <w:right w:w="0" w:type="dxa"/>
        </w:tblCellMar>
        <w:tblLook w:val="01E0"/>
      </w:tblPr>
      <w:tblGrid>
        <w:gridCol w:w="2294"/>
        <w:gridCol w:w="1055"/>
        <w:gridCol w:w="1120"/>
        <w:gridCol w:w="1686"/>
        <w:gridCol w:w="1072"/>
        <w:gridCol w:w="1765"/>
      </w:tblGrid>
      <w:tr>
        <w:trPr>
          <w:trHeight w:val="568" w:hRule="exact"/>
        </w:trPr>
        <w:tc>
          <w:tcPr>
            <w:tcW w:w="229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05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容</w:t>
            </w:r>
          </w:p>
        </w:tc>
        <w:tc>
          <w:tcPr>
            <w:tcW w:w="112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与本公司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关系</w:t>
            </w:r>
          </w:p>
        </w:tc>
        <w:tc>
          <w:tcPr>
            <w:tcW w:w="16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年末金额</w:t>
            </w:r>
          </w:p>
        </w:tc>
        <w:tc>
          <w:tcPr>
            <w:tcW w:w="10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1765"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163" w:right="0" w:hanging="23"/>
              <w:jc w:val="left"/>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90" w:lineRule="exact"/>
              <w:ind w:left="163" w:right="0"/>
              <w:jc w:val="left"/>
              <w:rPr>
                <w:rFonts w:ascii="宋体" w:hAnsi="宋体" w:cs="宋体" w:eastAsia="宋体" w:hint="default"/>
                <w:sz w:val="21"/>
                <w:szCs w:val="21"/>
              </w:rPr>
            </w:pPr>
            <w:r>
              <w:rPr>
                <w:rFonts w:ascii="宋体" w:hAnsi="宋体" w:cs="宋体" w:eastAsia="宋体" w:hint="default"/>
                <w:sz w:val="21"/>
                <w:szCs w:val="21"/>
              </w:rPr>
              <w:t>额的比例（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r>
      <w:tr>
        <w:trPr>
          <w:trHeight w:val="560"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重庆美联制药有限公</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3"/>
              <w:jc w:val="right"/>
              <w:rPr>
                <w:rFonts w:ascii="宋体" w:hAnsi="宋体" w:cs="宋体" w:eastAsia="宋体" w:hint="default"/>
                <w:sz w:val="21"/>
                <w:szCs w:val="21"/>
              </w:rPr>
            </w:pPr>
            <w:r>
              <w:rPr>
                <w:rFonts w:ascii="宋体" w:hAnsi="宋体" w:cs="宋体" w:eastAsia="宋体" w:hint="default"/>
                <w:sz w:val="21"/>
                <w:szCs w:val="21"/>
              </w:rPr>
              <w:t>往来款</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40,414,829.73</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7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614" w:right="0"/>
              <w:jc w:val="left"/>
              <w:rPr>
                <w:rFonts w:ascii="Century Gothic" w:hAnsi="Century Gothic" w:cs="Century Gothic" w:eastAsia="Century Gothic" w:hint="default"/>
                <w:sz w:val="21"/>
                <w:szCs w:val="21"/>
              </w:rPr>
            </w:pPr>
            <w:r>
              <w:rPr>
                <w:rFonts w:ascii="Century Gothic"/>
                <w:sz w:val="21"/>
              </w:rPr>
              <w:t>26.28</w:t>
            </w:r>
          </w:p>
        </w:tc>
      </w:tr>
      <w:tr>
        <w:trPr>
          <w:trHeight w:val="562"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重庆嘉浩置业有限公</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3"/>
              <w:jc w:val="right"/>
              <w:rPr>
                <w:rFonts w:ascii="宋体" w:hAnsi="宋体" w:cs="宋体" w:eastAsia="宋体" w:hint="default"/>
                <w:sz w:val="21"/>
                <w:szCs w:val="21"/>
              </w:rPr>
            </w:pPr>
            <w:r>
              <w:rPr>
                <w:rFonts w:ascii="宋体" w:hAnsi="宋体" w:cs="宋体" w:eastAsia="宋体" w:hint="default"/>
                <w:sz w:val="21"/>
                <w:szCs w:val="21"/>
              </w:rPr>
              <w:t>往来款</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往来单位</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21,700,000.00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7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614" w:right="0"/>
              <w:jc w:val="left"/>
              <w:rPr>
                <w:rFonts w:ascii="Century Gothic" w:hAnsi="Century Gothic" w:cs="Century Gothic" w:eastAsia="Century Gothic" w:hint="default"/>
                <w:sz w:val="21"/>
                <w:szCs w:val="21"/>
              </w:rPr>
            </w:pPr>
            <w:r>
              <w:rPr>
                <w:rFonts w:ascii="Century Gothic"/>
                <w:sz w:val="21"/>
              </w:rPr>
              <w:t>14.11</w:t>
            </w:r>
          </w:p>
        </w:tc>
      </w:tr>
      <w:tr>
        <w:trPr>
          <w:trHeight w:val="560"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重庆华立武陵山制药</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3"/>
              <w:jc w:val="right"/>
              <w:rPr>
                <w:rFonts w:ascii="宋体" w:hAnsi="宋体" w:cs="宋体" w:eastAsia="宋体" w:hint="default"/>
                <w:sz w:val="21"/>
                <w:szCs w:val="21"/>
              </w:rPr>
            </w:pPr>
            <w:r>
              <w:rPr>
                <w:rFonts w:ascii="宋体" w:hAnsi="宋体" w:cs="宋体" w:eastAsia="宋体" w:hint="default"/>
                <w:sz w:val="21"/>
                <w:szCs w:val="21"/>
              </w:rPr>
              <w:t>往来款</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18,045,879.36</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年以内</w:t>
            </w:r>
          </w:p>
        </w:tc>
        <w:tc>
          <w:tcPr>
            <w:tcW w:w="17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614" w:right="0"/>
              <w:jc w:val="left"/>
              <w:rPr>
                <w:rFonts w:ascii="Century Gothic" w:hAnsi="Century Gothic" w:cs="Century Gothic" w:eastAsia="Century Gothic" w:hint="default"/>
                <w:sz w:val="21"/>
                <w:szCs w:val="21"/>
              </w:rPr>
            </w:pPr>
            <w:r>
              <w:rPr>
                <w:rFonts w:ascii="Century Gothic"/>
                <w:sz w:val="21"/>
              </w:rPr>
              <w:t>11.73</w:t>
            </w:r>
          </w:p>
        </w:tc>
      </w:tr>
      <w:tr>
        <w:trPr>
          <w:trHeight w:val="562"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洪雅美联曼地亚红豆</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杉种植有限公司</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3"/>
              <w:jc w:val="right"/>
              <w:rPr>
                <w:rFonts w:ascii="宋体" w:hAnsi="宋体" w:cs="宋体" w:eastAsia="宋体" w:hint="default"/>
                <w:sz w:val="21"/>
                <w:szCs w:val="21"/>
              </w:rPr>
            </w:pPr>
            <w:r>
              <w:rPr>
                <w:rFonts w:ascii="宋体" w:hAnsi="宋体" w:cs="宋体" w:eastAsia="宋体" w:hint="default"/>
                <w:sz w:val="21"/>
                <w:szCs w:val="21"/>
              </w:rPr>
              <w:t>往来款</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13,229,326.44</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Century Gothic" w:hAnsi="Century Gothic" w:cs="Century Gothic" w:eastAsia="Century Gothic" w:hint="default"/>
                <w:sz w:val="21"/>
                <w:szCs w:val="21"/>
              </w:rPr>
              <w:t>1-2</w:t>
            </w:r>
            <w:r>
              <w:rPr>
                <w:rFonts w:ascii="Century Gothic" w:hAnsi="Century Gothic" w:cs="Century Gothic" w:eastAsia="Century Gothic" w:hint="default"/>
                <w:spacing w:val="-9"/>
                <w:sz w:val="21"/>
                <w:szCs w:val="21"/>
              </w:rPr>
              <w:t> </w:t>
            </w:r>
            <w:r>
              <w:rPr>
                <w:rFonts w:ascii="宋体" w:hAnsi="宋体" w:cs="宋体" w:eastAsia="宋体" w:hint="default"/>
                <w:sz w:val="21"/>
                <w:szCs w:val="21"/>
              </w:rPr>
              <w:t>年</w:t>
            </w:r>
          </w:p>
        </w:tc>
        <w:tc>
          <w:tcPr>
            <w:tcW w:w="17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6"/>
              <w:jc w:val="center"/>
              <w:rPr>
                <w:rFonts w:ascii="Century Gothic" w:hAnsi="Century Gothic" w:cs="Century Gothic" w:eastAsia="Century Gothic" w:hint="default"/>
                <w:sz w:val="21"/>
                <w:szCs w:val="21"/>
              </w:rPr>
            </w:pPr>
            <w:r>
              <w:rPr>
                <w:rFonts w:ascii="Century Gothic"/>
                <w:sz w:val="21"/>
              </w:rPr>
              <w:t>8.60</w:t>
            </w:r>
          </w:p>
        </w:tc>
      </w:tr>
      <w:tr>
        <w:trPr>
          <w:trHeight w:val="560" w:hRule="exact"/>
        </w:trPr>
        <w:tc>
          <w:tcPr>
            <w:tcW w:w="2294"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8"/>
                <w:sz w:val="21"/>
                <w:szCs w:val="21"/>
              </w:rPr>
              <w:t>重庆福瑞制药有限公</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03"/>
              <w:jc w:val="right"/>
              <w:rPr>
                <w:rFonts w:ascii="宋体" w:hAnsi="宋体" w:cs="宋体" w:eastAsia="宋体" w:hint="default"/>
                <w:sz w:val="21"/>
                <w:szCs w:val="21"/>
              </w:rPr>
            </w:pPr>
            <w:r>
              <w:rPr>
                <w:rFonts w:ascii="宋体" w:hAnsi="宋体" w:cs="宋体" w:eastAsia="宋体" w:hint="default"/>
                <w:sz w:val="21"/>
                <w:szCs w:val="21"/>
              </w:rPr>
              <w:t>往来款</w:t>
            </w:r>
          </w:p>
        </w:tc>
        <w:tc>
          <w:tcPr>
            <w:tcW w:w="1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往来单位</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12,528,961.40</w:t>
            </w:r>
          </w:p>
        </w:tc>
        <w:tc>
          <w:tcPr>
            <w:tcW w:w="1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Century Gothic" w:hAnsi="Century Gothic" w:cs="Century Gothic" w:eastAsia="Century Gothic" w:hint="default"/>
                <w:spacing w:val="-7"/>
                <w:sz w:val="21"/>
                <w:szCs w:val="21"/>
              </w:rPr>
              <w:t> </w:t>
            </w:r>
            <w:r>
              <w:rPr>
                <w:rFonts w:ascii="宋体" w:hAnsi="宋体" w:cs="宋体" w:eastAsia="宋体" w:hint="default"/>
                <w:sz w:val="21"/>
                <w:szCs w:val="21"/>
              </w:rPr>
              <w:t>年以上</w:t>
            </w:r>
          </w:p>
        </w:tc>
        <w:tc>
          <w:tcPr>
            <w:tcW w:w="17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6"/>
              <w:jc w:val="center"/>
              <w:rPr>
                <w:rFonts w:ascii="Century Gothic" w:hAnsi="Century Gothic" w:cs="Century Gothic" w:eastAsia="Century Gothic" w:hint="default"/>
                <w:sz w:val="21"/>
                <w:szCs w:val="21"/>
              </w:rPr>
            </w:pPr>
            <w:r>
              <w:rPr>
                <w:rFonts w:ascii="Century Gothic"/>
                <w:sz w:val="21"/>
              </w:rPr>
              <w:t>8.15</w:t>
            </w:r>
          </w:p>
        </w:tc>
      </w:tr>
      <w:tr>
        <w:trPr>
          <w:trHeight w:val="307" w:hRule="exact"/>
        </w:trPr>
        <w:tc>
          <w:tcPr>
            <w:tcW w:w="2294" w:type="dxa"/>
            <w:tcBorders>
              <w:top w:val="single" w:sz="6" w:space="0" w:color="000000"/>
              <w:left w:val="nil" w:sz="6" w:space="0" w:color="auto"/>
              <w:bottom w:val="single" w:sz="12" w:space="0" w:color="000000"/>
              <w:right w:val="single" w:sz="6" w:space="0" w:color="000000"/>
            </w:tcBorders>
          </w:tcPr>
          <w:p>
            <w:pPr>
              <w:pStyle w:val="TableParagraph"/>
              <w:tabs>
                <w:tab w:pos="437" w:val="left" w:leader="none"/>
              </w:tabs>
              <w:spacing w:line="242" w:lineRule="exact"/>
              <w:ind w:left="19"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055" w:type="dxa"/>
            <w:tcBorders>
              <w:top w:val="single" w:sz="6" w:space="0" w:color="000000"/>
              <w:left w:val="single" w:sz="6" w:space="0" w:color="000000"/>
              <w:bottom w:val="single" w:sz="12" w:space="0" w:color="000000"/>
              <w:right w:val="single" w:sz="6" w:space="0" w:color="000000"/>
            </w:tcBorders>
          </w:tcPr>
          <w:p>
            <w:pPr/>
          </w:p>
        </w:tc>
        <w:tc>
          <w:tcPr>
            <w:tcW w:w="1120" w:type="dxa"/>
            <w:tcBorders>
              <w:top w:val="single" w:sz="6" w:space="0" w:color="000000"/>
              <w:left w:val="single" w:sz="6" w:space="0" w:color="000000"/>
              <w:bottom w:val="single" w:sz="12" w:space="0" w:color="000000"/>
              <w:right w:val="single" w:sz="6" w:space="0" w:color="000000"/>
            </w:tcBorders>
          </w:tcPr>
          <w:p>
            <w:pPr/>
          </w:p>
        </w:tc>
        <w:tc>
          <w:tcPr>
            <w:tcW w:w="16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105,918,996.93</w:t>
            </w:r>
            <w:r>
              <w:rPr>
                <w:rFonts w:ascii="Century Gothic"/>
                <w:b/>
                <w:w w:val="95"/>
                <w:sz w:val="21"/>
              </w:rPr>
            </w:r>
            <w:r>
              <w:rPr>
                <w:rFonts w:ascii="Century Gothic"/>
                <w:sz w:val="21"/>
              </w:rPr>
            </w:r>
          </w:p>
        </w:tc>
        <w:tc>
          <w:tcPr>
            <w:tcW w:w="1072" w:type="dxa"/>
            <w:tcBorders>
              <w:top w:val="single" w:sz="6" w:space="0" w:color="000000"/>
              <w:left w:val="single" w:sz="6" w:space="0" w:color="000000"/>
              <w:bottom w:val="single" w:sz="12" w:space="0" w:color="000000"/>
              <w:right w:val="single" w:sz="6" w:space="0" w:color="000000"/>
            </w:tcBorders>
          </w:tcPr>
          <w:p>
            <w:pPr/>
          </w:p>
        </w:tc>
        <w:tc>
          <w:tcPr>
            <w:tcW w:w="17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left="610" w:right="0"/>
              <w:jc w:val="left"/>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68.87</w:t>
            </w:r>
            <w:r>
              <w:rPr>
                <w:rFonts w:ascii="Century Gothic"/>
                <w:b/>
                <w:sz w:val="21"/>
              </w:rPr>
            </w:r>
            <w:r>
              <w:rPr>
                <w:rFonts w:ascii="Century Gothic"/>
                <w:sz w:val="21"/>
              </w:rPr>
            </w:r>
          </w:p>
        </w:tc>
      </w:tr>
    </w:tbl>
    <w:p>
      <w:pPr>
        <w:pStyle w:val="BodyText"/>
        <w:spacing w:line="240" w:lineRule="auto" w:before="86"/>
        <w:ind w:left="558" w:right="0"/>
        <w:jc w:val="left"/>
      </w:pPr>
      <w:r>
        <w:rPr/>
        <w:t>（</w:t>
      </w:r>
      <w:r>
        <w:rPr>
          <w:rFonts w:ascii="Century Gothic" w:hAnsi="Century Gothic" w:cs="Century Gothic" w:eastAsia="Century Gothic" w:hint="default"/>
        </w:rPr>
        <w:t>6</w:t>
      </w:r>
      <w:r>
        <w:rPr/>
        <w:t>）其他金额较大的其他应收款列示如下：</w:t>
      </w:r>
    </w:p>
    <w:p>
      <w:pPr>
        <w:spacing w:line="240" w:lineRule="auto" w:before="8"/>
        <w:rPr>
          <w:rFonts w:ascii="宋体" w:hAnsi="宋体" w:cs="宋体" w:eastAsia="宋体" w:hint="default"/>
          <w:sz w:val="17"/>
          <w:szCs w:val="17"/>
        </w:rPr>
      </w:pPr>
    </w:p>
    <w:tbl>
      <w:tblPr>
        <w:tblW w:w="0" w:type="auto"/>
        <w:jc w:val="left"/>
        <w:tblInd w:w="268" w:type="dxa"/>
        <w:tblLayout w:type="fixed"/>
        <w:tblCellMar>
          <w:top w:w="0" w:type="dxa"/>
          <w:left w:w="0" w:type="dxa"/>
          <w:bottom w:w="0" w:type="dxa"/>
          <w:right w:w="0" w:type="dxa"/>
        </w:tblCellMar>
        <w:tblLook w:val="01E0"/>
      </w:tblPr>
      <w:tblGrid>
        <w:gridCol w:w="3224"/>
        <w:gridCol w:w="2940"/>
        <w:gridCol w:w="2720"/>
      </w:tblGrid>
      <w:tr>
        <w:trPr>
          <w:trHeight w:val="307" w:hRule="exact"/>
        </w:trPr>
        <w:tc>
          <w:tcPr>
            <w:tcW w:w="3224" w:type="dxa"/>
            <w:tcBorders>
              <w:top w:val="single" w:sz="12" w:space="0" w:color="000000"/>
              <w:left w:val="nil" w:sz="6" w:space="0" w:color="auto"/>
              <w:bottom w:val="single" w:sz="6" w:space="0" w:color="000000"/>
              <w:right w:val="single" w:sz="6" w:space="0" w:color="000000"/>
            </w:tcBorders>
          </w:tcPr>
          <w:p>
            <w:pPr>
              <w:pStyle w:val="TableParagraph"/>
              <w:spacing w:line="247" w:lineRule="exact"/>
              <w:ind w:left="22"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940"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款项内容</w:t>
            </w:r>
          </w:p>
        </w:tc>
        <w:tc>
          <w:tcPr>
            <w:tcW w:w="2720"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right="6"/>
              <w:jc w:val="center"/>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299"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上海珐尔玛实业有限公司</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7"/>
              <w:jc w:val="center"/>
              <w:rPr>
                <w:rFonts w:ascii="Century Gothic" w:hAnsi="Century Gothic" w:cs="Century Gothic" w:eastAsia="Century Gothic" w:hint="default"/>
                <w:sz w:val="21"/>
                <w:szCs w:val="21"/>
              </w:rPr>
            </w:pPr>
            <w:r>
              <w:rPr>
                <w:rFonts w:ascii="Century Gothic"/>
                <w:sz w:val="21"/>
              </w:rPr>
              <w:t>7,520,400.00</w:t>
            </w:r>
          </w:p>
        </w:tc>
      </w:tr>
      <w:tr>
        <w:trPr>
          <w:trHeight w:val="299"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湘西华立制药有限公司</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7"/>
              <w:jc w:val="center"/>
              <w:rPr>
                <w:rFonts w:ascii="Century Gothic" w:hAnsi="Century Gothic" w:cs="Century Gothic" w:eastAsia="Century Gothic" w:hint="default"/>
                <w:sz w:val="21"/>
                <w:szCs w:val="21"/>
              </w:rPr>
            </w:pPr>
            <w:r>
              <w:rPr>
                <w:rFonts w:ascii="Century Gothic"/>
                <w:sz w:val="21"/>
              </w:rPr>
              <w:t>6,800,000.00</w:t>
            </w:r>
          </w:p>
        </w:tc>
      </w:tr>
      <w:tr>
        <w:trPr>
          <w:trHeight w:val="299"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重庆华创机电有限公司</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7"/>
              <w:jc w:val="center"/>
              <w:rPr>
                <w:rFonts w:ascii="Century Gothic" w:hAnsi="Century Gothic" w:cs="Century Gothic" w:eastAsia="Century Gothic" w:hint="default"/>
                <w:sz w:val="21"/>
                <w:szCs w:val="21"/>
              </w:rPr>
            </w:pPr>
            <w:r>
              <w:rPr>
                <w:rFonts w:ascii="Century Gothic"/>
                <w:sz w:val="21"/>
              </w:rPr>
              <w:t>4,011,508.25</w:t>
            </w:r>
          </w:p>
        </w:tc>
      </w:tr>
      <w:tr>
        <w:trPr>
          <w:trHeight w:val="300"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广州华立健药业有限公司</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7"/>
              <w:jc w:val="center"/>
              <w:rPr>
                <w:rFonts w:ascii="Century Gothic" w:hAnsi="Century Gothic" w:cs="Century Gothic" w:eastAsia="Century Gothic" w:hint="default"/>
                <w:sz w:val="21"/>
                <w:szCs w:val="21"/>
              </w:rPr>
            </w:pPr>
            <w:r>
              <w:rPr>
                <w:rFonts w:ascii="Century Gothic"/>
                <w:sz w:val="21"/>
              </w:rPr>
              <w:t>3,802,488.63</w:t>
            </w:r>
          </w:p>
        </w:tc>
      </w:tr>
      <w:tr>
        <w:trPr>
          <w:trHeight w:val="299"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云南工业大麻股份有限公司</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7"/>
              <w:jc w:val="center"/>
              <w:rPr>
                <w:rFonts w:ascii="Century Gothic" w:hAnsi="Century Gothic" w:cs="Century Gothic" w:eastAsia="Century Gothic" w:hint="default"/>
                <w:sz w:val="21"/>
                <w:szCs w:val="21"/>
              </w:rPr>
            </w:pPr>
            <w:r>
              <w:rPr>
                <w:rFonts w:ascii="Century Gothic"/>
                <w:sz w:val="21"/>
              </w:rPr>
              <w:t>3,275,942.88</w:t>
            </w:r>
          </w:p>
        </w:tc>
      </w:tr>
      <w:tr>
        <w:trPr>
          <w:trHeight w:val="299" w:hRule="exact"/>
        </w:trPr>
        <w:tc>
          <w:tcPr>
            <w:tcW w:w="322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西藏中科生物技术开发有限公司</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2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7"/>
              <w:jc w:val="center"/>
              <w:rPr>
                <w:rFonts w:ascii="Century Gothic" w:hAnsi="Century Gothic" w:cs="Century Gothic" w:eastAsia="Century Gothic" w:hint="default"/>
                <w:sz w:val="21"/>
                <w:szCs w:val="21"/>
              </w:rPr>
            </w:pPr>
            <w:r>
              <w:rPr>
                <w:rFonts w:ascii="Century Gothic"/>
                <w:sz w:val="21"/>
              </w:rPr>
              <w:t>2,550,000.00</w:t>
            </w:r>
          </w:p>
        </w:tc>
      </w:tr>
      <w:tr>
        <w:trPr>
          <w:trHeight w:val="307" w:hRule="exact"/>
        </w:trPr>
        <w:tc>
          <w:tcPr>
            <w:tcW w:w="3224"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2940" w:type="dxa"/>
            <w:tcBorders>
              <w:top w:val="single" w:sz="6" w:space="0" w:color="000000"/>
              <w:left w:val="single" w:sz="6" w:space="0" w:color="000000"/>
              <w:bottom w:val="single" w:sz="12"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272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7"/>
              <w:jc w:val="center"/>
              <w:rPr>
                <w:rFonts w:ascii="Century Gothic" w:hAnsi="Century Gothic" w:cs="Century Gothic" w:eastAsia="Century Gothic" w:hint="default"/>
                <w:sz w:val="21"/>
                <w:szCs w:val="21"/>
              </w:rPr>
            </w:pPr>
            <w:r>
              <w:rPr>
                <w:rFonts w:ascii="Century Gothic"/>
                <w:sz w:val="21"/>
              </w:rPr>
              <w:t>2,300,000.00</w:t>
            </w:r>
          </w:p>
        </w:tc>
      </w:tr>
    </w:tbl>
    <w:p>
      <w:pPr>
        <w:spacing w:line="240" w:lineRule="auto" w:before="1"/>
        <w:rPr>
          <w:rFonts w:ascii="宋体" w:hAnsi="宋体" w:cs="宋体" w:eastAsia="宋体" w:hint="default"/>
          <w:sz w:val="27"/>
          <w:szCs w:val="27"/>
        </w:rPr>
      </w:pPr>
    </w:p>
    <w:p>
      <w:pPr>
        <w:spacing w:before="76"/>
        <w:ind w:left="4577" w:right="4557" w:firstLine="0"/>
        <w:jc w:val="center"/>
        <w:rPr>
          <w:rFonts w:ascii="Times New Roman" w:hAnsi="Times New Roman" w:cs="Times New Roman" w:eastAsia="Times New Roman" w:hint="default"/>
          <w:sz w:val="18"/>
          <w:szCs w:val="18"/>
        </w:rPr>
      </w:pPr>
      <w:r>
        <w:rPr>
          <w:rFonts w:ascii="Times New Roman"/>
          <w:sz w:val="18"/>
        </w:rPr>
        <w:t>102</w:t>
      </w:r>
    </w:p>
    <w:p>
      <w:pPr>
        <w:spacing w:after="0"/>
        <w:jc w:val="center"/>
        <w:rPr>
          <w:rFonts w:ascii="Times New Roman" w:hAnsi="Times New Roman" w:cs="Times New Roman" w:eastAsia="Times New Roman" w:hint="default"/>
          <w:sz w:val="18"/>
          <w:szCs w:val="18"/>
        </w:rPr>
        <w:sectPr>
          <w:pgSz w:w="11910" w:h="16840"/>
          <w:pgMar w:top="780" w:bottom="280" w:left="1160" w:right="130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70.860001pt;margin-top:-9.926001pt;width:84.0pt;height:23.94pt;mso-position-horizontal-relative:page;mso-position-vertical-relative:paragraph;z-index:6688"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0"/>
        <w:ind w:left="558" w:right="0"/>
        <w:jc w:val="left"/>
      </w:pPr>
      <w:r>
        <w:rPr/>
        <w:t>（</w:t>
      </w:r>
      <w:r>
        <w:rPr>
          <w:rFonts w:ascii="Century Gothic" w:hAnsi="Century Gothic" w:cs="Century Gothic" w:eastAsia="Century Gothic" w:hint="default"/>
        </w:rPr>
        <w:t>7</w:t>
      </w:r>
      <w:r>
        <w:rPr/>
        <w:t>）应收关联方款项</w:t>
      </w:r>
    </w:p>
    <w:p>
      <w:pPr>
        <w:spacing w:line="240" w:lineRule="auto" w:before="9"/>
        <w:rPr>
          <w:rFonts w:ascii="宋体" w:hAnsi="宋体" w:cs="宋体" w:eastAsia="宋体" w:hint="default"/>
          <w:sz w:val="17"/>
          <w:szCs w:val="17"/>
        </w:rPr>
      </w:pPr>
    </w:p>
    <w:tbl>
      <w:tblPr>
        <w:tblW w:w="0" w:type="auto"/>
        <w:jc w:val="left"/>
        <w:tblInd w:w="257" w:type="dxa"/>
        <w:tblLayout w:type="fixed"/>
        <w:tblCellMar>
          <w:top w:w="0" w:type="dxa"/>
          <w:left w:w="0" w:type="dxa"/>
          <w:bottom w:w="0" w:type="dxa"/>
          <w:right w:w="0" w:type="dxa"/>
        </w:tblCellMar>
        <w:tblLook w:val="01E0"/>
      </w:tblPr>
      <w:tblGrid>
        <w:gridCol w:w="3362"/>
        <w:gridCol w:w="1874"/>
        <w:gridCol w:w="1784"/>
        <w:gridCol w:w="1885"/>
      </w:tblGrid>
      <w:tr>
        <w:trPr>
          <w:trHeight w:val="568" w:hRule="exact"/>
        </w:trPr>
        <w:tc>
          <w:tcPr>
            <w:tcW w:w="3362"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7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年末金额</w:t>
            </w:r>
          </w:p>
        </w:tc>
        <w:tc>
          <w:tcPr>
            <w:tcW w:w="1885"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91" w:lineRule="exact"/>
              <w:ind w:right="5"/>
              <w:jc w:val="center"/>
              <w:rPr>
                <w:rFonts w:ascii="宋体" w:hAnsi="宋体" w:cs="宋体" w:eastAsia="宋体" w:hint="default"/>
                <w:sz w:val="21"/>
                <w:szCs w:val="21"/>
              </w:rPr>
            </w:pPr>
            <w:r>
              <w:rPr>
                <w:rFonts w:ascii="宋体" w:hAnsi="宋体" w:cs="宋体" w:eastAsia="宋体" w:hint="default"/>
                <w:sz w:val="21"/>
                <w:szCs w:val="21"/>
              </w:rPr>
              <w:t>的比例（</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r>
      <w:tr>
        <w:trPr>
          <w:trHeight w:val="299" w:hRule="exact"/>
        </w:trPr>
        <w:tc>
          <w:tcPr>
            <w:tcW w:w="336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重庆美联制药有限公司</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40,414,829.73</w:t>
            </w:r>
          </w:p>
        </w:tc>
        <w:tc>
          <w:tcPr>
            <w:tcW w:w="18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5"/>
              <w:jc w:val="center"/>
              <w:rPr>
                <w:rFonts w:ascii="Century Gothic" w:hAnsi="Century Gothic" w:cs="Century Gothic" w:eastAsia="Century Gothic" w:hint="default"/>
                <w:sz w:val="21"/>
                <w:szCs w:val="21"/>
              </w:rPr>
            </w:pPr>
            <w:r>
              <w:rPr>
                <w:rFonts w:ascii="Century Gothic"/>
                <w:sz w:val="21"/>
              </w:rPr>
              <w:t>26.28</w:t>
            </w:r>
          </w:p>
        </w:tc>
      </w:tr>
      <w:tr>
        <w:trPr>
          <w:trHeight w:val="299" w:hRule="exact"/>
        </w:trPr>
        <w:tc>
          <w:tcPr>
            <w:tcW w:w="336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重庆华立武陵山制药有限公司</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18,045,879.36</w:t>
            </w:r>
          </w:p>
        </w:tc>
        <w:tc>
          <w:tcPr>
            <w:tcW w:w="18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5"/>
              <w:jc w:val="center"/>
              <w:rPr>
                <w:rFonts w:ascii="Century Gothic" w:hAnsi="Century Gothic" w:cs="Century Gothic" w:eastAsia="Century Gothic" w:hint="default"/>
                <w:sz w:val="21"/>
                <w:szCs w:val="21"/>
              </w:rPr>
            </w:pPr>
            <w:r>
              <w:rPr>
                <w:rFonts w:ascii="Century Gothic"/>
                <w:sz w:val="21"/>
              </w:rPr>
              <w:t>11.73</w:t>
            </w:r>
          </w:p>
        </w:tc>
      </w:tr>
      <w:tr>
        <w:trPr>
          <w:trHeight w:val="562" w:hRule="exact"/>
        </w:trPr>
        <w:tc>
          <w:tcPr>
            <w:tcW w:w="336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4"/>
                <w:sz w:val="21"/>
                <w:szCs w:val="21"/>
              </w:rPr>
              <w:t>洪雅美联曼地亚红豆杉种植有限</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13,229,326.44</w:t>
            </w:r>
          </w:p>
        </w:tc>
        <w:tc>
          <w:tcPr>
            <w:tcW w:w="18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3"/>
              <w:jc w:val="center"/>
              <w:rPr>
                <w:rFonts w:ascii="Century Gothic" w:hAnsi="Century Gothic" w:cs="Century Gothic" w:eastAsia="Century Gothic" w:hint="default"/>
                <w:sz w:val="21"/>
                <w:szCs w:val="21"/>
              </w:rPr>
            </w:pPr>
            <w:r>
              <w:rPr>
                <w:rFonts w:ascii="Century Gothic"/>
                <w:sz w:val="21"/>
              </w:rPr>
              <w:t>8.60</w:t>
            </w:r>
          </w:p>
        </w:tc>
      </w:tr>
      <w:tr>
        <w:trPr>
          <w:trHeight w:val="299" w:hRule="exact"/>
        </w:trPr>
        <w:tc>
          <w:tcPr>
            <w:tcW w:w="336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上海珐尔玛实业有限公司</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7,520,400.00</w:t>
            </w:r>
          </w:p>
        </w:tc>
        <w:tc>
          <w:tcPr>
            <w:tcW w:w="18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3"/>
              <w:jc w:val="center"/>
              <w:rPr>
                <w:rFonts w:ascii="Century Gothic" w:hAnsi="Century Gothic" w:cs="Century Gothic" w:eastAsia="Century Gothic" w:hint="default"/>
                <w:sz w:val="21"/>
                <w:szCs w:val="21"/>
              </w:rPr>
            </w:pPr>
            <w:r>
              <w:rPr>
                <w:rFonts w:ascii="Century Gothic"/>
                <w:sz w:val="21"/>
              </w:rPr>
              <w:t>4.89</w:t>
            </w:r>
          </w:p>
        </w:tc>
      </w:tr>
      <w:tr>
        <w:trPr>
          <w:trHeight w:val="299" w:hRule="exact"/>
        </w:trPr>
        <w:tc>
          <w:tcPr>
            <w:tcW w:w="336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湘西华立制药有限公司</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6,800,000.00</w:t>
            </w:r>
          </w:p>
        </w:tc>
        <w:tc>
          <w:tcPr>
            <w:tcW w:w="18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3"/>
              <w:jc w:val="center"/>
              <w:rPr>
                <w:rFonts w:ascii="Century Gothic" w:hAnsi="Century Gothic" w:cs="Century Gothic" w:eastAsia="Century Gothic" w:hint="default"/>
                <w:sz w:val="21"/>
                <w:szCs w:val="21"/>
              </w:rPr>
            </w:pPr>
            <w:r>
              <w:rPr>
                <w:rFonts w:ascii="Century Gothic"/>
                <w:sz w:val="21"/>
              </w:rPr>
              <w:t>4.42</w:t>
            </w:r>
          </w:p>
        </w:tc>
      </w:tr>
      <w:tr>
        <w:trPr>
          <w:trHeight w:val="299" w:hRule="exact"/>
        </w:trPr>
        <w:tc>
          <w:tcPr>
            <w:tcW w:w="336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广州市华立健药业有限公司</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3,802,488.63</w:t>
            </w:r>
          </w:p>
        </w:tc>
        <w:tc>
          <w:tcPr>
            <w:tcW w:w="18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3"/>
              <w:jc w:val="center"/>
              <w:rPr>
                <w:rFonts w:ascii="Century Gothic" w:hAnsi="Century Gothic" w:cs="Century Gothic" w:eastAsia="Century Gothic" w:hint="default"/>
                <w:sz w:val="21"/>
                <w:szCs w:val="21"/>
              </w:rPr>
            </w:pPr>
            <w:r>
              <w:rPr>
                <w:rFonts w:ascii="Century Gothic"/>
                <w:sz w:val="21"/>
              </w:rPr>
              <w:t>2.47</w:t>
            </w:r>
          </w:p>
        </w:tc>
      </w:tr>
      <w:tr>
        <w:trPr>
          <w:trHeight w:val="300" w:hRule="exact"/>
        </w:trPr>
        <w:tc>
          <w:tcPr>
            <w:tcW w:w="336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云南工业大麻股份有限公司</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3,275,942.88</w:t>
            </w:r>
          </w:p>
        </w:tc>
        <w:tc>
          <w:tcPr>
            <w:tcW w:w="18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3"/>
              <w:jc w:val="center"/>
              <w:rPr>
                <w:rFonts w:ascii="Century Gothic" w:hAnsi="Century Gothic" w:cs="Century Gothic" w:eastAsia="Century Gothic" w:hint="default"/>
                <w:sz w:val="21"/>
                <w:szCs w:val="21"/>
              </w:rPr>
            </w:pPr>
            <w:r>
              <w:rPr>
                <w:rFonts w:ascii="Century Gothic"/>
                <w:sz w:val="21"/>
              </w:rPr>
              <w:t>2.13</w:t>
            </w:r>
          </w:p>
        </w:tc>
      </w:tr>
      <w:tr>
        <w:trPr>
          <w:trHeight w:val="299" w:hRule="exact"/>
        </w:trPr>
        <w:tc>
          <w:tcPr>
            <w:tcW w:w="336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浙江华立南湖制药有限公司</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2,300,000.00</w:t>
            </w:r>
          </w:p>
        </w:tc>
        <w:tc>
          <w:tcPr>
            <w:tcW w:w="18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3"/>
              <w:jc w:val="center"/>
              <w:rPr>
                <w:rFonts w:ascii="Century Gothic" w:hAnsi="Century Gothic" w:cs="Century Gothic" w:eastAsia="Century Gothic" w:hint="default"/>
                <w:sz w:val="21"/>
                <w:szCs w:val="21"/>
              </w:rPr>
            </w:pPr>
            <w:r>
              <w:rPr>
                <w:rFonts w:ascii="Century Gothic"/>
                <w:sz w:val="21"/>
              </w:rPr>
              <w:t>1.50</w:t>
            </w:r>
          </w:p>
        </w:tc>
      </w:tr>
      <w:tr>
        <w:trPr>
          <w:trHeight w:val="299" w:hRule="exact"/>
        </w:trPr>
        <w:tc>
          <w:tcPr>
            <w:tcW w:w="336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北京华立科泰医药有限责任公司</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993,974.31</w:t>
            </w:r>
            <w:r>
              <w:rPr>
                <w:rFonts w:ascii="Century Gothic"/>
                <w:sz w:val="21"/>
              </w:rPr>
            </w:r>
          </w:p>
        </w:tc>
        <w:tc>
          <w:tcPr>
            <w:tcW w:w="18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4"/>
              <w:jc w:val="center"/>
              <w:rPr>
                <w:rFonts w:ascii="Century Gothic" w:hAnsi="Century Gothic" w:cs="Century Gothic" w:eastAsia="Century Gothic" w:hint="default"/>
                <w:sz w:val="21"/>
                <w:szCs w:val="21"/>
              </w:rPr>
            </w:pPr>
            <w:r>
              <w:rPr>
                <w:rFonts w:ascii="Century Gothic"/>
                <w:sz w:val="21"/>
              </w:rPr>
              <w:t>0.65</w:t>
            </w:r>
          </w:p>
        </w:tc>
      </w:tr>
      <w:tr>
        <w:trPr>
          <w:trHeight w:val="299" w:hRule="exact"/>
        </w:trPr>
        <w:tc>
          <w:tcPr>
            <w:tcW w:w="336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北京比力必利文化传播有限公司</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550,000.00</w:t>
            </w:r>
            <w:r>
              <w:rPr>
                <w:rFonts w:ascii="Century Gothic"/>
                <w:sz w:val="21"/>
              </w:rPr>
            </w:r>
          </w:p>
        </w:tc>
        <w:tc>
          <w:tcPr>
            <w:tcW w:w="18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4"/>
              <w:jc w:val="center"/>
              <w:rPr>
                <w:rFonts w:ascii="Century Gothic" w:hAnsi="Century Gothic" w:cs="Century Gothic" w:eastAsia="Century Gothic" w:hint="default"/>
                <w:sz w:val="21"/>
                <w:szCs w:val="21"/>
              </w:rPr>
            </w:pPr>
            <w:r>
              <w:rPr>
                <w:rFonts w:ascii="Century Gothic"/>
                <w:sz w:val="21"/>
              </w:rPr>
              <w:t>0.36</w:t>
            </w:r>
          </w:p>
        </w:tc>
      </w:tr>
      <w:tr>
        <w:trPr>
          <w:trHeight w:val="299" w:hRule="exact"/>
        </w:trPr>
        <w:tc>
          <w:tcPr>
            <w:tcW w:w="3362"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122" w:right="0"/>
              <w:jc w:val="left"/>
              <w:rPr>
                <w:rFonts w:ascii="宋体" w:hAnsi="宋体" w:cs="宋体" w:eastAsia="宋体" w:hint="default"/>
                <w:sz w:val="21"/>
                <w:szCs w:val="21"/>
              </w:rPr>
            </w:pPr>
            <w:r>
              <w:rPr>
                <w:rFonts w:ascii="宋体" w:hAnsi="宋体" w:cs="宋体" w:eastAsia="宋体" w:hint="default"/>
                <w:sz w:val="21"/>
                <w:szCs w:val="21"/>
              </w:rPr>
              <w:t>华立仪表集团重庆仪表有限公司</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spacing w:val="-1"/>
                <w:sz w:val="21"/>
              </w:rPr>
              <w:t>65,386.98</w:t>
            </w:r>
            <w:r>
              <w:rPr>
                <w:rFonts w:ascii="Century Gothic"/>
                <w:sz w:val="21"/>
              </w:rPr>
            </w:r>
          </w:p>
        </w:tc>
        <w:tc>
          <w:tcPr>
            <w:tcW w:w="188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4"/>
              <w:jc w:val="center"/>
              <w:rPr>
                <w:rFonts w:ascii="Century Gothic" w:hAnsi="Century Gothic" w:cs="Century Gothic" w:eastAsia="Century Gothic" w:hint="default"/>
                <w:sz w:val="21"/>
                <w:szCs w:val="21"/>
              </w:rPr>
            </w:pPr>
            <w:r>
              <w:rPr>
                <w:rFonts w:ascii="Century Gothic"/>
                <w:sz w:val="21"/>
              </w:rPr>
              <w:t>0.04</w:t>
            </w:r>
          </w:p>
        </w:tc>
      </w:tr>
      <w:tr>
        <w:trPr>
          <w:trHeight w:val="307" w:hRule="exact"/>
        </w:trPr>
        <w:tc>
          <w:tcPr>
            <w:tcW w:w="3362" w:type="dxa"/>
            <w:tcBorders>
              <w:top w:val="single" w:sz="6" w:space="0" w:color="000000"/>
              <w:left w:val="nil" w:sz="6" w:space="0" w:color="auto"/>
              <w:bottom w:val="single" w:sz="12" w:space="0" w:color="000000"/>
              <w:right w:val="single" w:sz="6" w:space="0" w:color="000000"/>
            </w:tcBorders>
          </w:tcPr>
          <w:p>
            <w:pPr>
              <w:pStyle w:val="TableParagraph"/>
              <w:tabs>
                <w:tab w:pos="440" w:val="left" w:leader="none"/>
              </w:tabs>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74" w:type="dxa"/>
            <w:tcBorders>
              <w:top w:val="single" w:sz="6" w:space="0" w:color="000000"/>
              <w:left w:val="single" w:sz="6" w:space="0" w:color="000000"/>
              <w:bottom w:val="single" w:sz="12" w:space="0" w:color="000000"/>
              <w:right w:val="single" w:sz="6" w:space="0" w:color="000000"/>
            </w:tcBorders>
          </w:tcPr>
          <w:p>
            <w:pPr/>
          </w:p>
        </w:tc>
        <w:tc>
          <w:tcPr>
            <w:tcW w:w="17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96,998,228.33</w:t>
            </w:r>
            <w:r>
              <w:rPr>
                <w:rFonts w:ascii="Century Gothic"/>
                <w:b/>
                <w:w w:val="95"/>
                <w:sz w:val="21"/>
              </w:rPr>
            </w:r>
            <w:r>
              <w:rPr>
                <w:rFonts w:ascii="Century Gothic"/>
                <w:sz w:val="21"/>
              </w:rPr>
            </w:r>
          </w:p>
        </w:tc>
        <w:tc>
          <w:tcPr>
            <w:tcW w:w="18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5"/>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63.07</w:t>
            </w:r>
            <w:r>
              <w:rPr>
                <w:rFonts w:ascii="Century Gothic"/>
                <w:b/>
                <w:sz w:val="21"/>
              </w:rPr>
            </w:r>
            <w:r>
              <w:rPr>
                <w:rFonts w:ascii="Century Gothic"/>
                <w:sz w:val="21"/>
              </w:rPr>
            </w:r>
          </w:p>
        </w:tc>
      </w:tr>
    </w:tbl>
    <w:p>
      <w:pPr>
        <w:tabs>
          <w:tab w:pos="1413" w:val="left" w:leader="none"/>
        </w:tabs>
        <w:spacing w:line="357" w:lineRule="auto" w:before="86"/>
        <w:ind w:left="558" w:right="6175" w:firstLine="0"/>
        <w:jc w:val="left"/>
        <w:rPr>
          <w:rFonts w:ascii="宋体" w:hAnsi="宋体" w:cs="宋体" w:eastAsia="宋体" w:hint="default"/>
          <w:sz w:val="21"/>
          <w:szCs w:val="21"/>
        </w:rPr>
      </w:pPr>
      <w:r>
        <w:rPr>
          <w:rFonts w:ascii="宋体" w:hAnsi="宋体" w:cs="宋体" w:eastAsia="宋体" w:hint="default"/>
          <w:b/>
          <w:bCs/>
          <w:w w:val="95"/>
          <w:sz w:val="21"/>
          <w:szCs w:val="21"/>
        </w:rPr>
        <w:t>（三）</w:t>
        <w:tab/>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长期股权投资分项列示如下：</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2380"/>
        <w:gridCol w:w="890"/>
        <w:gridCol w:w="1476"/>
        <w:gridCol w:w="1487"/>
        <w:gridCol w:w="1463"/>
        <w:gridCol w:w="1522"/>
      </w:tblGrid>
      <w:tr>
        <w:trPr>
          <w:trHeight w:val="568" w:hRule="exact"/>
        </w:trPr>
        <w:tc>
          <w:tcPr>
            <w:tcW w:w="2380"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67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89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27" w:right="0"/>
              <w:jc w:val="left"/>
              <w:rPr>
                <w:rFonts w:ascii="宋体" w:hAnsi="宋体" w:cs="宋体" w:eastAsia="宋体" w:hint="default"/>
                <w:sz w:val="21"/>
                <w:szCs w:val="21"/>
              </w:rPr>
            </w:pPr>
            <w:r>
              <w:rPr>
                <w:rFonts w:ascii="宋体" w:hAnsi="宋体" w:cs="宋体" w:eastAsia="宋体" w:hint="default"/>
                <w:sz w:val="21"/>
                <w:szCs w:val="21"/>
              </w:rPr>
              <w:t>核算</w:t>
            </w:r>
          </w:p>
          <w:p>
            <w:pPr>
              <w:pStyle w:val="TableParagraph"/>
              <w:spacing w:line="274" w:lineRule="exact"/>
              <w:ind w:left="227" w:right="0"/>
              <w:jc w:val="left"/>
              <w:rPr>
                <w:rFonts w:ascii="宋体" w:hAnsi="宋体" w:cs="宋体" w:eastAsia="宋体" w:hint="default"/>
                <w:sz w:val="21"/>
                <w:szCs w:val="21"/>
              </w:rPr>
            </w:pPr>
            <w:r>
              <w:rPr>
                <w:rFonts w:ascii="宋体" w:hAnsi="宋体" w:cs="宋体" w:eastAsia="宋体" w:hint="default"/>
                <w:sz w:val="21"/>
                <w:szCs w:val="21"/>
              </w:rPr>
              <w:t>方法</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初始投资成本</w:t>
            </w:r>
          </w:p>
        </w:tc>
        <w:tc>
          <w:tcPr>
            <w:tcW w:w="14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hAnsi="宋体" w:cs="宋体" w:eastAsia="宋体" w:hint="default"/>
                <w:sz w:val="21"/>
                <w:szCs w:val="21"/>
              </w:rPr>
              <w:t>年初账面余额</w:t>
            </w:r>
          </w:p>
        </w:tc>
        <w:tc>
          <w:tcPr>
            <w:tcW w:w="14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本年增减额</w:t>
            </w:r>
          </w:p>
        </w:tc>
        <w:tc>
          <w:tcPr>
            <w:tcW w:w="152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02"/>
              <w:ind w:right="128"/>
              <w:jc w:val="righ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482"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华立仪表集团股份有限公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Century Gothic" w:hAnsi="Century Gothic" w:cs="Century Gothic" w:eastAsia="Century Gothic" w:hint="default"/>
                <w:sz w:val="18"/>
                <w:szCs w:val="18"/>
              </w:rPr>
            </w:pPr>
            <w:r>
              <w:rPr>
                <w:rFonts w:ascii="Century Gothic"/>
                <w:spacing w:val="-1"/>
                <w:sz w:val="18"/>
              </w:rPr>
              <w:t>178,105,275.48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Century Gothic" w:hAnsi="Century Gothic" w:cs="Century Gothic" w:eastAsia="Century Gothic" w:hint="default"/>
                <w:sz w:val="18"/>
                <w:szCs w:val="18"/>
              </w:rPr>
            </w:pPr>
            <w:r>
              <w:rPr>
                <w:rFonts w:ascii="Century Gothic"/>
                <w:spacing w:val="-1"/>
                <w:sz w:val="18"/>
              </w:rPr>
              <w:t>178,105,275.48</w:t>
            </w: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6"/>
              <w:jc w:val="right"/>
              <w:rPr>
                <w:rFonts w:ascii="Century Gothic" w:hAnsi="Century Gothic" w:cs="Century Gothic" w:eastAsia="Century Gothic" w:hint="default"/>
                <w:sz w:val="18"/>
                <w:szCs w:val="18"/>
              </w:rPr>
            </w:pPr>
            <w:r>
              <w:rPr>
                <w:rFonts w:ascii="Century Gothic"/>
                <w:spacing w:val="-1"/>
                <w:sz w:val="18"/>
              </w:rPr>
              <w:t>178,105,275.48</w:t>
            </w:r>
          </w:p>
        </w:tc>
      </w:tr>
      <w:tr>
        <w:trPr>
          <w:trHeight w:val="484"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重庆华立武陵山制药有限</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9"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公司（注</w:t>
            </w:r>
            <w:r>
              <w:rPr>
                <w:rFonts w:ascii="宋体" w:hAnsi="宋体" w:cs="宋体" w:eastAsia="宋体" w:hint="default"/>
                <w:spacing w:val="-48"/>
                <w:sz w:val="18"/>
                <w:szCs w:val="18"/>
              </w:rPr>
              <w:t> </w:t>
            </w:r>
            <w:r>
              <w:rPr>
                <w:rFonts w:ascii="Century Gothic" w:hAnsi="Century Gothic" w:cs="Century Gothic" w:eastAsia="Century Gothic" w:hint="default"/>
                <w:sz w:val="18"/>
                <w:szCs w:val="18"/>
              </w:rPr>
              <w:t>1</w:t>
            </w:r>
            <w:r>
              <w:rPr>
                <w:rFonts w:ascii="宋体" w:hAnsi="宋体" w:cs="宋体" w:eastAsia="宋体" w:hint="default"/>
                <w:sz w:val="18"/>
                <w:szCs w:val="18"/>
              </w:rPr>
              <w:t>）</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9,100,000.00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9,100,000.00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38" w:right="0"/>
              <w:jc w:val="center"/>
              <w:rPr>
                <w:rFonts w:ascii="Century Gothic" w:hAnsi="Century Gothic" w:cs="Century Gothic" w:eastAsia="Century Gothic" w:hint="default"/>
                <w:sz w:val="18"/>
                <w:szCs w:val="18"/>
              </w:rPr>
            </w:pPr>
            <w:r>
              <w:rPr>
                <w:rFonts w:ascii="Century Gothic"/>
                <w:sz w:val="18"/>
              </w:rPr>
              <w:t>-9,100,000.00</w:t>
            </w: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湘西华立制药有限公司（注</w:t>
            </w:r>
          </w:p>
          <w:p>
            <w:pPr>
              <w:pStyle w:val="TableParagraph"/>
              <w:spacing w:line="249" w:lineRule="exact"/>
              <w:ind w:left="122" w:right="0"/>
              <w:jc w:val="left"/>
              <w:rPr>
                <w:rFonts w:ascii="宋体" w:hAnsi="宋体" w:cs="宋体" w:eastAsia="宋体" w:hint="default"/>
                <w:sz w:val="18"/>
                <w:szCs w:val="18"/>
              </w:rPr>
            </w:pPr>
            <w:r>
              <w:rPr>
                <w:rFonts w:ascii="Century Gothic" w:hAnsi="Century Gothic" w:cs="Century Gothic" w:eastAsia="Century Gothic" w:hint="default"/>
                <w:sz w:val="18"/>
                <w:szCs w:val="18"/>
              </w:rPr>
              <w:t>1</w:t>
            </w:r>
            <w:r>
              <w:rPr>
                <w:rFonts w:ascii="宋体" w:hAnsi="宋体" w:cs="宋体" w:eastAsia="宋体" w:hint="default"/>
                <w:sz w:val="18"/>
                <w:szCs w:val="18"/>
              </w:rPr>
              <w:t>）</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10,216,169.55</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10,216,169.55</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39" w:right="0"/>
              <w:jc w:val="center"/>
              <w:rPr>
                <w:rFonts w:ascii="Century Gothic" w:hAnsi="Century Gothic" w:cs="Century Gothic" w:eastAsia="Century Gothic" w:hint="default"/>
                <w:sz w:val="18"/>
                <w:szCs w:val="18"/>
              </w:rPr>
            </w:pPr>
            <w:r>
              <w:rPr>
                <w:rFonts w:ascii="Century Gothic"/>
                <w:sz w:val="18"/>
              </w:rPr>
              <w:t>-10,216,169.55</w:t>
            </w: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300"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广州华立健药业有限公司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Century Gothic" w:hAnsi="Century Gothic" w:cs="Century Gothic" w:eastAsia="Century Gothic" w:hint="default"/>
                <w:sz w:val="18"/>
                <w:szCs w:val="18"/>
              </w:rPr>
            </w:pPr>
            <w:r>
              <w:rPr>
                <w:rFonts w:ascii="Century Gothic"/>
                <w:spacing w:val="-1"/>
                <w:sz w:val="18"/>
              </w:rPr>
              <w:t>22,500,000.00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Century Gothic" w:hAnsi="Century Gothic" w:cs="Century Gothic" w:eastAsia="Century Gothic" w:hint="default"/>
                <w:sz w:val="18"/>
                <w:szCs w:val="18"/>
              </w:rPr>
            </w:pPr>
            <w:r>
              <w:rPr>
                <w:rFonts w:ascii="Century Gothic"/>
                <w:spacing w:val="-1"/>
                <w:sz w:val="18"/>
              </w:rPr>
              <w:t>22,500,000.00</w:t>
            </w: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7"/>
              <w:jc w:val="right"/>
              <w:rPr>
                <w:rFonts w:ascii="Century Gothic" w:hAnsi="Century Gothic" w:cs="Century Gothic" w:eastAsia="Century Gothic" w:hint="default"/>
                <w:sz w:val="18"/>
                <w:szCs w:val="18"/>
              </w:rPr>
            </w:pPr>
            <w:r>
              <w:rPr>
                <w:rFonts w:ascii="Century Gothic"/>
                <w:spacing w:val="-1"/>
                <w:sz w:val="18"/>
              </w:rPr>
              <w:t>22,500,000.00</w:t>
            </w:r>
          </w:p>
        </w:tc>
      </w:tr>
      <w:tr>
        <w:trPr>
          <w:trHeight w:val="482"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北京华立科泰制药有限公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9" w:lineRule="exact"/>
              <w:ind w:left="122" w:right="0"/>
              <w:jc w:val="left"/>
              <w:rPr>
                <w:rFonts w:ascii="宋体" w:hAnsi="宋体" w:cs="宋体" w:eastAsia="宋体" w:hint="default"/>
                <w:sz w:val="18"/>
                <w:szCs w:val="18"/>
              </w:rPr>
            </w:pPr>
            <w:r>
              <w:rPr>
                <w:rFonts w:ascii="宋体" w:hAnsi="宋体" w:cs="宋体" w:eastAsia="宋体" w:hint="default"/>
                <w:sz w:val="18"/>
                <w:szCs w:val="18"/>
              </w:rPr>
              <w:t>司（注</w:t>
            </w:r>
            <w:r>
              <w:rPr>
                <w:rFonts w:ascii="宋体" w:hAnsi="宋体" w:cs="宋体" w:eastAsia="宋体" w:hint="default"/>
                <w:spacing w:val="-48"/>
                <w:sz w:val="18"/>
                <w:szCs w:val="18"/>
              </w:rPr>
              <w:t> </w:t>
            </w:r>
            <w:r>
              <w:rPr>
                <w:rFonts w:ascii="Century Gothic" w:hAnsi="Century Gothic" w:cs="Century Gothic" w:eastAsia="Century Gothic" w:hint="default"/>
                <w:sz w:val="18"/>
                <w:szCs w:val="18"/>
              </w:rPr>
              <w:t>2</w:t>
            </w:r>
            <w:r>
              <w:rPr>
                <w:rFonts w:ascii="宋体" w:hAnsi="宋体" w:cs="宋体" w:eastAsia="宋体" w:hint="default"/>
                <w:sz w:val="18"/>
                <w:szCs w:val="18"/>
              </w:rPr>
              <w:t>）</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9"/>
              <w:jc w:val="right"/>
              <w:rPr>
                <w:rFonts w:ascii="Century Gothic" w:hAnsi="Century Gothic" w:cs="Century Gothic" w:eastAsia="Century Gothic" w:hint="default"/>
                <w:sz w:val="18"/>
                <w:szCs w:val="18"/>
              </w:rPr>
            </w:pPr>
            <w:r>
              <w:rPr>
                <w:rFonts w:ascii="Century Gothic"/>
                <w:spacing w:val="-1"/>
                <w:sz w:val="18"/>
              </w:rPr>
              <w:t>202,583,606.42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7,583,606.42</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Century Gothic" w:hAnsi="Century Gothic" w:cs="Century Gothic" w:eastAsia="Century Gothic" w:hint="default"/>
                <w:sz w:val="18"/>
                <w:szCs w:val="18"/>
              </w:rPr>
            </w:pPr>
            <w:r>
              <w:rPr>
                <w:rFonts w:ascii="Century Gothic"/>
                <w:sz w:val="18"/>
              </w:rPr>
              <w:t>195,000,000.00</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6"/>
              <w:jc w:val="right"/>
              <w:rPr>
                <w:rFonts w:ascii="Century Gothic" w:hAnsi="Century Gothic" w:cs="Century Gothic" w:eastAsia="Century Gothic" w:hint="default"/>
                <w:sz w:val="18"/>
                <w:szCs w:val="18"/>
              </w:rPr>
            </w:pPr>
            <w:r>
              <w:rPr>
                <w:rFonts w:ascii="Century Gothic"/>
                <w:spacing w:val="-1"/>
                <w:sz w:val="18"/>
              </w:rPr>
              <w:t>202,583,606.42</w:t>
            </w:r>
          </w:p>
        </w:tc>
      </w:tr>
      <w:tr>
        <w:trPr>
          <w:trHeight w:val="484"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浙江华立南湖制药有限公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9" w:lineRule="exact"/>
              <w:ind w:left="122" w:right="0"/>
              <w:jc w:val="left"/>
              <w:rPr>
                <w:rFonts w:ascii="宋体" w:hAnsi="宋体" w:cs="宋体" w:eastAsia="宋体" w:hint="default"/>
                <w:sz w:val="18"/>
                <w:szCs w:val="18"/>
              </w:rPr>
            </w:pPr>
            <w:r>
              <w:rPr>
                <w:rFonts w:ascii="宋体" w:hAnsi="宋体" w:cs="宋体" w:eastAsia="宋体" w:hint="default"/>
                <w:sz w:val="18"/>
                <w:szCs w:val="18"/>
              </w:rPr>
              <w:t>司（注</w:t>
            </w:r>
            <w:r>
              <w:rPr>
                <w:rFonts w:ascii="宋体" w:hAnsi="宋体" w:cs="宋体" w:eastAsia="宋体" w:hint="default"/>
                <w:spacing w:val="-48"/>
                <w:sz w:val="18"/>
                <w:szCs w:val="18"/>
              </w:rPr>
              <w:t> </w:t>
            </w:r>
            <w:r>
              <w:rPr>
                <w:rFonts w:ascii="Century Gothic" w:hAnsi="Century Gothic" w:cs="Century Gothic" w:eastAsia="Century Gothic" w:hint="default"/>
                <w:sz w:val="18"/>
                <w:szCs w:val="18"/>
              </w:rPr>
              <w:t>1</w:t>
            </w:r>
            <w:r>
              <w:rPr>
                <w:rFonts w:ascii="宋体" w:hAnsi="宋体" w:cs="宋体" w:eastAsia="宋体" w:hint="default"/>
                <w:sz w:val="18"/>
                <w:szCs w:val="18"/>
              </w:rPr>
              <w:t>）</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12,670,800.00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12,670,800.00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39" w:right="0"/>
              <w:jc w:val="center"/>
              <w:rPr>
                <w:rFonts w:ascii="Century Gothic" w:hAnsi="Century Gothic" w:cs="Century Gothic" w:eastAsia="Century Gothic" w:hint="default"/>
                <w:sz w:val="18"/>
                <w:szCs w:val="18"/>
              </w:rPr>
            </w:pPr>
            <w:r>
              <w:rPr>
                <w:rFonts w:ascii="Century Gothic"/>
                <w:sz w:val="18"/>
              </w:rPr>
              <w:t>-12,670,800.00</w:t>
            </w: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Century Gothic" w:hAnsi="Century Gothic" w:cs="Century Gothic" w:eastAsia="Century Gothic" w:hint="default"/>
                <w:sz w:val="18"/>
                <w:szCs w:val="18"/>
              </w:rPr>
            </w:pPr>
            <w:r>
              <w:rPr>
                <w:rFonts w:ascii="Century Gothic"/>
                <w:spacing w:val="-1"/>
                <w:sz w:val="18"/>
              </w:rPr>
              <w:t>32,076,800.00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Century Gothic" w:hAnsi="Century Gothic" w:cs="Century Gothic" w:eastAsia="Century Gothic" w:hint="default"/>
                <w:sz w:val="18"/>
                <w:szCs w:val="18"/>
              </w:rPr>
            </w:pPr>
            <w:r>
              <w:rPr>
                <w:rFonts w:ascii="Century Gothic"/>
                <w:spacing w:val="-1"/>
                <w:sz w:val="18"/>
              </w:rPr>
              <w:t>32,076,800.00</w:t>
            </w: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7"/>
              <w:jc w:val="right"/>
              <w:rPr>
                <w:rFonts w:ascii="Century Gothic" w:hAnsi="Century Gothic" w:cs="Century Gothic" w:eastAsia="Century Gothic" w:hint="default"/>
                <w:sz w:val="18"/>
                <w:szCs w:val="18"/>
              </w:rPr>
            </w:pPr>
            <w:r>
              <w:rPr>
                <w:rFonts w:ascii="Century Gothic"/>
                <w:spacing w:val="-1"/>
                <w:sz w:val="18"/>
              </w:rPr>
              <w:t>32,076,800.00</w:t>
            </w:r>
          </w:p>
        </w:tc>
      </w:tr>
      <w:tr>
        <w:trPr>
          <w:trHeight w:val="482"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云南工业大麻股份有限公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41,875,400.00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41,875,400.00</w:t>
            </w: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7"/>
              <w:jc w:val="right"/>
              <w:rPr>
                <w:rFonts w:ascii="Century Gothic" w:hAnsi="Century Gothic" w:cs="Century Gothic" w:eastAsia="Century Gothic" w:hint="default"/>
                <w:sz w:val="18"/>
                <w:szCs w:val="18"/>
              </w:rPr>
            </w:pPr>
            <w:r>
              <w:rPr>
                <w:rFonts w:ascii="Century Gothic"/>
                <w:spacing w:val="-1"/>
                <w:sz w:val="18"/>
              </w:rPr>
              <w:t>41,875,400.00</w:t>
            </w:r>
          </w:p>
        </w:tc>
      </w:tr>
      <w:tr>
        <w:trPr>
          <w:trHeight w:val="484"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北京华立九州医药有限公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9" w:lineRule="exact"/>
              <w:ind w:left="122" w:right="0"/>
              <w:jc w:val="left"/>
              <w:rPr>
                <w:rFonts w:ascii="宋体" w:hAnsi="宋体" w:cs="宋体" w:eastAsia="宋体" w:hint="default"/>
                <w:sz w:val="18"/>
                <w:szCs w:val="18"/>
              </w:rPr>
            </w:pPr>
            <w:r>
              <w:rPr>
                <w:rFonts w:ascii="宋体" w:hAnsi="宋体" w:cs="宋体" w:eastAsia="宋体" w:hint="default"/>
                <w:sz w:val="18"/>
                <w:szCs w:val="18"/>
              </w:rPr>
              <w:t>司（注</w:t>
            </w:r>
            <w:r>
              <w:rPr>
                <w:rFonts w:ascii="宋体" w:hAnsi="宋体" w:cs="宋体" w:eastAsia="宋体" w:hint="default"/>
                <w:spacing w:val="-48"/>
                <w:sz w:val="18"/>
                <w:szCs w:val="18"/>
              </w:rPr>
              <w:t> </w:t>
            </w:r>
            <w:r>
              <w:rPr>
                <w:rFonts w:ascii="Century Gothic" w:hAnsi="Century Gothic" w:cs="Century Gothic" w:eastAsia="Century Gothic" w:hint="default"/>
                <w:sz w:val="18"/>
                <w:szCs w:val="18"/>
              </w:rPr>
              <w:t>3</w:t>
            </w:r>
            <w:r>
              <w:rPr>
                <w:rFonts w:ascii="宋体" w:hAnsi="宋体" w:cs="宋体" w:eastAsia="宋体" w:hint="default"/>
                <w:sz w:val="18"/>
                <w:szCs w:val="18"/>
              </w:rPr>
              <w:t>）</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73,969,573.73</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00"/>
              <w:jc w:val="right"/>
              <w:rPr>
                <w:rFonts w:ascii="Century Gothic" w:hAnsi="Century Gothic" w:cs="Century Gothic" w:eastAsia="Century Gothic" w:hint="default"/>
                <w:sz w:val="18"/>
                <w:szCs w:val="18"/>
              </w:rPr>
            </w:pPr>
            <w:r>
              <w:rPr>
                <w:rFonts w:ascii="Century Gothic"/>
                <w:spacing w:val="-1"/>
                <w:sz w:val="18"/>
              </w:rPr>
              <w:t>73,969,573.73</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39" w:right="0"/>
              <w:jc w:val="center"/>
              <w:rPr>
                <w:rFonts w:ascii="Century Gothic" w:hAnsi="Century Gothic" w:cs="Century Gothic" w:eastAsia="Century Gothic" w:hint="default"/>
                <w:sz w:val="18"/>
                <w:szCs w:val="18"/>
              </w:rPr>
            </w:pPr>
            <w:r>
              <w:rPr>
                <w:rFonts w:ascii="Century Gothic"/>
                <w:sz w:val="18"/>
              </w:rPr>
              <w:t>-73,969,573.73</w:t>
            </w: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四川同人泰药业有限公司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8,935,129.28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8,935,129.28</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38" w:right="0"/>
              <w:jc w:val="center"/>
              <w:rPr>
                <w:rFonts w:ascii="Century Gothic" w:hAnsi="Century Gothic" w:cs="Century Gothic" w:eastAsia="Century Gothic" w:hint="default"/>
                <w:sz w:val="18"/>
                <w:szCs w:val="18"/>
              </w:rPr>
            </w:pPr>
            <w:r>
              <w:rPr>
                <w:rFonts w:ascii="Century Gothic"/>
                <w:sz w:val="18"/>
              </w:rPr>
              <w:t>-8,935,129.28</w:t>
            </w: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洪雅美联曼地亚红豆杉种</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植有限公司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8,900,000.00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8,900,000.00</w:t>
            </w: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5"/>
              <w:ind w:right="107"/>
              <w:jc w:val="right"/>
              <w:rPr>
                <w:rFonts w:ascii="Century Gothic" w:hAnsi="Century Gothic" w:cs="Century Gothic" w:eastAsia="Century Gothic" w:hint="default"/>
                <w:sz w:val="18"/>
                <w:szCs w:val="18"/>
              </w:rPr>
            </w:pPr>
            <w:r>
              <w:rPr>
                <w:rFonts w:ascii="Century Gothic"/>
                <w:spacing w:val="-1"/>
                <w:sz w:val="18"/>
              </w:rPr>
              <w:t>8,900,000.00</w:t>
            </w:r>
          </w:p>
        </w:tc>
      </w:tr>
      <w:tr>
        <w:trPr>
          <w:trHeight w:val="300"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Century Gothic" w:hAnsi="Century Gothic" w:cs="Century Gothic" w:eastAsia="Century Gothic" w:hint="default"/>
                <w:sz w:val="18"/>
                <w:szCs w:val="18"/>
              </w:rPr>
            </w:pPr>
            <w:r>
              <w:rPr>
                <w:rFonts w:ascii="Century Gothic"/>
                <w:spacing w:val="-1"/>
                <w:sz w:val="18"/>
              </w:rPr>
              <w:t>10,000,000.00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Century Gothic" w:hAnsi="Century Gothic" w:cs="Century Gothic" w:eastAsia="Century Gothic" w:hint="default"/>
                <w:sz w:val="18"/>
                <w:szCs w:val="18"/>
              </w:rPr>
            </w:pPr>
            <w:r>
              <w:rPr>
                <w:rFonts w:ascii="Century Gothic"/>
                <w:spacing w:val="-1"/>
                <w:sz w:val="18"/>
              </w:rPr>
              <w:t>10,000,000.00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39" w:right="0"/>
              <w:jc w:val="center"/>
              <w:rPr>
                <w:rFonts w:ascii="Century Gothic" w:hAnsi="Century Gothic" w:cs="Century Gothic" w:eastAsia="Century Gothic" w:hint="default"/>
                <w:sz w:val="18"/>
                <w:szCs w:val="18"/>
              </w:rPr>
            </w:pPr>
            <w:r>
              <w:rPr>
                <w:rFonts w:ascii="Century Gothic"/>
                <w:sz w:val="18"/>
              </w:rPr>
              <w:t>-10,000,000.00</w:t>
            </w: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重庆三河华立商务有限公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4,000,000.00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98"/>
              <w:jc w:val="right"/>
              <w:rPr>
                <w:rFonts w:ascii="Century Gothic" w:hAnsi="Century Gothic" w:cs="Century Gothic" w:eastAsia="Century Gothic" w:hint="default"/>
                <w:sz w:val="18"/>
                <w:szCs w:val="18"/>
              </w:rPr>
            </w:pPr>
            <w:r>
              <w:rPr>
                <w:rFonts w:ascii="Century Gothic"/>
                <w:spacing w:val="-1"/>
                <w:sz w:val="18"/>
              </w:rPr>
              <w:t>4,000,000.00</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138" w:right="0"/>
              <w:jc w:val="center"/>
              <w:rPr>
                <w:rFonts w:ascii="Century Gothic" w:hAnsi="Century Gothic" w:cs="Century Gothic" w:eastAsia="Century Gothic" w:hint="default"/>
                <w:sz w:val="18"/>
                <w:szCs w:val="18"/>
              </w:rPr>
            </w:pPr>
            <w:r>
              <w:rPr>
                <w:rFonts w:ascii="Century Gothic"/>
                <w:sz w:val="18"/>
              </w:rPr>
              <w:t>-4,000,000.00</w:t>
            </w: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安挺医药有限公司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808,320.00</w:t>
            </w:r>
            <w:r>
              <w:rPr>
                <w:rFonts w:ascii="Century Gothic"/>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spacing w:val="-1"/>
                <w:sz w:val="18"/>
              </w:rPr>
              <w:t>2,828,975.86</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38" w:right="0"/>
              <w:jc w:val="center"/>
              <w:rPr>
                <w:rFonts w:ascii="Century Gothic" w:hAnsi="Century Gothic" w:cs="Century Gothic" w:eastAsia="Century Gothic" w:hint="default"/>
                <w:sz w:val="18"/>
                <w:szCs w:val="18"/>
              </w:rPr>
            </w:pPr>
            <w:r>
              <w:rPr>
                <w:rFonts w:ascii="Century Gothic"/>
                <w:sz w:val="18"/>
              </w:rPr>
              <w:t>-1,264,220.41</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Century Gothic" w:hAnsi="Century Gothic" w:cs="Century Gothic" w:eastAsia="Century Gothic" w:hint="default"/>
                <w:sz w:val="18"/>
                <w:szCs w:val="18"/>
              </w:rPr>
            </w:pPr>
            <w:r>
              <w:rPr>
                <w:rFonts w:ascii="Century Gothic"/>
                <w:spacing w:val="-1"/>
                <w:sz w:val="18"/>
              </w:rPr>
              <w:t>1,564,755.45</w:t>
            </w:r>
          </w:p>
        </w:tc>
      </w:tr>
      <w:tr>
        <w:trPr>
          <w:trHeight w:val="299"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31" w:lineRule="exact"/>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9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615,741,074.46</w:t>
            </w:r>
            <w:r>
              <w:rPr>
                <w:rFonts w:ascii="Century Gothic"/>
                <w:b/>
                <w:w w:val="95"/>
                <w:sz w:val="18"/>
              </w:rPr>
            </w:r>
            <w:r>
              <w:rPr>
                <w:rFonts w:ascii="Century Gothic"/>
                <w:sz w:val="18"/>
              </w:rPr>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422,761,730.32</w:t>
            </w:r>
            <w:r>
              <w:rPr>
                <w:rFonts w:ascii="Century Gothic"/>
                <w:b/>
                <w:w w:val="95"/>
                <w:sz w:val="18"/>
              </w:rPr>
            </w:r>
            <w:r>
              <w:rPr>
                <w:rFonts w:ascii="Century Gothic"/>
                <w:sz w:val="18"/>
              </w:rPr>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87" w:right="0"/>
              <w:jc w:val="center"/>
              <w:rPr>
                <w:rFonts w:ascii="Century Gothic" w:hAnsi="Century Gothic" w:cs="Century Gothic" w:eastAsia="Century Gothic" w:hint="default"/>
                <w:sz w:val="18"/>
                <w:szCs w:val="18"/>
              </w:rPr>
            </w:pPr>
            <w:r>
              <w:rPr>
                <w:rFonts w:ascii="Century Gothic"/>
                <w:b/>
                <w:w w:val="99"/>
                <w:sz w:val="18"/>
              </w:rPr>
            </w:r>
            <w:r>
              <w:rPr>
                <w:rFonts w:ascii="Century Gothic"/>
                <w:b/>
                <w:sz w:val="18"/>
                <w:u w:val="single" w:color="000000"/>
              </w:rPr>
              <w:t>64,844,107.03</w:t>
            </w:r>
            <w:r>
              <w:rPr>
                <w:rFonts w:ascii="Century Gothic"/>
                <w:b/>
                <w:sz w:val="18"/>
              </w:rPr>
            </w:r>
            <w:r>
              <w:rPr>
                <w:rFonts w:ascii="Century Gothic"/>
                <w:sz w:val="18"/>
              </w:rPr>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6"/>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487,605,837.35</w:t>
            </w:r>
            <w:r>
              <w:rPr>
                <w:rFonts w:ascii="Century Gothic"/>
                <w:b/>
                <w:w w:val="95"/>
                <w:sz w:val="18"/>
              </w:rPr>
            </w:r>
            <w:r>
              <w:rPr>
                <w:rFonts w:ascii="Century Gothic"/>
                <w:sz w:val="18"/>
              </w:rPr>
            </w:r>
          </w:p>
        </w:tc>
      </w:tr>
      <w:tr>
        <w:trPr>
          <w:trHeight w:val="562"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2"/>
              <w:ind w:left="67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firstLine="21"/>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91"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例（</w:t>
            </w:r>
            <w:r>
              <w:rPr>
                <w:rFonts w:ascii="Century Gothic" w:hAnsi="Century Gothic" w:cs="Century Gothic" w:eastAsia="Century Gothic" w:hint="default"/>
                <w:spacing w:val="-4"/>
                <w:sz w:val="21"/>
                <w:szCs w:val="21"/>
              </w:rPr>
              <w:t>%</w:t>
            </w:r>
            <w:r>
              <w:rPr>
                <w:rFonts w:ascii="宋体" w:hAnsi="宋体" w:cs="宋体" w:eastAsia="宋体" w:hint="default"/>
                <w:spacing w:val="-4"/>
                <w:sz w:val="21"/>
                <w:szCs w:val="21"/>
              </w:rPr>
              <w:t>）</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表决权比例</w:t>
            </w:r>
          </w:p>
          <w:p>
            <w:pPr>
              <w:pStyle w:val="TableParagraph"/>
              <w:spacing w:line="291"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Century Gothic" w:hAnsi="Century Gothic" w:cs="Century Gothic" w:eastAsia="Century Gothic" w:hint="default"/>
                <w:sz w:val="21"/>
                <w:szCs w:val="21"/>
              </w:rPr>
              <w:t>%</w:t>
            </w:r>
            <w:r>
              <w:rPr>
                <w:rFonts w:ascii="宋体" w:hAnsi="宋体" w:cs="宋体" w:eastAsia="宋体" w:hint="default"/>
                <w:sz w:val="21"/>
                <w:szCs w:val="21"/>
              </w:rPr>
              <w:t>）</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4"/>
              <w:jc w:val="right"/>
              <w:rPr>
                <w:rFonts w:ascii="宋体" w:hAnsi="宋体" w:cs="宋体" w:eastAsia="宋体" w:hint="default"/>
                <w:sz w:val="21"/>
                <w:szCs w:val="21"/>
              </w:rPr>
            </w:pPr>
            <w:r>
              <w:rPr>
                <w:rFonts w:ascii="宋体" w:hAnsi="宋体" w:cs="宋体" w:eastAsia="宋体" w:hint="default"/>
                <w:sz w:val="21"/>
                <w:szCs w:val="21"/>
              </w:rPr>
              <w:t>减值准备金额</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本年计提减</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值准备金额</w:t>
            </w: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right="128"/>
              <w:jc w:val="right"/>
              <w:rPr>
                <w:rFonts w:ascii="宋体" w:hAnsi="宋体" w:cs="宋体" w:eastAsia="宋体" w:hint="default"/>
                <w:sz w:val="21"/>
                <w:szCs w:val="21"/>
              </w:rPr>
            </w:pPr>
            <w:r>
              <w:rPr>
                <w:rFonts w:ascii="宋体" w:hAnsi="宋体" w:cs="宋体" w:eastAsia="宋体" w:hint="default"/>
                <w:sz w:val="21"/>
                <w:szCs w:val="21"/>
              </w:rPr>
              <w:t>本年现金红利</w:t>
            </w:r>
          </w:p>
        </w:tc>
      </w:tr>
      <w:tr>
        <w:trPr>
          <w:trHeight w:val="484" w:hRule="exact"/>
        </w:trPr>
        <w:tc>
          <w:tcPr>
            <w:tcW w:w="2380"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华立仪表集团股份有限公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57.17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57.17</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0"/>
        <w:ind w:left="4577" w:right="4577" w:firstLine="0"/>
        <w:jc w:val="center"/>
        <w:rPr>
          <w:rFonts w:ascii="Times New Roman" w:hAnsi="Times New Roman" w:cs="Times New Roman" w:eastAsia="Times New Roman" w:hint="default"/>
          <w:sz w:val="18"/>
          <w:szCs w:val="18"/>
        </w:rPr>
      </w:pPr>
      <w:r>
        <w:rPr>
          <w:rFonts w:ascii="Times New Roman"/>
          <w:sz w:val="18"/>
        </w:rPr>
        <w:t>103</w:t>
      </w:r>
    </w:p>
    <w:p>
      <w:pPr>
        <w:spacing w:after="0"/>
        <w:jc w:val="center"/>
        <w:rPr>
          <w:rFonts w:ascii="Times New Roman" w:hAnsi="Times New Roman" w:cs="Times New Roman" w:eastAsia="Times New Roman" w:hint="default"/>
          <w:sz w:val="18"/>
          <w:szCs w:val="18"/>
        </w:rPr>
        <w:sectPr>
          <w:pgSz w:w="11910" w:h="16840"/>
          <w:pgMar w:top="780" w:bottom="280" w:left="1280" w:right="1160"/>
        </w:sectPr>
      </w:pPr>
    </w:p>
    <w:p>
      <w:pPr>
        <w:spacing w:line="240" w:lineRule="auto" w:before="6"/>
        <w:rPr>
          <w:rFonts w:ascii="Times New Roman" w:hAnsi="Times New Roman" w:cs="Times New Roman" w:eastAsia="Times New Roman" w:hint="default"/>
          <w:sz w:val="23"/>
          <w:szCs w:val="23"/>
        </w:rPr>
      </w:pPr>
    </w:p>
    <w:p>
      <w:pPr>
        <w:pStyle w:val="Heading4"/>
        <w:tabs>
          <w:tab w:pos="7366" w:val="left" w:leader="none"/>
        </w:tabs>
        <w:spacing w:line="240" w:lineRule="auto"/>
        <w:ind w:left="3634" w:right="0"/>
        <w:jc w:val="left"/>
        <w:rPr>
          <w:b w:val="0"/>
          <w:bCs w:val="0"/>
        </w:rPr>
      </w:pPr>
      <w:r>
        <w:rPr/>
        <w:pict>
          <v:shape style="position:absolute;margin-left:64.860001pt;margin-top:-9.926001pt;width:84.0pt;height:23.94pt;mso-position-horizontal-relative:page;mso-position-vertical-relative:paragraph;z-index:6712"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tbl>
      <w:tblPr>
        <w:tblW w:w="0" w:type="auto"/>
        <w:jc w:val="left"/>
        <w:tblInd w:w="106" w:type="dxa"/>
        <w:tblLayout w:type="fixed"/>
        <w:tblCellMar>
          <w:top w:w="0" w:type="dxa"/>
          <w:left w:w="0" w:type="dxa"/>
          <w:bottom w:w="0" w:type="dxa"/>
          <w:right w:w="0" w:type="dxa"/>
        </w:tblCellMar>
        <w:tblLook w:val="01E0"/>
      </w:tblPr>
      <w:tblGrid>
        <w:gridCol w:w="2388"/>
        <w:gridCol w:w="890"/>
        <w:gridCol w:w="1476"/>
        <w:gridCol w:w="1487"/>
        <w:gridCol w:w="1463"/>
        <w:gridCol w:w="1522"/>
      </w:tblGrid>
      <w:tr>
        <w:trPr>
          <w:trHeight w:val="497" w:hRule="exact"/>
        </w:trPr>
        <w:tc>
          <w:tcPr>
            <w:tcW w:w="2388" w:type="dxa"/>
            <w:tcBorders>
              <w:top w:val="single" w:sz="17" w:space="0" w:color="000000"/>
              <w:left w:val="nil" w:sz="6" w:space="0" w:color="auto"/>
              <w:bottom w:val="single" w:sz="6" w:space="0" w:color="000000"/>
              <w:right w:val="single" w:sz="6" w:space="0" w:color="000000"/>
            </w:tcBorders>
          </w:tcPr>
          <w:p>
            <w:pPr>
              <w:pStyle w:val="TableParagraph"/>
              <w:spacing w:line="206" w:lineRule="exact"/>
              <w:ind w:left="130" w:right="0"/>
              <w:jc w:val="left"/>
              <w:rPr>
                <w:rFonts w:ascii="宋体" w:hAnsi="宋体" w:cs="宋体" w:eastAsia="宋体" w:hint="default"/>
                <w:sz w:val="18"/>
                <w:szCs w:val="18"/>
              </w:rPr>
            </w:pPr>
            <w:r>
              <w:rPr>
                <w:rFonts w:ascii="宋体" w:hAnsi="宋体" w:cs="宋体" w:eastAsia="宋体" w:hint="default"/>
                <w:spacing w:val="14"/>
                <w:sz w:val="18"/>
                <w:szCs w:val="18"/>
              </w:rPr>
              <w:t>重庆华立武陵山制药有限</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3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9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25"/>
              <w:ind w:left="213" w:right="0"/>
              <w:jc w:val="left"/>
              <w:rPr>
                <w:rFonts w:ascii="Century Gothic" w:hAnsi="Century Gothic" w:cs="Century Gothic" w:eastAsia="Century Gothic" w:hint="default"/>
                <w:sz w:val="18"/>
                <w:szCs w:val="18"/>
              </w:rPr>
            </w:pPr>
            <w:r>
              <w:rPr>
                <w:rFonts w:ascii="Century Gothic"/>
                <w:sz w:val="18"/>
              </w:rPr>
              <w:t>91.00</w:t>
            </w:r>
          </w:p>
        </w:tc>
        <w:tc>
          <w:tcPr>
            <w:tcW w:w="147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91.00</w:t>
            </w:r>
          </w:p>
        </w:tc>
        <w:tc>
          <w:tcPr>
            <w:tcW w:w="1487" w:type="dxa"/>
            <w:tcBorders>
              <w:top w:val="single" w:sz="17" w:space="0" w:color="000000"/>
              <w:left w:val="single" w:sz="6" w:space="0" w:color="000000"/>
              <w:bottom w:val="single" w:sz="6" w:space="0" w:color="000000"/>
              <w:right w:val="single" w:sz="6" w:space="0" w:color="000000"/>
            </w:tcBorders>
          </w:tcPr>
          <w:p>
            <w:pPr/>
          </w:p>
        </w:tc>
        <w:tc>
          <w:tcPr>
            <w:tcW w:w="1463" w:type="dxa"/>
            <w:tcBorders>
              <w:top w:val="single" w:sz="17" w:space="0" w:color="000000"/>
              <w:left w:val="single" w:sz="6" w:space="0" w:color="000000"/>
              <w:bottom w:val="single" w:sz="6" w:space="0" w:color="000000"/>
              <w:right w:val="single" w:sz="6" w:space="0" w:color="000000"/>
            </w:tcBorders>
          </w:tcPr>
          <w:p>
            <w:pPr/>
          </w:p>
        </w:tc>
        <w:tc>
          <w:tcPr>
            <w:tcW w:w="1522" w:type="dxa"/>
            <w:tcBorders>
              <w:top w:val="single" w:sz="17" w:space="0" w:color="000000"/>
              <w:left w:val="single" w:sz="6" w:space="0" w:color="000000"/>
              <w:bottom w:val="single" w:sz="6" w:space="0" w:color="000000"/>
              <w:right w:val="nil" w:sz="6" w:space="0" w:color="auto"/>
            </w:tcBorders>
          </w:tcPr>
          <w:p>
            <w:pPr/>
          </w:p>
        </w:tc>
      </w:tr>
      <w:tr>
        <w:trPr>
          <w:trHeight w:val="300" w:hRule="exact"/>
        </w:trPr>
        <w:tc>
          <w:tcPr>
            <w:tcW w:w="2388"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30" w:right="0"/>
              <w:jc w:val="left"/>
              <w:rPr>
                <w:rFonts w:ascii="宋体" w:hAnsi="宋体" w:cs="宋体" w:eastAsia="宋体" w:hint="default"/>
                <w:sz w:val="18"/>
                <w:szCs w:val="18"/>
              </w:rPr>
            </w:pPr>
            <w:r>
              <w:rPr>
                <w:rFonts w:ascii="宋体" w:hAnsi="宋体" w:cs="宋体" w:eastAsia="宋体" w:hint="default"/>
                <w:sz w:val="18"/>
                <w:szCs w:val="18"/>
              </w:rPr>
              <w:t>湘西华立制药有限公司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13" w:right="0"/>
              <w:jc w:val="left"/>
              <w:rPr>
                <w:rFonts w:ascii="Century Gothic" w:hAnsi="Century Gothic" w:cs="Century Gothic" w:eastAsia="Century Gothic" w:hint="default"/>
                <w:sz w:val="18"/>
                <w:szCs w:val="18"/>
              </w:rPr>
            </w:pPr>
            <w:r>
              <w:rPr>
                <w:rFonts w:ascii="Century Gothic"/>
                <w:sz w:val="18"/>
              </w:rPr>
              <w:t>96.85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Century Gothic" w:hAnsi="Century Gothic" w:cs="Century Gothic" w:eastAsia="Century Gothic" w:hint="default"/>
                <w:sz w:val="18"/>
                <w:szCs w:val="18"/>
              </w:rPr>
            </w:pPr>
            <w:r>
              <w:rPr>
                <w:rFonts w:ascii="Century Gothic"/>
                <w:sz w:val="18"/>
              </w:rPr>
              <w:t>96.85</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388"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30" w:right="0"/>
              <w:jc w:val="left"/>
              <w:rPr>
                <w:rFonts w:ascii="宋体" w:hAnsi="宋体" w:cs="宋体" w:eastAsia="宋体" w:hint="default"/>
                <w:sz w:val="18"/>
                <w:szCs w:val="18"/>
              </w:rPr>
            </w:pPr>
            <w:r>
              <w:rPr>
                <w:rFonts w:ascii="宋体" w:hAnsi="宋体" w:cs="宋体" w:eastAsia="宋体" w:hint="default"/>
                <w:sz w:val="18"/>
                <w:szCs w:val="18"/>
              </w:rPr>
              <w:t>广州华立健药业有限公司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13" w:right="0"/>
              <w:jc w:val="left"/>
              <w:rPr>
                <w:rFonts w:ascii="Century Gothic" w:hAnsi="Century Gothic" w:cs="Century Gothic" w:eastAsia="Century Gothic" w:hint="default"/>
                <w:sz w:val="18"/>
                <w:szCs w:val="18"/>
              </w:rPr>
            </w:pPr>
            <w:r>
              <w:rPr>
                <w:rFonts w:ascii="Century Gothic"/>
                <w:sz w:val="18"/>
              </w:rPr>
              <w:t>75.00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Century Gothic" w:hAnsi="Century Gothic" w:cs="Century Gothic" w:eastAsia="Century Gothic" w:hint="default"/>
                <w:sz w:val="18"/>
                <w:szCs w:val="18"/>
              </w:rPr>
            </w:pPr>
            <w:r>
              <w:rPr>
                <w:rFonts w:ascii="Century Gothic"/>
                <w:sz w:val="18"/>
              </w:rPr>
              <w:t>75.00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8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30" w:right="0"/>
              <w:jc w:val="left"/>
              <w:rPr>
                <w:rFonts w:ascii="宋体" w:hAnsi="宋体" w:cs="宋体" w:eastAsia="宋体" w:hint="default"/>
                <w:sz w:val="18"/>
                <w:szCs w:val="18"/>
              </w:rPr>
            </w:pPr>
            <w:r>
              <w:rPr>
                <w:rFonts w:ascii="宋体" w:hAnsi="宋体" w:cs="宋体" w:eastAsia="宋体" w:hint="default"/>
                <w:spacing w:val="14"/>
                <w:sz w:val="18"/>
                <w:szCs w:val="18"/>
              </w:rPr>
              <w:t>北京华立科泰制药有限公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3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3" w:right="0"/>
              <w:jc w:val="left"/>
              <w:rPr>
                <w:rFonts w:ascii="Century Gothic" w:hAnsi="Century Gothic" w:cs="Century Gothic" w:eastAsia="Century Gothic" w:hint="default"/>
                <w:sz w:val="18"/>
                <w:szCs w:val="18"/>
              </w:rPr>
            </w:pPr>
            <w:r>
              <w:rPr>
                <w:rFonts w:ascii="Century Gothic"/>
                <w:sz w:val="18"/>
              </w:rPr>
              <w:t>99.52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99.52</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484" w:hRule="exact"/>
        </w:trPr>
        <w:tc>
          <w:tcPr>
            <w:tcW w:w="238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30" w:right="0"/>
              <w:jc w:val="left"/>
              <w:rPr>
                <w:rFonts w:ascii="宋体" w:hAnsi="宋体" w:cs="宋体" w:eastAsia="宋体" w:hint="default"/>
                <w:sz w:val="18"/>
                <w:szCs w:val="18"/>
              </w:rPr>
            </w:pPr>
            <w:r>
              <w:rPr>
                <w:rFonts w:ascii="宋体" w:hAnsi="宋体" w:cs="宋体" w:eastAsia="宋体" w:hint="default"/>
                <w:spacing w:val="14"/>
                <w:sz w:val="18"/>
                <w:szCs w:val="18"/>
              </w:rPr>
              <w:t>浙江华立南湖制药有限公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3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3" w:right="0"/>
              <w:jc w:val="left"/>
              <w:rPr>
                <w:rFonts w:ascii="Century Gothic" w:hAnsi="Century Gothic" w:cs="Century Gothic" w:eastAsia="Century Gothic" w:hint="default"/>
                <w:sz w:val="18"/>
                <w:szCs w:val="18"/>
              </w:rPr>
            </w:pPr>
            <w:r>
              <w:rPr>
                <w:rFonts w:ascii="Century Gothic"/>
                <w:sz w:val="18"/>
              </w:rPr>
              <w:t>70.00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70.00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388"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30" w:right="0"/>
              <w:jc w:val="left"/>
              <w:rPr>
                <w:rFonts w:ascii="宋体" w:hAnsi="宋体" w:cs="宋体" w:eastAsia="宋体" w:hint="default"/>
                <w:sz w:val="18"/>
                <w:szCs w:val="18"/>
              </w:rPr>
            </w:pPr>
            <w:r>
              <w:rPr>
                <w:rFonts w:ascii="宋体" w:hAnsi="宋体" w:cs="宋体" w:eastAsia="宋体" w:hint="default"/>
                <w:sz w:val="18"/>
                <w:szCs w:val="18"/>
              </w:rPr>
              <w:t>重庆美联制药有限公司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13" w:right="0"/>
              <w:jc w:val="left"/>
              <w:rPr>
                <w:rFonts w:ascii="Century Gothic" w:hAnsi="Century Gothic" w:cs="Century Gothic" w:eastAsia="Century Gothic" w:hint="default"/>
                <w:sz w:val="18"/>
                <w:szCs w:val="18"/>
              </w:rPr>
            </w:pPr>
            <w:r>
              <w:rPr>
                <w:rFonts w:ascii="Century Gothic"/>
                <w:sz w:val="18"/>
              </w:rPr>
              <w:t>70.00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Century Gothic" w:hAnsi="Century Gothic" w:cs="Century Gothic" w:eastAsia="Century Gothic" w:hint="default"/>
                <w:sz w:val="18"/>
                <w:szCs w:val="18"/>
              </w:rPr>
            </w:pPr>
            <w:r>
              <w:rPr>
                <w:rFonts w:ascii="Century Gothic"/>
                <w:sz w:val="18"/>
              </w:rPr>
              <w:t>70.00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0"/>
              <w:jc w:val="right"/>
              <w:rPr>
                <w:rFonts w:ascii="Century Gothic" w:hAnsi="Century Gothic" w:cs="Century Gothic" w:eastAsia="Century Gothic" w:hint="default"/>
                <w:sz w:val="18"/>
                <w:szCs w:val="18"/>
              </w:rPr>
            </w:pPr>
            <w:r>
              <w:rPr>
                <w:rFonts w:ascii="Century Gothic"/>
                <w:spacing w:val="-1"/>
                <w:sz w:val="18"/>
              </w:rPr>
              <w:t>32,076,800.00</w:t>
            </w: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8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30" w:right="0"/>
              <w:jc w:val="left"/>
              <w:rPr>
                <w:rFonts w:ascii="宋体" w:hAnsi="宋体" w:cs="宋体" w:eastAsia="宋体" w:hint="default"/>
                <w:sz w:val="18"/>
                <w:szCs w:val="18"/>
              </w:rPr>
            </w:pPr>
            <w:r>
              <w:rPr>
                <w:rFonts w:ascii="宋体" w:hAnsi="宋体" w:cs="宋体" w:eastAsia="宋体" w:hint="default"/>
                <w:spacing w:val="14"/>
                <w:sz w:val="18"/>
                <w:szCs w:val="18"/>
              </w:rPr>
              <w:t>云南工业大麻股份有限公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3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3" w:right="0"/>
              <w:jc w:val="left"/>
              <w:rPr>
                <w:rFonts w:ascii="Century Gothic" w:hAnsi="Century Gothic" w:cs="Century Gothic" w:eastAsia="Century Gothic" w:hint="default"/>
                <w:sz w:val="18"/>
                <w:szCs w:val="18"/>
              </w:rPr>
            </w:pPr>
            <w:r>
              <w:rPr>
                <w:rFonts w:ascii="Century Gothic"/>
                <w:sz w:val="18"/>
              </w:rPr>
              <w:t>80.66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80.66</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484" w:hRule="exact"/>
        </w:trPr>
        <w:tc>
          <w:tcPr>
            <w:tcW w:w="238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30" w:right="0"/>
              <w:jc w:val="left"/>
              <w:rPr>
                <w:rFonts w:ascii="宋体" w:hAnsi="宋体" w:cs="宋体" w:eastAsia="宋体" w:hint="default"/>
                <w:sz w:val="18"/>
                <w:szCs w:val="18"/>
              </w:rPr>
            </w:pPr>
            <w:r>
              <w:rPr>
                <w:rFonts w:ascii="宋体" w:hAnsi="宋体" w:cs="宋体" w:eastAsia="宋体" w:hint="default"/>
                <w:spacing w:val="14"/>
                <w:sz w:val="18"/>
                <w:szCs w:val="18"/>
              </w:rPr>
              <w:t>北京华立九州医药有限公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3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3" w:right="0"/>
              <w:jc w:val="left"/>
              <w:rPr>
                <w:rFonts w:ascii="Century Gothic" w:hAnsi="Century Gothic" w:cs="Century Gothic" w:eastAsia="Century Gothic" w:hint="default"/>
                <w:sz w:val="18"/>
                <w:szCs w:val="18"/>
              </w:rPr>
            </w:pPr>
            <w:r>
              <w:rPr>
                <w:rFonts w:ascii="Century Gothic"/>
                <w:sz w:val="18"/>
              </w:rPr>
              <w:t>88.24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88.24</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388"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30" w:right="0"/>
              <w:jc w:val="left"/>
              <w:rPr>
                <w:rFonts w:ascii="宋体" w:hAnsi="宋体" w:cs="宋体" w:eastAsia="宋体" w:hint="default"/>
                <w:sz w:val="18"/>
                <w:szCs w:val="18"/>
              </w:rPr>
            </w:pPr>
            <w:r>
              <w:rPr>
                <w:rFonts w:ascii="宋体" w:hAnsi="宋体" w:cs="宋体" w:eastAsia="宋体" w:hint="default"/>
                <w:sz w:val="18"/>
                <w:szCs w:val="18"/>
              </w:rPr>
              <w:t>四川同人泰药业有限公司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13" w:right="0"/>
              <w:jc w:val="left"/>
              <w:rPr>
                <w:rFonts w:ascii="Century Gothic" w:hAnsi="Century Gothic" w:cs="Century Gothic" w:eastAsia="Century Gothic" w:hint="default"/>
                <w:sz w:val="18"/>
                <w:szCs w:val="18"/>
              </w:rPr>
            </w:pPr>
            <w:r>
              <w:rPr>
                <w:rFonts w:ascii="Century Gothic"/>
                <w:sz w:val="18"/>
              </w:rPr>
              <w:t>65.24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Century Gothic" w:hAnsi="Century Gothic" w:cs="Century Gothic" w:eastAsia="Century Gothic" w:hint="default"/>
                <w:sz w:val="18"/>
                <w:szCs w:val="18"/>
              </w:rPr>
            </w:pPr>
            <w:r>
              <w:rPr>
                <w:rFonts w:ascii="Century Gothic"/>
                <w:sz w:val="18"/>
              </w:rPr>
              <w:t>65.24</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484" w:hRule="exact"/>
        </w:trPr>
        <w:tc>
          <w:tcPr>
            <w:tcW w:w="238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30" w:right="0"/>
              <w:jc w:val="left"/>
              <w:rPr>
                <w:rFonts w:ascii="宋体" w:hAnsi="宋体" w:cs="宋体" w:eastAsia="宋体" w:hint="default"/>
                <w:sz w:val="18"/>
                <w:szCs w:val="18"/>
              </w:rPr>
            </w:pPr>
            <w:r>
              <w:rPr>
                <w:rFonts w:ascii="宋体" w:hAnsi="宋体" w:cs="宋体" w:eastAsia="宋体" w:hint="default"/>
                <w:spacing w:val="14"/>
                <w:sz w:val="18"/>
                <w:szCs w:val="18"/>
              </w:rPr>
              <w:t>洪雅美联曼地亚红豆杉种</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30" w:right="0"/>
              <w:jc w:val="left"/>
              <w:rPr>
                <w:rFonts w:ascii="宋体" w:hAnsi="宋体" w:cs="宋体" w:eastAsia="宋体" w:hint="default"/>
                <w:sz w:val="18"/>
                <w:szCs w:val="18"/>
              </w:rPr>
            </w:pPr>
            <w:r>
              <w:rPr>
                <w:rFonts w:ascii="宋体" w:hAnsi="宋体" w:cs="宋体" w:eastAsia="宋体" w:hint="default"/>
                <w:sz w:val="18"/>
                <w:szCs w:val="18"/>
              </w:rPr>
              <w:t>植有限公司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3" w:right="0"/>
              <w:jc w:val="left"/>
              <w:rPr>
                <w:rFonts w:ascii="Century Gothic" w:hAnsi="Century Gothic" w:cs="Century Gothic" w:eastAsia="Century Gothic" w:hint="default"/>
                <w:sz w:val="18"/>
                <w:szCs w:val="18"/>
              </w:rPr>
            </w:pPr>
            <w:r>
              <w:rPr>
                <w:rFonts w:ascii="Century Gothic"/>
                <w:sz w:val="18"/>
              </w:rPr>
              <w:t>80.00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80.00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388"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30" w:right="0"/>
              <w:jc w:val="left"/>
              <w:rPr>
                <w:rFonts w:ascii="宋体" w:hAnsi="宋体" w:cs="宋体" w:eastAsia="宋体" w:hint="default"/>
                <w:sz w:val="18"/>
                <w:szCs w:val="18"/>
              </w:rPr>
            </w:pPr>
            <w:r>
              <w:rPr>
                <w:rFonts w:ascii="宋体" w:hAnsi="宋体" w:cs="宋体" w:eastAsia="宋体" w:hint="default"/>
                <w:sz w:val="18"/>
                <w:szCs w:val="18"/>
              </w:rPr>
              <w:t>重庆福瑞制药有限公司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13" w:right="0"/>
              <w:jc w:val="left"/>
              <w:rPr>
                <w:rFonts w:ascii="Century Gothic" w:hAnsi="Century Gothic" w:cs="Century Gothic" w:eastAsia="Century Gothic" w:hint="default"/>
                <w:sz w:val="18"/>
                <w:szCs w:val="18"/>
              </w:rPr>
            </w:pPr>
            <w:r>
              <w:rPr>
                <w:rFonts w:ascii="Century Gothic"/>
                <w:sz w:val="18"/>
              </w:rPr>
              <w:t>60.00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Century Gothic" w:hAnsi="Century Gothic" w:cs="Century Gothic" w:eastAsia="Century Gothic" w:hint="default"/>
                <w:sz w:val="18"/>
                <w:szCs w:val="18"/>
              </w:rPr>
            </w:pPr>
            <w:r>
              <w:rPr>
                <w:rFonts w:ascii="Century Gothic"/>
                <w:sz w:val="18"/>
              </w:rPr>
              <w:t>60.00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482" w:hRule="exact"/>
        </w:trPr>
        <w:tc>
          <w:tcPr>
            <w:tcW w:w="238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30" w:right="0"/>
              <w:jc w:val="left"/>
              <w:rPr>
                <w:rFonts w:ascii="宋体" w:hAnsi="宋体" w:cs="宋体" w:eastAsia="宋体" w:hint="default"/>
                <w:sz w:val="18"/>
                <w:szCs w:val="18"/>
              </w:rPr>
            </w:pPr>
            <w:r>
              <w:rPr>
                <w:rFonts w:ascii="宋体" w:hAnsi="宋体" w:cs="宋体" w:eastAsia="宋体" w:hint="default"/>
                <w:spacing w:val="14"/>
                <w:sz w:val="18"/>
                <w:szCs w:val="18"/>
              </w:rPr>
              <w:t>重庆三河华立商务有限公</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5" w:lineRule="exact"/>
              <w:ind w:left="13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13" w:right="0"/>
              <w:jc w:val="left"/>
              <w:rPr>
                <w:rFonts w:ascii="Century Gothic" w:hAnsi="Century Gothic" w:cs="Century Gothic" w:eastAsia="Century Gothic" w:hint="default"/>
                <w:sz w:val="18"/>
                <w:szCs w:val="18"/>
              </w:rPr>
            </w:pPr>
            <w:r>
              <w:rPr>
                <w:rFonts w:ascii="Century Gothic"/>
                <w:sz w:val="18"/>
              </w:rPr>
              <w:t>40.00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right="1"/>
              <w:jc w:val="center"/>
              <w:rPr>
                <w:rFonts w:ascii="Century Gothic" w:hAnsi="Century Gothic" w:cs="Century Gothic" w:eastAsia="Century Gothic" w:hint="default"/>
                <w:sz w:val="18"/>
                <w:szCs w:val="18"/>
              </w:rPr>
            </w:pPr>
            <w:r>
              <w:rPr>
                <w:rFonts w:ascii="Century Gothic"/>
                <w:sz w:val="18"/>
              </w:rPr>
              <w:t>40.00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
        </w:tc>
      </w:tr>
      <w:tr>
        <w:trPr>
          <w:trHeight w:val="299" w:hRule="exact"/>
        </w:trPr>
        <w:tc>
          <w:tcPr>
            <w:tcW w:w="2388" w:type="dxa"/>
            <w:tcBorders>
              <w:top w:val="single" w:sz="6" w:space="0" w:color="000000"/>
              <w:left w:val="nil" w:sz="6" w:space="0" w:color="auto"/>
              <w:bottom w:val="single" w:sz="6" w:space="0" w:color="000000"/>
              <w:right w:val="single" w:sz="6" w:space="0" w:color="000000"/>
            </w:tcBorders>
          </w:tcPr>
          <w:p>
            <w:pPr>
              <w:pStyle w:val="TableParagraph"/>
              <w:spacing w:line="207" w:lineRule="exact"/>
              <w:ind w:left="130" w:right="0"/>
              <w:jc w:val="left"/>
              <w:rPr>
                <w:rFonts w:ascii="宋体" w:hAnsi="宋体" w:cs="宋体" w:eastAsia="宋体" w:hint="default"/>
                <w:sz w:val="18"/>
                <w:szCs w:val="18"/>
              </w:rPr>
            </w:pPr>
            <w:r>
              <w:rPr>
                <w:rFonts w:ascii="宋体" w:hAnsi="宋体" w:cs="宋体" w:eastAsia="宋体" w:hint="default"/>
                <w:sz w:val="18"/>
                <w:szCs w:val="18"/>
              </w:rPr>
              <w:t>安挺医药有限公司</w:t>
            </w:r>
          </w:p>
        </w:tc>
        <w:tc>
          <w:tcPr>
            <w:tcW w:w="8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213" w:right="0"/>
              <w:jc w:val="left"/>
              <w:rPr>
                <w:rFonts w:ascii="Century Gothic" w:hAnsi="Century Gothic" w:cs="Century Gothic" w:eastAsia="Century Gothic" w:hint="default"/>
                <w:sz w:val="18"/>
                <w:szCs w:val="18"/>
              </w:rPr>
            </w:pPr>
            <w:r>
              <w:rPr>
                <w:rFonts w:ascii="Century Gothic"/>
                <w:sz w:val="18"/>
              </w:rPr>
              <w:t>50.00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
              <w:jc w:val="center"/>
              <w:rPr>
                <w:rFonts w:ascii="Century Gothic" w:hAnsi="Century Gothic" w:cs="Century Gothic" w:eastAsia="Century Gothic" w:hint="default"/>
                <w:sz w:val="18"/>
                <w:szCs w:val="18"/>
              </w:rPr>
            </w:pPr>
            <w:r>
              <w:rPr>
                <w:rFonts w:ascii="Century Gothic"/>
                <w:sz w:val="18"/>
              </w:rPr>
              <w:t>50.00</w:t>
            </w:r>
          </w:p>
        </w:tc>
        <w:tc>
          <w:tcPr>
            <w:tcW w:w="1487"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52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107"/>
              <w:jc w:val="right"/>
              <w:rPr>
                <w:rFonts w:ascii="Century Gothic" w:hAnsi="Century Gothic" w:cs="Century Gothic" w:eastAsia="Century Gothic" w:hint="default"/>
                <w:sz w:val="18"/>
                <w:szCs w:val="18"/>
              </w:rPr>
            </w:pPr>
            <w:r>
              <w:rPr>
                <w:rFonts w:ascii="Century Gothic"/>
                <w:spacing w:val="-1"/>
                <w:sz w:val="18"/>
              </w:rPr>
              <w:t>1,264,220.41</w:t>
            </w:r>
          </w:p>
        </w:tc>
      </w:tr>
      <w:tr>
        <w:trPr>
          <w:trHeight w:val="308" w:hRule="exact"/>
        </w:trPr>
        <w:tc>
          <w:tcPr>
            <w:tcW w:w="2388" w:type="dxa"/>
            <w:tcBorders>
              <w:top w:val="single" w:sz="6" w:space="0" w:color="000000"/>
              <w:left w:val="nil" w:sz="6" w:space="0" w:color="auto"/>
              <w:bottom w:val="single" w:sz="12" w:space="0" w:color="000000"/>
              <w:right w:val="single" w:sz="6" w:space="0" w:color="000000"/>
            </w:tcBorders>
          </w:tcPr>
          <w:p>
            <w:pPr>
              <w:pStyle w:val="TableParagraph"/>
              <w:spacing w:line="207" w:lineRule="exact"/>
              <w:ind w:left="2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90" w:type="dxa"/>
            <w:tcBorders>
              <w:top w:val="single" w:sz="6" w:space="0" w:color="000000"/>
              <w:left w:val="single" w:sz="6" w:space="0" w:color="000000"/>
              <w:bottom w:val="single" w:sz="12" w:space="0" w:color="000000"/>
              <w:right w:val="single" w:sz="6" w:space="0" w:color="000000"/>
            </w:tcBorders>
          </w:tcPr>
          <w:p>
            <w:pPr/>
          </w:p>
        </w:tc>
        <w:tc>
          <w:tcPr>
            <w:tcW w:w="1476" w:type="dxa"/>
            <w:tcBorders>
              <w:top w:val="single" w:sz="6" w:space="0" w:color="000000"/>
              <w:left w:val="single" w:sz="6" w:space="0" w:color="000000"/>
              <w:bottom w:val="single" w:sz="12" w:space="0" w:color="000000"/>
              <w:right w:val="single" w:sz="6" w:space="0" w:color="000000"/>
            </w:tcBorders>
          </w:tcPr>
          <w:p>
            <w:pPr/>
          </w:p>
        </w:tc>
        <w:tc>
          <w:tcPr>
            <w:tcW w:w="14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3"/>
              <w:ind w:right="98"/>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32,076,800.00</w:t>
            </w:r>
            <w:r>
              <w:rPr>
                <w:rFonts w:ascii="Century Gothic"/>
                <w:b/>
                <w:w w:val="95"/>
                <w:sz w:val="18"/>
              </w:rPr>
            </w:r>
            <w:r>
              <w:rPr>
                <w:rFonts w:ascii="Century Gothic"/>
                <w:sz w:val="18"/>
              </w:rPr>
            </w:r>
          </w:p>
        </w:tc>
        <w:tc>
          <w:tcPr>
            <w:tcW w:w="1463" w:type="dxa"/>
            <w:tcBorders>
              <w:top w:val="single" w:sz="6" w:space="0" w:color="000000"/>
              <w:left w:val="single" w:sz="6" w:space="0" w:color="000000"/>
              <w:bottom w:val="single" w:sz="12" w:space="0" w:color="000000"/>
              <w:right w:val="single" w:sz="6" w:space="0" w:color="000000"/>
            </w:tcBorders>
          </w:tcPr>
          <w:p>
            <w:pPr/>
          </w:p>
        </w:tc>
        <w:tc>
          <w:tcPr>
            <w:tcW w:w="152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33"/>
              <w:ind w:right="106"/>
              <w:jc w:val="right"/>
              <w:rPr>
                <w:rFonts w:ascii="Century Gothic" w:hAnsi="Century Gothic" w:cs="Century Gothic" w:eastAsia="Century Gothic" w:hint="default"/>
                <w:sz w:val="18"/>
                <w:szCs w:val="18"/>
              </w:rPr>
            </w:pPr>
            <w:r>
              <w:rPr>
                <w:rFonts w:ascii="Century Gothic"/>
                <w:b/>
                <w:w w:val="99"/>
                <w:sz w:val="18"/>
              </w:rPr>
            </w:r>
            <w:r>
              <w:rPr>
                <w:rFonts w:ascii="Century Gothic"/>
                <w:b/>
                <w:w w:val="95"/>
                <w:sz w:val="18"/>
                <w:u w:val="single" w:color="000000"/>
              </w:rPr>
              <w:t>1,264,220.41</w:t>
            </w:r>
            <w:r>
              <w:rPr>
                <w:rFonts w:ascii="Century Gothic"/>
                <w:b/>
                <w:w w:val="95"/>
                <w:sz w:val="18"/>
              </w:rPr>
            </w:r>
            <w:r>
              <w:rPr>
                <w:rFonts w:ascii="Century Gothic"/>
                <w:sz w:val="18"/>
              </w:rPr>
            </w:r>
          </w:p>
        </w:tc>
      </w:tr>
    </w:tbl>
    <w:p>
      <w:pPr>
        <w:pStyle w:val="BodyText"/>
        <w:spacing w:line="343" w:lineRule="auto" w:before="86"/>
        <w:ind w:left="158" w:right="153" w:firstLine="420"/>
        <w:jc w:val="both"/>
      </w:pPr>
      <w:r>
        <w:rPr/>
        <w:t>注</w:t>
      </w:r>
      <w:r>
        <w:rPr>
          <w:spacing w:val="-62"/>
        </w:rPr>
        <w:t> </w:t>
      </w:r>
      <w:r>
        <w:rPr>
          <w:rFonts w:ascii="Century Gothic" w:hAnsi="Century Gothic" w:cs="Century Gothic" w:eastAsia="Century Gothic" w:hint="default"/>
        </w:rPr>
        <w:t>1</w:t>
      </w:r>
      <w:r>
        <w:rPr/>
        <w:t>：根据公司与子公司北京华立科泰制药有限公司签订的股权转让协议，本年公司将其持有南 湖制药</w:t>
      </w:r>
      <w:r>
        <w:rPr>
          <w:spacing w:val="-40"/>
        </w:rPr>
        <w:t> </w:t>
      </w:r>
      <w:r>
        <w:rPr>
          <w:rFonts w:ascii="Century Gothic" w:hAnsi="Century Gothic" w:cs="Century Gothic" w:eastAsia="Century Gothic" w:hint="default"/>
        </w:rPr>
        <w:t>70.00%</w:t>
      </w:r>
      <w:r>
        <w:rPr/>
        <w:t>的股权、湘西制药</w:t>
      </w:r>
      <w:r>
        <w:rPr>
          <w:spacing w:val="-40"/>
        </w:rPr>
        <w:t> </w:t>
      </w:r>
      <w:r>
        <w:rPr>
          <w:rFonts w:ascii="Century Gothic" w:hAnsi="Century Gothic" w:cs="Century Gothic" w:eastAsia="Century Gothic" w:hint="default"/>
        </w:rPr>
        <w:t>96.85%</w:t>
      </w:r>
      <w:r>
        <w:rPr/>
        <w:t>的股权、华武制药</w:t>
      </w:r>
      <w:r>
        <w:rPr>
          <w:spacing w:val="-40"/>
        </w:rPr>
        <w:t> </w:t>
      </w:r>
      <w:r>
        <w:rPr>
          <w:rFonts w:ascii="Century Gothic" w:hAnsi="Century Gothic" w:cs="Century Gothic" w:eastAsia="Century Gothic" w:hint="default"/>
        </w:rPr>
        <w:t>91.00%</w:t>
      </w:r>
      <w:r>
        <w:rPr/>
        <w:t>的股权转让给华立科泰。公司本 </w:t>
      </w:r>
      <w:r>
        <w:rPr>
          <w:spacing w:val="-2"/>
        </w:rPr>
        <w:t>年在结转原始投资成本的同时，对应转销湘西华立制药有限公司及浙江华立南湖制药有限公司长期股</w:t>
      </w:r>
      <w:r>
        <w:rPr>
          <w:spacing w:val="-68"/>
        </w:rPr>
        <w:t> </w:t>
      </w:r>
      <w:r>
        <w:rPr>
          <w:spacing w:val="-68"/>
        </w:rPr>
      </w:r>
      <w:r>
        <w:rPr/>
        <w:t>权投资跌价准备合计</w:t>
      </w:r>
      <w:r>
        <w:rPr>
          <w:spacing w:val="-59"/>
        </w:rPr>
        <w:t> </w:t>
      </w:r>
      <w:r>
        <w:rPr>
          <w:rFonts w:ascii="Century Gothic" w:hAnsi="Century Gothic" w:cs="Century Gothic" w:eastAsia="Century Gothic" w:hint="default"/>
        </w:rPr>
        <w:t>22,886,969.55</w:t>
      </w:r>
      <w:r>
        <w:rPr>
          <w:rFonts w:ascii="Century Gothic" w:hAnsi="Century Gothic" w:cs="Century Gothic" w:eastAsia="Century Gothic" w:hint="default"/>
          <w:spacing w:val="-12"/>
        </w:rPr>
        <w:t> </w:t>
      </w:r>
      <w:r>
        <w:rPr/>
        <w:t>元。</w:t>
      </w:r>
    </w:p>
    <w:p>
      <w:pPr>
        <w:pStyle w:val="BodyText"/>
        <w:spacing w:line="240" w:lineRule="auto" w:before="11"/>
        <w:ind w:left="578" w:right="0"/>
        <w:jc w:val="left"/>
        <w:rPr>
          <w:rFonts w:ascii="Century Gothic" w:hAnsi="Century Gothic" w:cs="Century Gothic" w:eastAsia="Century Gothic" w:hint="default"/>
        </w:rPr>
      </w:pPr>
      <w:r>
        <w:rPr/>
        <w:t>注 </w:t>
      </w:r>
      <w:r>
        <w:rPr>
          <w:rFonts w:ascii="Century Gothic" w:hAnsi="Century Gothic" w:cs="Century Gothic" w:eastAsia="Century Gothic" w:hint="default"/>
        </w:rPr>
        <w:t>2</w:t>
      </w:r>
      <w:r>
        <w:rPr/>
        <w:t>：本年公司对子公司北京华立科泰制药有限公司增资 </w:t>
      </w:r>
      <w:r>
        <w:rPr>
          <w:rFonts w:ascii="Century Gothic" w:hAnsi="Century Gothic" w:cs="Century Gothic" w:eastAsia="Century Gothic" w:hint="default"/>
        </w:rPr>
        <w:t>19,500.00 </w:t>
      </w:r>
      <w:r>
        <w:rPr/>
        <w:t>万元，该事项经公司</w:t>
      </w:r>
      <w:r>
        <w:rPr>
          <w:spacing w:val="-55"/>
        </w:rPr>
        <w:t> </w:t>
      </w:r>
      <w:r>
        <w:rPr>
          <w:rFonts w:ascii="Century Gothic" w:hAnsi="Century Gothic" w:cs="Century Gothic" w:eastAsia="Century Gothic" w:hint="default"/>
        </w:rPr>
        <w:t>2009</w:t>
      </w:r>
    </w:p>
    <w:p>
      <w:pPr>
        <w:pStyle w:val="BodyText"/>
        <w:spacing w:line="240" w:lineRule="auto"/>
        <w:ind w:left="158" w:right="0"/>
        <w:jc w:val="left"/>
      </w:pPr>
      <w:r>
        <w:rPr/>
        <w:t>年第二次临时股东大会审议通过。</w:t>
      </w:r>
    </w:p>
    <w:p>
      <w:pPr>
        <w:pStyle w:val="BodyText"/>
        <w:spacing w:line="338" w:lineRule="auto" w:before="134"/>
        <w:ind w:left="158" w:right="154" w:firstLine="419"/>
        <w:jc w:val="both"/>
      </w:pPr>
      <w:r>
        <w:rPr/>
        <w:t>注</w:t>
      </w:r>
      <w:r>
        <w:rPr>
          <w:spacing w:val="-39"/>
        </w:rPr>
        <w:t> </w:t>
      </w:r>
      <w:r>
        <w:rPr>
          <w:rFonts w:ascii="Century Gothic" w:hAnsi="Century Gothic" w:cs="Century Gothic" w:eastAsia="Century Gothic" w:hint="default"/>
        </w:rPr>
        <w:t>3</w:t>
      </w:r>
      <w:r>
        <w:rPr/>
        <w:t>：</w:t>
      </w:r>
      <w:r>
        <w:rPr>
          <w:rFonts w:ascii="Century Gothic" w:hAnsi="Century Gothic" w:cs="Century Gothic" w:eastAsia="Century Gothic" w:hint="default"/>
        </w:rPr>
        <w:t>2009</w:t>
      </w:r>
      <w:r>
        <w:rPr>
          <w:rFonts w:ascii="Century Gothic" w:hAnsi="Century Gothic" w:cs="Century Gothic" w:eastAsia="Century Gothic" w:hint="default"/>
          <w:spacing w:val="8"/>
        </w:rPr>
        <w:t> </w:t>
      </w:r>
      <w:r>
        <w:rPr/>
        <w:t>年</w:t>
      </w:r>
      <w:r>
        <w:rPr>
          <w:spacing w:val="-39"/>
        </w:rPr>
        <w:t> </w:t>
      </w:r>
      <w:r>
        <w:rPr>
          <w:rFonts w:ascii="Century Gothic" w:hAnsi="Century Gothic" w:cs="Century Gothic" w:eastAsia="Century Gothic" w:hint="default"/>
        </w:rPr>
        <w:t>3</w:t>
      </w:r>
      <w:r>
        <w:rPr>
          <w:rFonts w:ascii="Century Gothic" w:hAnsi="Century Gothic" w:cs="Century Gothic" w:eastAsia="Century Gothic" w:hint="default"/>
          <w:spacing w:val="7"/>
        </w:rPr>
        <w:t> </w:t>
      </w:r>
      <w:r>
        <w:rPr/>
        <w:t>月</w:t>
      </w:r>
      <w:r>
        <w:rPr>
          <w:spacing w:val="-39"/>
        </w:rPr>
        <w:t> </w:t>
      </w:r>
      <w:r>
        <w:rPr>
          <w:rFonts w:ascii="Century Gothic" w:hAnsi="Century Gothic" w:cs="Century Gothic" w:eastAsia="Century Gothic" w:hint="default"/>
        </w:rPr>
        <w:t>5</w:t>
      </w:r>
      <w:r>
        <w:rPr>
          <w:rFonts w:ascii="Century Gothic" w:hAnsi="Century Gothic" w:cs="Century Gothic" w:eastAsia="Century Gothic" w:hint="default"/>
          <w:spacing w:val="7"/>
        </w:rPr>
        <w:t> </w:t>
      </w:r>
      <w:r>
        <w:rPr/>
        <w:t>日，公司、浙江华立医药投资集团有限公司（以下简称</w:t>
      </w:r>
      <w:r>
        <w:rPr>
          <w:rFonts w:ascii="Century Gothic" w:hAnsi="Century Gothic" w:cs="Century Gothic" w:eastAsia="Century Gothic" w:hint="default"/>
        </w:rPr>
        <w:t>“</w:t>
      </w:r>
      <w:r>
        <w:rPr/>
        <w:t>华立投资</w:t>
      </w:r>
      <w:r>
        <w:rPr>
          <w:rFonts w:ascii="Century Gothic" w:hAnsi="Century Gothic" w:cs="Century Gothic" w:eastAsia="Century Gothic" w:hint="default"/>
        </w:rPr>
        <w:t>”</w:t>
      </w:r>
      <w:r>
        <w:rPr/>
        <w:t>）和中 </w:t>
      </w:r>
      <w:r>
        <w:rPr>
          <w:spacing w:val="-2"/>
        </w:rPr>
        <w:t>国医药保健品股份有限公司（以下简称</w:t>
      </w:r>
      <w:r>
        <w:rPr>
          <w:rFonts w:ascii="Century Gothic" w:hAnsi="Century Gothic" w:cs="Century Gothic" w:eastAsia="Century Gothic" w:hint="default"/>
          <w:spacing w:val="-2"/>
        </w:rPr>
        <w:t>“</w:t>
      </w:r>
      <w:r>
        <w:rPr>
          <w:spacing w:val="-2"/>
        </w:rPr>
        <w:t>中国医药</w:t>
      </w:r>
      <w:r>
        <w:rPr>
          <w:rFonts w:ascii="Century Gothic" w:hAnsi="Century Gothic" w:cs="Century Gothic" w:eastAsia="Century Gothic" w:hint="default"/>
          <w:spacing w:val="-2"/>
        </w:rPr>
        <w:t>”</w:t>
      </w:r>
      <w:r>
        <w:rPr>
          <w:spacing w:val="-2"/>
        </w:rPr>
        <w:t>）签署《股权转让协议》，公司将所持有子公司北</w:t>
      </w:r>
      <w:r>
        <w:rPr>
          <w:spacing w:val="-75"/>
        </w:rPr>
        <w:t> </w:t>
      </w:r>
      <w:r>
        <w:rPr>
          <w:spacing w:val="-75"/>
        </w:rPr>
      </w:r>
      <w:r>
        <w:rPr/>
        <w:t>京华立九州医药有限公司</w:t>
      </w:r>
      <w:r>
        <w:rPr>
          <w:spacing w:val="-60"/>
        </w:rPr>
        <w:t> </w:t>
      </w:r>
      <w:r>
        <w:rPr>
          <w:rFonts w:ascii="Century Gothic" w:hAnsi="Century Gothic" w:cs="Century Gothic" w:eastAsia="Century Gothic" w:hint="default"/>
        </w:rPr>
        <w:t>88.24%</w:t>
      </w:r>
      <w:r>
        <w:rPr/>
        <w:t>的股权全部转让给中国医药，股权转让价款为</w:t>
      </w:r>
      <w:r>
        <w:rPr>
          <w:spacing w:val="-60"/>
        </w:rPr>
        <w:t> </w:t>
      </w:r>
      <w:r>
        <w:rPr>
          <w:rFonts w:ascii="Century Gothic" w:hAnsi="Century Gothic" w:cs="Century Gothic" w:eastAsia="Century Gothic" w:hint="default"/>
        </w:rPr>
        <w:t>7,059.20</w:t>
      </w:r>
      <w:r>
        <w:rPr>
          <w:rFonts w:ascii="Century Gothic" w:hAnsi="Century Gothic" w:cs="Century Gothic" w:eastAsia="Century Gothic" w:hint="default"/>
          <w:spacing w:val="-13"/>
        </w:rPr>
        <w:t> </w:t>
      </w:r>
      <w:r>
        <w:rPr>
          <w:spacing w:val="-3"/>
        </w:rPr>
        <w:t>万元。该股</w:t>
      </w:r>
      <w:r>
        <w:rPr/>
        <w:t> 权转让事项经公司五届二十六次董事会及</w:t>
      </w:r>
      <w:r>
        <w:rPr>
          <w:spacing w:val="-37"/>
        </w:rPr>
        <w:t> </w:t>
      </w:r>
      <w:r>
        <w:rPr>
          <w:rFonts w:ascii="Century Gothic" w:hAnsi="Century Gothic" w:cs="Century Gothic" w:eastAsia="Century Gothic" w:hint="default"/>
        </w:rPr>
        <w:t>2009</w:t>
      </w:r>
      <w:r>
        <w:rPr>
          <w:rFonts w:ascii="Century Gothic" w:hAnsi="Century Gothic" w:cs="Century Gothic" w:eastAsia="Century Gothic" w:hint="default"/>
          <w:spacing w:val="10"/>
        </w:rPr>
        <w:t> </w:t>
      </w:r>
      <w:r>
        <w:rPr/>
        <w:t>年第一次临时股东大会决议审议通过。截至</w:t>
      </w:r>
      <w:r>
        <w:rPr>
          <w:spacing w:val="-37"/>
        </w:rPr>
        <w:t> </w:t>
      </w:r>
      <w:r>
        <w:rPr>
          <w:rFonts w:ascii="Century Gothic" w:hAnsi="Century Gothic" w:cs="Century Gothic" w:eastAsia="Century Gothic" w:hint="default"/>
        </w:rPr>
        <w:t>2009</w:t>
      </w:r>
      <w:r>
        <w:rPr>
          <w:rFonts w:ascii="Century Gothic" w:hAnsi="Century Gothic" w:cs="Century Gothic" w:eastAsia="Century Gothic" w:hint="default"/>
          <w:spacing w:val="10"/>
        </w:rPr>
        <w:t> </w:t>
      </w:r>
      <w:r>
        <w:rPr/>
        <w:t>年</w:t>
      </w:r>
    </w:p>
    <w:p>
      <w:pPr>
        <w:pStyle w:val="BodyText"/>
        <w:spacing w:line="240" w:lineRule="auto" w:before="15"/>
        <w:ind w:left="158" w:right="0"/>
        <w:jc w:val="left"/>
      </w:pPr>
      <w:r>
        <w:rPr>
          <w:rFonts w:ascii="Century Gothic" w:hAnsi="Century Gothic" w:cs="Century Gothic" w:eastAsia="Century Gothic" w:hint="default"/>
        </w:rPr>
        <w:t>12</w:t>
      </w:r>
      <w:r>
        <w:rPr>
          <w:rFonts w:ascii="Century Gothic" w:hAnsi="Century Gothic" w:cs="Century Gothic" w:eastAsia="Century Gothic" w:hint="default"/>
          <w:spacing w:val="-9"/>
        </w:rPr>
        <w:t> </w:t>
      </w:r>
      <w:r>
        <w:rPr/>
        <w:t>月</w:t>
      </w:r>
      <w:r>
        <w:rPr>
          <w:spacing w:val="-56"/>
        </w:rPr>
        <w:t> </w:t>
      </w:r>
      <w:r>
        <w:rPr>
          <w:rFonts w:ascii="Century Gothic" w:hAnsi="Century Gothic" w:cs="Century Gothic" w:eastAsia="Century Gothic" w:hint="default"/>
        </w:rPr>
        <w:t>31</w:t>
      </w:r>
      <w:r>
        <w:rPr>
          <w:rFonts w:ascii="Century Gothic" w:hAnsi="Century Gothic" w:cs="Century Gothic" w:eastAsia="Century Gothic" w:hint="default"/>
          <w:spacing w:val="-9"/>
        </w:rPr>
        <w:t> </w:t>
      </w:r>
      <w:r>
        <w:rPr/>
        <w:t>日，公司已收讫股权转让款</w:t>
      </w:r>
      <w:r>
        <w:rPr>
          <w:spacing w:val="-56"/>
        </w:rPr>
        <w:t> </w:t>
      </w:r>
      <w:r>
        <w:rPr>
          <w:rFonts w:ascii="Century Gothic" w:hAnsi="Century Gothic" w:cs="Century Gothic" w:eastAsia="Century Gothic" w:hint="default"/>
        </w:rPr>
        <w:t>7,059.20</w:t>
      </w:r>
      <w:r>
        <w:rPr>
          <w:rFonts w:ascii="Century Gothic" w:hAnsi="Century Gothic" w:cs="Century Gothic" w:eastAsia="Century Gothic" w:hint="default"/>
          <w:spacing w:val="-8"/>
        </w:rPr>
        <w:t> </w:t>
      </w:r>
      <w:r>
        <w:rPr/>
        <w:t>万元并办理股权过户手续。</w:t>
      </w:r>
    </w:p>
    <w:p>
      <w:pPr>
        <w:pStyle w:val="Heading4"/>
        <w:tabs>
          <w:tab w:pos="1433" w:val="left" w:leader="none"/>
        </w:tabs>
        <w:spacing w:line="240" w:lineRule="auto" w:before="117"/>
        <w:ind w:left="578" w:right="0"/>
        <w:jc w:val="left"/>
        <w:rPr>
          <w:rFonts w:ascii="宋体" w:hAnsi="宋体" w:cs="宋体" w:eastAsia="宋体" w:hint="default"/>
          <w:b w:val="0"/>
          <w:bCs w:val="0"/>
        </w:rPr>
      </w:pPr>
      <w:r>
        <w:rPr>
          <w:rFonts w:ascii="宋体" w:hAnsi="宋体" w:cs="宋体" w:eastAsia="宋体" w:hint="default"/>
          <w:w w:val="95"/>
        </w:rPr>
        <w:t>（四）</w:t>
        <w:tab/>
      </w:r>
      <w:r>
        <w:rPr>
          <w:rFonts w:ascii="宋体" w:hAnsi="宋体" w:cs="宋体" w:eastAsia="宋体" w:hint="default"/>
        </w:rPr>
        <w:t>营业收入、营业成本</w:t>
      </w:r>
      <w:r>
        <w:rPr>
          <w:rFonts w:ascii="宋体" w:hAnsi="宋体" w:cs="宋体" w:eastAsia="宋体" w:hint="default"/>
          <w:b w:val="0"/>
          <w:bCs w:val="0"/>
        </w:rPr>
      </w:r>
    </w:p>
    <w:p>
      <w:pPr>
        <w:pStyle w:val="BodyText"/>
        <w:spacing w:line="240" w:lineRule="auto" w:before="135"/>
        <w:ind w:left="578" w:right="0"/>
        <w:jc w:val="left"/>
      </w:pPr>
      <w:r>
        <w:rPr/>
        <w:t>（</w:t>
      </w:r>
      <w:r>
        <w:rPr>
          <w:rFonts w:ascii="Century Gothic" w:hAnsi="Century Gothic" w:cs="Century Gothic" w:eastAsia="Century Gothic" w:hint="default"/>
        </w:rPr>
        <w:t>1</w:t>
      </w:r>
      <w:r>
        <w:rPr/>
        <w:t>）营业收入、营业成本明细如下：</w:t>
      </w:r>
    </w:p>
    <w:p>
      <w:pPr>
        <w:spacing w:line="240" w:lineRule="auto" w:before="8"/>
        <w:rPr>
          <w:rFonts w:ascii="宋体" w:hAnsi="宋体" w:cs="宋体" w:eastAsia="宋体" w:hint="default"/>
          <w:sz w:val="11"/>
          <w:szCs w:val="11"/>
        </w:rPr>
      </w:pPr>
    </w:p>
    <w:tbl>
      <w:tblPr>
        <w:tblW w:w="0" w:type="auto"/>
        <w:jc w:val="left"/>
        <w:tblInd w:w="301" w:type="dxa"/>
        <w:tblLayout w:type="fixed"/>
        <w:tblCellMar>
          <w:top w:w="0" w:type="dxa"/>
          <w:left w:w="0" w:type="dxa"/>
          <w:bottom w:w="0" w:type="dxa"/>
          <w:right w:w="0" w:type="dxa"/>
        </w:tblCellMar>
        <w:tblLook w:val="01E0"/>
      </w:tblPr>
      <w:tblGrid>
        <w:gridCol w:w="4121"/>
        <w:gridCol w:w="2369"/>
        <w:gridCol w:w="2369"/>
      </w:tblGrid>
      <w:tr>
        <w:trPr>
          <w:trHeight w:val="307" w:hRule="exact"/>
        </w:trPr>
        <w:tc>
          <w:tcPr>
            <w:tcW w:w="4121" w:type="dxa"/>
            <w:tcBorders>
              <w:top w:val="single" w:sz="12" w:space="0" w:color="000000"/>
              <w:left w:val="nil" w:sz="6" w:space="0" w:color="auto"/>
              <w:bottom w:val="single" w:sz="6" w:space="0" w:color="000000"/>
              <w:right w:val="single" w:sz="6" w:space="0" w:color="000000"/>
            </w:tcBorders>
          </w:tcPr>
          <w:p>
            <w:pPr>
              <w:pStyle w:val="TableParagraph"/>
              <w:tabs>
                <w:tab w:pos="543" w:val="left" w:leader="none"/>
              </w:tabs>
              <w:spacing w:line="247" w:lineRule="exact"/>
              <w:ind w:left="2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69" w:type="dxa"/>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65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9" w:type="dxa"/>
            <w:tcBorders>
              <w:top w:val="single" w:sz="12" w:space="0" w:color="000000"/>
              <w:left w:val="single" w:sz="6" w:space="0" w:color="000000"/>
              <w:bottom w:val="single" w:sz="6" w:space="0" w:color="000000"/>
              <w:right w:val="nil" w:sz="6" w:space="0" w:color="auto"/>
            </w:tcBorders>
          </w:tcPr>
          <w:p>
            <w:pPr>
              <w:pStyle w:val="TableParagraph"/>
              <w:spacing w:line="247" w:lineRule="exact"/>
              <w:ind w:left="65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99"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5,460,733.06</w:t>
            </w:r>
            <w:r>
              <w:rPr>
                <w:rFonts w:ascii="Century Gothic"/>
                <w:b/>
                <w:w w:val="95"/>
                <w:sz w:val="21"/>
              </w:rPr>
            </w:r>
            <w:r>
              <w:rPr>
                <w:rFonts w:ascii="Century Gothic"/>
                <w:sz w:val="21"/>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19,046,882.65</w:t>
            </w:r>
            <w:r>
              <w:rPr>
                <w:rFonts w:ascii="Century Gothic"/>
                <w:b/>
                <w:w w:val="95"/>
                <w:sz w:val="21"/>
              </w:rPr>
            </w:r>
            <w:r>
              <w:rPr>
                <w:rFonts w:ascii="Century Gothic"/>
                <w:sz w:val="21"/>
              </w:rPr>
            </w:r>
          </w:p>
        </w:tc>
      </w:tr>
      <w:tr>
        <w:trPr>
          <w:trHeight w:val="299"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20" w:right="0"/>
              <w:jc w:val="center"/>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4,517,499.03</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18,307,473.88</w:t>
            </w:r>
          </w:p>
        </w:tc>
      </w:tr>
      <w:tr>
        <w:trPr>
          <w:trHeight w:val="299"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其他业务收入</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943,234.03</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739,408.77</w:t>
            </w:r>
          </w:p>
        </w:tc>
      </w:tr>
      <w:tr>
        <w:trPr>
          <w:trHeight w:val="299"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5,032,677.74</w:t>
            </w:r>
            <w:r>
              <w:rPr>
                <w:rFonts w:ascii="Century Gothic"/>
                <w:b/>
                <w:w w:val="95"/>
                <w:sz w:val="21"/>
              </w:rPr>
            </w:r>
            <w:r>
              <w:rPr>
                <w:rFonts w:ascii="Century Gothic"/>
                <w:sz w:val="21"/>
              </w:rPr>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15,175,457.35</w:t>
            </w:r>
            <w:r>
              <w:rPr>
                <w:rFonts w:ascii="Century Gothic"/>
                <w:b/>
                <w:w w:val="95"/>
                <w:sz w:val="21"/>
              </w:rPr>
            </w:r>
            <w:r>
              <w:rPr>
                <w:rFonts w:ascii="Century Gothic"/>
                <w:sz w:val="21"/>
              </w:rPr>
            </w:r>
          </w:p>
        </w:tc>
      </w:tr>
      <w:tr>
        <w:trPr>
          <w:trHeight w:val="299" w:hRule="exact"/>
        </w:trPr>
        <w:tc>
          <w:tcPr>
            <w:tcW w:w="4121"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20" w:right="0"/>
              <w:jc w:val="center"/>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3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Century Gothic" w:hAnsi="Century Gothic" w:cs="Century Gothic" w:eastAsia="Century Gothic" w:hint="default"/>
                <w:sz w:val="21"/>
                <w:szCs w:val="21"/>
              </w:rPr>
            </w:pPr>
            <w:r>
              <w:rPr>
                <w:rFonts w:ascii="Century Gothic"/>
                <w:spacing w:val="-1"/>
                <w:sz w:val="21"/>
              </w:rPr>
              <w:t>4,512,069.99</w:t>
            </w:r>
          </w:p>
        </w:tc>
        <w:tc>
          <w:tcPr>
            <w:tcW w:w="236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14,357,016.39</w:t>
            </w:r>
          </w:p>
        </w:tc>
      </w:tr>
      <w:tr>
        <w:trPr>
          <w:trHeight w:val="308" w:hRule="exact"/>
        </w:trPr>
        <w:tc>
          <w:tcPr>
            <w:tcW w:w="4121" w:type="dxa"/>
            <w:tcBorders>
              <w:top w:val="single" w:sz="6" w:space="0" w:color="000000"/>
              <w:left w:val="nil" w:sz="6" w:space="0" w:color="auto"/>
              <w:bottom w:val="single" w:sz="12" w:space="0" w:color="000000"/>
              <w:right w:val="single" w:sz="6" w:space="0" w:color="000000"/>
            </w:tcBorders>
          </w:tcPr>
          <w:p>
            <w:pPr>
              <w:pStyle w:val="TableParagraph"/>
              <w:spacing w:line="247" w:lineRule="exact"/>
              <w:ind w:left="21" w:right="0"/>
              <w:jc w:val="center"/>
              <w:rPr>
                <w:rFonts w:ascii="宋体" w:hAnsi="宋体" w:cs="宋体" w:eastAsia="宋体" w:hint="default"/>
                <w:sz w:val="21"/>
                <w:szCs w:val="21"/>
              </w:rPr>
            </w:pPr>
            <w:r>
              <w:rPr>
                <w:rFonts w:ascii="宋体" w:hAnsi="宋体" w:cs="宋体" w:eastAsia="宋体" w:hint="default"/>
                <w:sz w:val="21"/>
                <w:szCs w:val="21"/>
              </w:rPr>
              <w:t>其他业务成本</w:t>
            </w:r>
          </w:p>
        </w:tc>
        <w:tc>
          <w:tcPr>
            <w:tcW w:w="23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9"/>
              <w:jc w:val="right"/>
              <w:rPr>
                <w:rFonts w:ascii="Century Gothic" w:hAnsi="Century Gothic" w:cs="Century Gothic" w:eastAsia="Century Gothic" w:hint="default"/>
                <w:sz w:val="21"/>
                <w:szCs w:val="21"/>
              </w:rPr>
            </w:pPr>
            <w:r>
              <w:rPr>
                <w:rFonts w:ascii="Century Gothic"/>
                <w:spacing w:val="-1"/>
                <w:sz w:val="21"/>
              </w:rPr>
              <w:t>520,607.75</w:t>
            </w:r>
          </w:p>
        </w:tc>
        <w:tc>
          <w:tcPr>
            <w:tcW w:w="236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right="106"/>
              <w:jc w:val="right"/>
              <w:rPr>
                <w:rFonts w:ascii="Century Gothic" w:hAnsi="Century Gothic" w:cs="Century Gothic" w:eastAsia="Century Gothic" w:hint="default"/>
                <w:sz w:val="21"/>
                <w:szCs w:val="21"/>
              </w:rPr>
            </w:pPr>
            <w:r>
              <w:rPr>
                <w:rFonts w:ascii="Century Gothic"/>
                <w:spacing w:val="-1"/>
                <w:sz w:val="21"/>
              </w:rPr>
              <w:t>818,440.96</w:t>
            </w:r>
          </w:p>
        </w:tc>
      </w:tr>
    </w:tbl>
    <w:p>
      <w:pPr>
        <w:pStyle w:val="BodyText"/>
        <w:spacing w:line="240" w:lineRule="auto" w:before="86"/>
        <w:ind w:left="578" w:right="0"/>
        <w:jc w:val="left"/>
      </w:pPr>
      <w:r>
        <w:rPr/>
        <w:t>（</w:t>
      </w:r>
      <w:r>
        <w:rPr>
          <w:rFonts w:ascii="Century Gothic" w:hAnsi="Century Gothic" w:cs="Century Gothic" w:eastAsia="Century Gothic" w:hint="default"/>
        </w:rPr>
        <w:t>2</w:t>
      </w:r>
      <w:r>
        <w:rPr/>
        <w:t>）主营业务按行业类别列示如下：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before="76"/>
        <w:ind w:left="3789" w:right="3789" w:firstLine="0"/>
        <w:jc w:val="center"/>
        <w:rPr>
          <w:rFonts w:ascii="Times New Roman" w:hAnsi="Times New Roman" w:cs="Times New Roman" w:eastAsia="Times New Roman" w:hint="default"/>
          <w:sz w:val="18"/>
          <w:szCs w:val="18"/>
        </w:rPr>
      </w:pPr>
      <w:r>
        <w:rPr>
          <w:rFonts w:ascii="Times New Roman"/>
          <w:sz w:val="18"/>
        </w:rPr>
        <w:t>104</w:t>
      </w:r>
    </w:p>
    <w:p>
      <w:pPr>
        <w:spacing w:after="0"/>
        <w:jc w:val="center"/>
        <w:rPr>
          <w:rFonts w:ascii="Times New Roman" w:hAnsi="Times New Roman" w:cs="Times New Roman" w:eastAsia="Times New Roman" w:hint="default"/>
          <w:sz w:val="18"/>
          <w:szCs w:val="18"/>
        </w:rPr>
        <w:sectPr>
          <w:pgSz w:w="11910" w:h="16840"/>
          <w:pgMar w:top="780" w:bottom="280" w:left="1140" w:right="126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70.860001pt;margin-top:-9.926001pt;width:84.0pt;height:23.94pt;mso-position-horizontal-relative:page;mso-position-vertical-relative:paragraph;z-index:6760"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281" w:type="dxa"/>
        <w:tblLayout w:type="fixed"/>
        <w:tblCellMar>
          <w:top w:w="0" w:type="dxa"/>
          <w:left w:w="0" w:type="dxa"/>
          <w:bottom w:w="0" w:type="dxa"/>
          <w:right w:w="0" w:type="dxa"/>
        </w:tblCellMar>
        <w:tblLook w:val="01E0"/>
      </w:tblPr>
      <w:tblGrid>
        <w:gridCol w:w="2255"/>
        <w:gridCol w:w="1498"/>
        <w:gridCol w:w="1574"/>
        <w:gridCol w:w="1766"/>
        <w:gridCol w:w="1765"/>
      </w:tblGrid>
      <w:tr>
        <w:trPr>
          <w:trHeight w:val="307" w:hRule="exact"/>
        </w:trPr>
        <w:tc>
          <w:tcPr>
            <w:tcW w:w="2255" w:type="dxa"/>
            <w:vMerge w:val="restart"/>
            <w:tcBorders>
              <w:top w:val="single" w:sz="12" w:space="0" w:color="000000"/>
              <w:left w:val="nil" w:sz="6" w:space="0" w:color="auto"/>
              <w:right w:val="single" w:sz="6" w:space="0" w:color="000000"/>
            </w:tcBorders>
          </w:tcPr>
          <w:p>
            <w:pPr>
              <w:pStyle w:val="TableParagraph"/>
              <w:spacing w:line="240" w:lineRule="auto" w:before="106"/>
              <w:ind w:left="714"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0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532" w:type="dxa"/>
            <w:gridSpan w:val="2"/>
            <w:tcBorders>
              <w:top w:val="single" w:sz="12" w:space="0" w:color="000000"/>
              <w:left w:val="single" w:sz="6" w:space="0" w:color="000000"/>
              <w:bottom w:val="single" w:sz="6" w:space="0" w:color="000000"/>
              <w:right w:val="nil" w:sz="6" w:space="0" w:color="auto"/>
            </w:tcBorders>
          </w:tcPr>
          <w:p>
            <w:pPr>
              <w:pStyle w:val="TableParagraph"/>
              <w:spacing w:line="247" w:lineRule="exact"/>
              <w:ind w:left="38"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299" w:hRule="exact"/>
        </w:trPr>
        <w:tc>
          <w:tcPr>
            <w:tcW w:w="2255"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9"/>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3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29"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65"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left="123" w:right="0"/>
              <w:jc w:val="center"/>
              <w:rPr>
                <w:rFonts w:ascii="宋体" w:hAnsi="宋体" w:cs="宋体" w:eastAsia="宋体" w:hint="default"/>
                <w:sz w:val="21"/>
                <w:szCs w:val="21"/>
              </w:rPr>
            </w:pPr>
            <w:r>
              <w:rPr>
                <w:rFonts w:ascii="宋体" w:hAnsi="宋体" w:cs="宋体" w:eastAsia="宋体" w:hint="default"/>
                <w:sz w:val="21"/>
                <w:szCs w:val="21"/>
              </w:rPr>
              <w:t>营业成本</w:t>
            </w:r>
          </w:p>
        </w:tc>
      </w:tr>
      <w:tr>
        <w:trPr>
          <w:trHeight w:val="560" w:hRule="exact"/>
        </w:trPr>
        <w:tc>
          <w:tcPr>
            <w:tcW w:w="2255"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6"/>
                <w:sz w:val="21"/>
                <w:szCs w:val="21"/>
              </w:rPr>
              <w:t>青蒿素及其相关产品</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58" w:right="0"/>
              <w:jc w:val="center"/>
              <w:rPr>
                <w:rFonts w:ascii="Century Gothic" w:hAnsi="Century Gothic" w:cs="Century Gothic" w:eastAsia="Century Gothic" w:hint="default"/>
                <w:sz w:val="21"/>
                <w:szCs w:val="21"/>
              </w:rPr>
            </w:pPr>
            <w:r>
              <w:rPr>
                <w:rFonts w:ascii="Century Gothic"/>
                <w:sz w:val="21"/>
              </w:rPr>
              <w:t>4,517,499.03</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4,512,069.99</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14" w:right="0"/>
              <w:jc w:val="center"/>
              <w:rPr>
                <w:rFonts w:ascii="Century Gothic" w:hAnsi="Century Gothic" w:cs="Century Gothic" w:eastAsia="Century Gothic" w:hint="default"/>
                <w:sz w:val="21"/>
                <w:szCs w:val="21"/>
              </w:rPr>
            </w:pPr>
            <w:r>
              <w:rPr>
                <w:rFonts w:ascii="Century Gothic"/>
                <w:sz w:val="21"/>
              </w:rPr>
              <w:t>18,307,473.88</w:t>
            </w:r>
          </w:p>
        </w:tc>
        <w:tc>
          <w:tcPr>
            <w:tcW w:w="17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203" w:right="0"/>
              <w:jc w:val="center"/>
              <w:rPr>
                <w:rFonts w:ascii="Century Gothic" w:hAnsi="Century Gothic" w:cs="Century Gothic" w:eastAsia="Century Gothic" w:hint="default"/>
                <w:sz w:val="21"/>
                <w:szCs w:val="21"/>
              </w:rPr>
            </w:pPr>
            <w:r>
              <w:rPr>
                <w:rFonts w:ascii="Century Gothic"/>
                <w:sz w:val="21"/>
              </w:rPr>
              <w:t>14,357,016.39</w:t>
            </w:r>
          </w:p>
        </w:tc>
      </w:tr>
      <w:tr>
        <w:trPr>
          <w:trHeight w:val="307" w:hRule="exact"/>
        </w:trPr>
        <w:tc>
          <w:tcPr>
            <w:tcW w:w="2255"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left="46"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4,517,499.03</w:t>
            </w:r>
            <w:r>
              <w:rPr>
                <w:rFonts w:ascii="Century Gothic"/>
                <w:b/>
                <w:sz w:val="21"/>
              </w:rPr>
            </w:r>
            <w:r>
              <w:rPr>
                <w:rFonts w:ascii="Century Gothic"/>
                <w:sz w:val="21"/>
              </w:rPr>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4,512,069.99</w:t>
            </w:r>
            <w:r>
              <w:rPr>
                <w:rFonts w:ascii="Century Gothic"/>
                <w:b/>
                <w:w w:val="95"/>
                <w:sz w:val="21"/>
              </w:rPr>
            </w:r>
            <w:r>
              <w:rPr>
                <w:rFonts w:ascii="Century Gothic"/>
                <w:sz w:val="21"/>
              </w:rPr>
            </w:r>
          </w:p>
        </w:tc>
        <w:tc>
          <w:tcPr>
            <w:tcW w:w="1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left="200"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18,307,473.88</w:t>
            </w:r>
            <w:r>
              <w:rPr>
                <w:rFonts w:ascii="Century Gothic"/>
                <w:b/>
                <w:sz w:val="21"/>
              </w:rPr>
            </w:r>
            <w:r>
              <w:rPr>
                <w:rFonts w:ascii="Century Gothic"/>
                <w:sz w:val="21"/>
              </w:rPr>
            </w:r>
          </w:p>
        </w:tc>
        <w:tc>
          <w:tcPr>
            <w:tcW w:w="17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
              <w:ind w:left="189"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14,357,016.39</w:t>
            </w:r>
            <w:r>
              <w:rPr>
                <w:rFonts w:ascii="Century Gothic"/>
                <w:b/>
                <w:sz w:val="21"/>
              </w:rPr>
            </w:r>
            <w:r>
              <w:rPr>
                <w:rFonts w:ascii="Century Gothic"/>
                <w:sz w:val="21"/>
              </w:rPr>
            </w:r>
          </w:p>
        </w:tc>
      </w:tr>
    </w:tbl>
    <w:p>
      <w:pPr>
        <w:pStyle w:val="BodyText"/>
        <w:spacing w:line="240" w:lineRule="auto" w:before="94"/>
        <w:ind w:left="558" w:right="0"/>
        <w:jc w:val="left"/>
      </w:pPr>
      <w:r>
        <w:rPr/>
        <w:t>（</w:t>
      </w:r>
      <w:r>
        <w:rPr>
          <w:rFonts w:ascii="Century Gothic" w:hAnsi="Century Gothic" w:cs="Century Gothic" w:eastAsia="Century Gothic" w:hint="default"/>
        </w:rPr>
        <w:t>3</w:t>
      </w:r>
      <w:r>
        <w:rPr/>
        <w:t>）主营业务按地区分项列示如下：</w:t>
      </w:r>
    </w:p>
    <w:p>
      <w:pPr>
        <w:spacing w:line="240" w:lineRule="auto" w:before="11"/>
        <w:rPr>
          <w:rFonts w:ascii="宋体" w:hAnsi="宋体" w:cs="宋体" w:eastAsia="宋体" w:hint="default"/>
          <w:sz w:val="20"/>
          <w:szCs w:val="20"/>
        </w:rPr>
      </w:pPr>
    </w:p>
    <w:tbl>
      <w:tblPr>
        <w:tblW w:w="0" w:type="auto"/>
        <w:jc w:val="left"/>
        <w:tblInd w:w="281" w:type="dxa"/>
        <w:tblLayout w:type="fixed"/>
        <w:tblCellMar>
          <w:top w:w="0" w:type="dxa"/>
          <w:left w:w="0" w:type="dxa"/>
          <w:bottom w:w="0" w:type="dxa"/>
          <w:right w:w="0" w:type="dxa"/>
        </w:tblCellMar>
        <w:tblLook w:val="01E0"/>
      </w:tblPr>
      <w:tblGrid>
        <w:gridCol w:w="2255"/>
        <w:gridCol w:w="1498"/>
        <w:gridCol w:w="1574"/>
        <w:gridCol w:w="1766"/>
        <w:gridCol w:w="1765"/>
      </w:tblGrid>
      <w:tr>
        <w:trPr>
          <w:trHeight w:val="305" w:hRule="exact"/>
        </w:trPr>
        <w:tc>
          <w:tcPr>
            <w:tcW w:w="2255" w:type="dxa"/>
            <w:vMerge w:val="restart"/>
            <w:tcBorders>
              <w:top w:val="single" w:sz="12" w:space="0" w:color="000000"/>
              <w:left w:val="nil" w:sz="6" w:space="0" w:color="auto"/>
              <w:right w:val="single" w:sz="6" w:space="0" w:color="000000"/>
            </w:tcBorders>
          </w:tcPr>
          <w:p>
            <w:pPr>
              <w:pStyle w:val="TableParagraph"/>
              <w:spacing w:line="240" w:lineRule="auto" w:before="106"/>
              <w:ind w:left="71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07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7" w:lineRule="exact"/>
              <w:ind w:left="94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532" w:type="dxa"/>
            <w:gridSpan w:val="2"/>
            <w:tcBorders>
              <w:top w:val="single" w:sz="12" w:space="0" w:color="000000"/>
              <w:left w:val="single" w:sz="6" w:space="0" w:color="000000"/>
              <w:bottom w:val="single" w:sz="6" w:space="0" w:color="000000"/>
              <w:right w:val="nil" w:sz="6" w:space="0" w:color="auto"/>
            </w:tcBorders>
          </w:tcPr>
          <w:p>
            <w:pPr>
              <w:pStyle w:val="TableParagraph"/>
              <w:spacing w:line="247" w:lineRule="exact"/>
              <w:ind w:left="38"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00" w:hRule="exact"/>
        </w:trPr>
        <w:tc>
          <w:tcPr>
            <w:tcW w:w="2255" w:type="dxa"/>
            <w:vMerge/>
            <w:tcBorders>
              <w:left w:val="nil" w:sz="6" w:space="0" w:color="auto"/>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9"/>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96"/>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5" w:type="dxa"/>
            <w:tcBorders>
              <w:top w:val="single" w:sz="6" w:space="0" w:color="000000"/>
              <w:left w:val="single" w:sz="6" w:space="0" w:color="000000"/>
              <w:bottom w:val="single" w:sz="6" w:space="0" w:color="000000"/>
              <w:right w:val="nil" w:sz="6" w:space="0" w:color="auto"/>
            </w:tcBorders>
          </w:tcPr>
          <w:p>
            <w:pPr>
              <w:pStyle w:val="TableParagraph"/>
              <w:spacing w:line="247"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99" w:hRule="exact"/>
        </w:trPr>
        <w:tc>
          <w:tcPr>
            <w:tcW w:w="2255" w:type="dxa"/>
            <w:tcBorders>
              <w:top w:val="single" w:sz="6" w:space="0" w:color="000000"/>
              <w:left w:val="nil" w:sz="6" w:space="0" w:color="auto"/>
              <w:bottom w:val="single" w:sz="6" w:space="0" w:color="000000"/>
              <w:right w:val="single" w:sz="6" w:space="0" w:color="000000"/>
            </w:tcBorders>
          </w:tcPr>
          <w:p>
            <w:pPr>
              <w:pStyle w:val="TableParagraph"/>
              <w:spacing w:line="247" w:lineRule="exact"/>
              <w:ind w:left="20" w:right="0"/>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Century Gothic" w:hAnsi="Century Gothic" w:cs="Century Gothic" w:eastAsia="Century Gothic" w:hint="default"/>
                <w:sz w:val="21"/>
                <w:szCs w:val="21"/>
              </w:rPr>
            </w:pPr>
            <w:r>
              <w:rPr>
                <w:rFonts w:ascii="Century Gothic"/>
                <w:sz w:val="21"/>
              </w:rPr>
              <w:t>4,517,499.03</w:t>
            </w:r>
          </w:p>
        </w:tc>
        <w:tc>
          <w:tcPr>
            <w:tcW w:w="1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Century Gothic" w:hAnsi="Century Gothic" w:cs="Century Gothic" w:eastAsia="Century Gothic" w:hint="default"/>
                <w:sz w:val="21"/>
                <w:szCs w:val="21"/>
              </w:rPr>
            </w:pPr>
            <w:r>
              <w:rPr>
                <w:rFonts w:ascii="Century Gothic"/>
                <w:sz w:val="21"/>
              </w:rPr>
              <w:t>4,512,069.99</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07" w:right="0"/>
              <w:jc w:val="left"/>
              <w:rPr>
                <w:rFonts w:ascii="Century Gothic" w:hAnsi="Century Gothic" w:cs="Century Gothic" w:eastAsia="Century Gothic" w:hint="default"/>
                <w:sz w:val="21"/>
                <w:szCs w:val="21"/>
              </w:rPr>
            </w:pPr>
            <w:r>
              <w:rPr>
                <w:rFonts w:ascii="Century Gothic"/>
                <w:sz w:val="21"/>
              </w:rPr>
              <w:t>18,307,473.88</w:t>
            </w:r>
          </w:p>
        </w:tc>
        <w:tc>
          <w:tcPr>
            <w:tcW w:w="17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left="206" w:right="0"/>
              <w:jc w:val="left"/>
              <w:rPr>
                <w:rFonts w:ascii="Century Gothic" w:hAnsi="Century Gothic" w:cs="Century Gothic" w:eastAsia="Century Gothic" w:hint="default"/>
                <w:sz w:val="21"/>
                <w:szCs w:val="21"/>
              </w:rPr>
            </w:pPr>
            <w:r>
              <w:rPr>
                <w:rFonts w:ascii="Century Gothic"/>
                <w:sz w:val="21"/>
              </w:rPr>
              <w:t>14,357,016.39</w:t>
            </w:r>
          </w:p>
        </w:tc>
      </w:tr>
      <w:tr>
        <w:trPr>
          <w:trHeight w:val="537" w:hRule="exact"/>
        </w:trPr>
        <w:tc>
          <w:tcPr>
            <w:tcW w:w="2255"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6" w:right="0"/>
              <w:jc w:val="center"/>
              <w:rPr>
                <w:rFonts w:ascii="Century Gothic" w:hAnsi="Century Gothic" w:cs="Century Gothic" w:eastAsia="Century Gothic" w:hint="default"/>
                <w:sz w:val="21"/>
                <w:szCs w:val="21"/>
              </w:rPr>
            </w:pPr>
            <w:r>
              <w:rPr>
                <w:rFonts w:ascii="Century Gothic"/>
                <w:b/>
                <w:w w:val="99"/>
                <w:sz w:val="21"/>
              </w:rPr>
            </w:r>
            <w:r>
              <w:rPr>
                <w:rFonts w:ascii="Century Gothic"/>
                <w:b/>
                <w:sz w:val="21"/>
                <w:u w:val="single" w:color="000000"/>
              </w:rPr>
              <w:t>4,517,499.03</w:t>
            </w:r>
            <w:r>
              <w:rPr>
                <w:rFonts w:ascii="Century Gothic"/>
                <w:b/>
                <w:sz w:val="21"/>
              </w:rPr>
            </w:r>
            <w:r>
              <w:rPr>
                <w:rFonts w:ascii="Century Gothic"/>
                <w:sz w:val="21"/>
              </w:rPr>
            </w:r>
          </w:p>
        </w:tc>
        <w:tc>
          <w:tcPr>
            <w:tcW w:w="15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left="17" w:right="0"/>
              <w:jc w:val="center"/>
              <w:rPr>
                <w:rFonts w:ascii="Century Gothic" w:hAnsi="Century Gothic" w:cs="Century Gothic" w:eastAsia="Century Gothic" w:hint="default"/>
                <w:sz w:val="21"/>
                <w:szCs w:val="21"/>
              </w:rPr>
            </w:pPr>
            <w:r>
              <w:rPr>
                <w:rFonts w:ascii="Century Gothic"/>
                <w:b/>
                <w:sz w:val="21"/>
              </w:rPr>
            </w:r>
            <w:r>
              <w:rPr>
                <w:rFonts w:ascii="Century Gothic"/>
                <w:b/>
                <w:sz w:val="21"/>
                <w:u w:val="single" w:color="000000"/>
              </w:rPr>
              <w:t> </w:t>
            </w:r>
            <w:r>
              <w:rPr>
                <w:rFonts w:ascii="Century Gothic"/>
                <w:b/>
                <w:spacing w:val="-12"/>
                <w:sz w:val="21"/>
                <w:u w:val="single" w:color="000000"/>
              </w:rPr>
              <w:t> </w:t>
            </w:r>
            <w:r>
              <w:rPr>
                <w:rFonts w:ascii="Century Gothic"/>
                <w:b/>
                <w:sz w:val="21"/>
                <w:u w:val="single" w:color="000000"/>
              </w:rPr>
              <w:t>4,512,069.99</w:t>
            </w:r>
            <w:r>
              <w:rPr>
                <w:rFonts w:ascii="Century Gothic"/>
                <w:b/>
                <w:sz w:val="21"/>
              </w:rPr>
            </w:r>
            <w:r>
              <w:rPr>
                <w:rFonts w:ascii="Century Gothic"/>
                <w:sz w:val="21"/>
              </w:rPr>
            </w:r>
          </w:p>
        </w:tc>
        <w:tc>
          <w:tcPr>
            <w:tcW w:w="1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8"/>
              <w:ind w:left="194" w:right="0"/>
              <w:jc w:val="left"/>
              <w:rPr>
                <w:rFonts w:ascii="Century Gothic" w:hAnsi="Century Gothic" w:cs="Century Gothic" w:eastAsia="Century Gothic" w:hint="default"/>
                <w:sz w:val="21"/>
                <w:szCs w:val="21"/>
              </w:rPr>
            </w:pPr>
            <w:r>
              <w:rPr>
                <w:rFonts w:ascii="Century Gothic"/>
                <w:b/>
                <w:sz w:val="21"/>
              </w:rPr>
            </w:r>
            <w:r>
              <w:rPr>
                <w:rFonts w:ascii="Century Gothic"/>
                <w:b/>
                <w:sz w:val="21"/>
                <w:u w:val="single" w:color="000000"/>
              </w:rPr>
              <w:t> </w:t>
            </w:r>
            <w:r>
              <w:rPr>
                <w:rFonts w:ascii="Century Gothic"/>
                <w:b/>
                <w:spacing w:val="-12"/>
                <w:sz w:val="21"/>
                <w:u w:val="single" w:color="000000"/>
              </w:rPr>
              <w:t> </w:t>
            </w:r>
            <w:r>
              <w:rPr>
                <w:rFonts w:ascii="Century Gothic"/>
                <w:b/>
                <w:sz w:val="21"/>
                <w:u w:val="single" w:color="000000"/>
              </w:rPr>
              <w:t>18,307,473.88</w:t>
            </w:r>
            <w:r>
              <w:rPr>
                <w:rFonts w:ascii="Century Gothic"/>
                <w:b/>
                <w:sz w:val="21"/>
              </w:rPr>
            </w:r>
            <w:r>
              <w:rPr>
                <w:rFonts w:ascii="Century Gothic"/>
                <w:sz w:val="21"/>
              </w:rPr>
            </w:r>
          </w:p>
        </w:tc>
        <w:tc>
          <w:tcPr>
            <w:tcW w:w="176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8"/>
              <w:ind w:left="191" w:right="0"/>
              <w:jc w:val="left"/>
              <w:rPr>
                <w:rFonts w:ascii="Century Gothic" w:hAnsi="Century Gothic" w:cs="Century Gothic" w:eastAsia="Century Gothic" w:hint="default"/>
                <w:sz w:val="21"/>
                <w:szCs w:val="21"/>
              </w:rPr>
            </w:pPr>
            <w:r>
              <w:rPr>
                <w:rFonts w:ascii="Century Gothic"/>
                <w:b/>
                <w:sz w:val="21"/>
              </w:rPr>
            </w:r>
            <w:r>
              <w:rPr>
                <w:rFonts w:ascii="Century Gothic"/>
                <w:b/>
                <w:sz w:val="21"/>
                <w:u w:val="single" w:color="000000"/>
              </w:rPr>
              <w:t> </w:t>
            </w:r>
            <w:r>
              <w:rPr>
                <w:rFonts w:ascii="Century Gothic"/>
                <w:b/>
                <w:spacing w:val="-12"/>
                <w:sz w:val="21"/>
                <w:u w:val="single" w:color="000000"/>
              </w:rPr>
              <w:t> </w:t>
            </w:r>
            <w:r>
              <w:rPr>
                <w:rFonts w:ascii="Century Gothic"/>
                <w:b/>
                <w:sz w:val="21"/>
                <w:u w:val="single" w:color="000000"/>
              </w:rPr>
              <w:t>14,357,016.39</w:t>
            </w:r>
            <w:r>
              <w:rPr>
                <w:rFonts w:ascii="Century Gothic"/>
                <w:b/>
                <w:sz w:val="21"/>
              </w:rPr>
            </w:r>
            <w:r>
              <w:rPr>
                <w:rFonts w:ascii="Century Gothic"/>
                <w:sz w:val="21"/>
              </w:rPr>
            </w:r>
          </w:p>
        </w:tc>
      </w:tr>
    </w:tbl>
    <w:p>
      <w:pPr>
        <w:pStyle w:val="BodyText"/>
        <w:spacing w:line="240" w:lineRule="auto" w:before="86"/>
        <w:ind w:left="558" w:right="0"/>
        <w:jc w:val="left"/>
      </w:pPr>
      <w:r>
        <w:rPr/>
        <w:t>（</w:t>
      </w:r>
      <w:r>
        <w:rPr>
          <w:rFonts w:ascii="Century Gothic" w:hAnsi="Century Gothic" w:cs="Century Gothic" w:eastAsia="Century Gothic" w:hint="default"/>
        </w:rPr>
        <w:t>4</w:t>
      </w:r>
      <w:r>
        <w:rPr/>
        <w:t>）公司前五名客户营业收入情况</w:t>
      </w:r>
    </w:p>
    <w:p>
      <w:pPr>
        <w:spacing w:line="240" w:lineRule="auto" w:before="11"/>
        <w:rPr>
          <w:rFonts w:ascii="宋体" w:hAnsi="宋体" w:cs="宋体" w:eastAsia="宋体" w:hint="default"/>
          <w:sz w:val="20"/>
          <w:szCs w:val="20"/>
        </w:rPr>
      </w:pPr>
    </w:p>
    <w:tbl>
      <w:tblPr>
        <w:tblW w:w="0" w:type="auto"/>
        <w:jc w:val="left"/>
        <w:tblInd w:w="281" w:type="dxa"/>
        <w:tblLayout w:type="fixed"/>
        <w:tblCellMar>
          <w:top w:w="0" w:type="dxa"/>
          <w:left w:w="0" w:type="dxa"/>
          <w:bottom w:w="0" w:type="dxa"/>
          <w:right w:w="0" w:type="dxa"/>
        </w:tblCellMar>
        <w:tblLook w:val="01E0"/>
      </w:tblPr>
      <w:tblGrid>
        <w:gridCol w:w="3974"/>
        <w:gridCol w:w="2521"/>
        <w:gridCol w:w="2363"/>
      </w:tblGrid>
      <w:tr>
        <w:trPr>
          <w:trHeight w:val="749" w:hRule="exact"/>
        </w:trPr>
        <w:tc>
          <w:tcPr>
            <w:tcW w:w="397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37"/>
              <w:ind w:left="19" w:right="0"/>
              <w:jc w:val="center"/>
              <w:rPr>
                <w:rFonts w:ascii="宋体" w:hAnsi="宋体" w:cs="宋体" w:eastAsia="宋体" w:hint="default"/>
                <w:sz w:val="28"/>
                <w:szCs w:val="28"/>
              </w:rPr>
            </w:pPr>
            <w:r>
              <w:rPr>
                <w:rFonts w:ascii="宋体" w:hAnsi="宋体" w:cs="宋体" w:eastAsia="宋体" w:hint="default"/>
                <w:sz w:val="28"/>
                <w:szCs w:val="28"/>
              </w:rPr>
              <w:t>客户名称</w:t>
            </w:r>
          </w:p>
        </w:tc>
        <w:tc>
          <w:tcPr>
            <w:tcW w:w="25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7"/>
              <w:ind w:right="164"/>
              <w:jc w:val="right"/>
              <w:rPr>
                <w:rFonts w:ascii="宋体" w:hAnsi="宋体" w:cs="宋体" w:eastAsia="宋体" w:hint="default"/>
                <w:sz w:val="28"/>
                <w:szCs w:val="28"/>
              </w:rPr>
            </w:pPr>
            <w:r>
              <w:rPr>
                <w:rFonts w:ascii="宋体" w:hAnsi="宋体" w:cs="宋体" w:eastAsia="宋体" w:hint="default"/>
                <w:w w:val="95"/>
                <w:sz w:val="28"/>
                <w:szCs w:val="28"/>
              </w:rPr>
              <w:t>本年发生额</w:t>
            </w:r>
            <w:r>
              <w:rPr>
                <w:rFonts w:ascii="宋体" w:hAnsi="宋体" w:cs="宋体" w:eastAsia="宋体" w:hint="default"/>
                <w:sz w:val="28"/>
                <w:szCs w:val="28"/>
              </w:rPr>
            </w:r>
          </w:p>
        </w:tc>
        <w:tc>
          <w:tcPr>
            <w:tcW w:w="2363" w:type="dxa"/>
            <w:tcBorders>
              <w:top w:val="single" w:sz="12" w:space="0" w:color="000000"/>
              <w:left w:val="single" w:sz="6" w:space="0" w:color="000000"/>
              <w:bottom w:val="single" w:sz="6" w:space="0" w:color="000000"/>
              <w:right w:val="nil" w:sz="6" w:space="0" w:color="auto"/>
            </w:tcBorders>
          </w:tcPr>
          <w:p>
            <w:pPr>
              <w:pStyle w:val="TableParagraph"/>
              <w:spacing w:line="320" w:lineRule="exact"/>
              <w:ind w:right="6"/>
              <w:jc w:val="center"/>
              <w:rPr>
                <w:rFonts w:ascii="宋体" w:hAnsi="宋体" w:cs="宋体" w:eastAsia="宋体" w:hint="default"/>
                <w:sz w:val="28"/>
                <w:szCs w:val="28"/>
              </w:rPr>
            </w:pPr>
            <w:r>
              <w:rPr>
                <w:rFonts w:ascii="宋体" w:hAnsi="宋体" w:cs="宋体" w:eastAsia="宋体" w:hint="default"/>
                <w:sz w:val="28"/>
                <w:szCs w:val="28"/>
              </w:rPr>
              <w:t>占公司全部营业</w:t>
            </w:r>
          </w:p>
          <w:p>
            <w:pPr>
              <w:pStyle w:val="TableParagraph"/>
              <w:spacing w:line="365" w:lineRule="exact"/>
              <w:ind w:right="6"/>
              <w:jc w:val="center"/>
              <w:rPr>
                <w:rFonts w:ascii="宋体" w:hAnsi="宋体" w:cs="宋体" w:eastAsia="宋体" w:hint="default"/>
                <w:sz w:val="28"/>
                <w:szCs w:val="28"/>
              </w:rPr>
            </w:pPr>
            <w:r>
              <w:rPr>
                <w:rFonts w:ascii="宋体" w:hAnsi="宋体" w:cs="宋体" w:eastAsia="宋体" w:hint="default"/>
                <w:sz w:val="28"/>
                <w:szCs w:val="28"/>
              </w:rPr>
              <w:t>收入的比例</w:t>
            </w:r>
          </w:p>
        </w:tc>
      </w:tr>
      <w:tr>
        <w:trPr>
          <w:trHeight w:val="355" w:hRule="exact"/>
        </w:trPr>
        <w:tc>
          <w:tcPr>
            <w:tcW w:w="397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北京华立科泰医药有限责任公司</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1,554,514.86</w:t>
            </w:r>
          </w:p>
        </w:tc>
        <w:tc>
          <w:tcPr>
            <w:tcW w:w="2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28.47</w:t>
            </w:r>
          </w:p>
        </w:tc>
      </w:tr>
      <w:tr>
        <w:trPr>
          <w:trHeight w:val="355" w:hRule="exact"/>
        </w:trPr>
        <w:tc>
          <w:tcPr>
            <w:tcW w:w="397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重庆经济技术开发区生威实业有限公司</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1,408,887.15</w:t>
            </w:r>
          </w:p>
        </w:tc>
        <w:tc>
          <w:tcPr>
            <w:tcW w:w="2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25.80</w:t>
            </w:r>
          </w:p>
        </w:tc>
      </w:tr>
      <w:tr>
        <w:trPr>
          <w:trHeight w:val="355" w:hRule="exact"/>
        </w:trPr>
        <w:tc>
          <w:tcPr>
            <w:tcW w:w="397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上海珐尔玛实业有限公司</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1,128,090.60</w:t>
            </w:r>
          </w:p>
        </w:tc>
        <w:tc>
          <w:tcPr>
            <w:tcW w:w="2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20.66</w:t>
            </w:r>
          </w:p>
        </w:tc>
      </w:tr>
      <w:tr>
        <w:trPr>
          <w:trHeight w:val="355" w:hRule="exact"/>
        </w:trPr>
        <w:tc>
          <w:tcPr>
            <w:tcW w:w="397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重庆仁和麦克新迪药业有限公司</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218,306.25</w:t>
            </w:r>
          </w:p>
        </w:tc>
        <w:tc>
          <w:tcPr>
            <w:tcW w:w="2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4.00</w:t>
            </w:r>
          </w:p>
        </w:tc>
      </w:tr>
      <w:tr>
        <w:trPr>
          <w:trHeight w:val="354" w:hRule="exact"/>
        </w:trPr>
        <w:tc>
          <w:tcPr>
            <w:tcW w:w="3974" w:type="dxa"/>
            <w:tcBorders>
              <w:top w:val="single" w:sz="6" w:space="0" w:color="000000"/>
              <w:left w:val="nil" w:sz="6" w:space="0" w:color="auto"/>
              <w:bottom w:val="single" w:sz="6"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河北冀衡（集团）药业有限公司</w:t>
            </w:r>
          </w:p>
        </w:tc>
        <w:tc>
          <w:tcPr>
            <w:tcW w:w="2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Century Gothic" w:hAnsi="Century Gothic" w:cs="Century Gothic" w:eastAsia="Century Gothic" w:hint="default"/>
                <w:sz w:val="21"/>
                <w:szCs w:val="21"/>
              </w:rPr>
            </w:pPr>
            <w:r>
              <w:rPr>
                <w:rFonts w:ascii="Century Gothic"/>
                <w:spacing w:val="-1"/>
                <w:sz w:val="21"/>
              </w:rPr>
              <w:t>50,045.25</w:t>
            </w:r>
          </w:p>
        </w:tc>
        <w:tc>
          <w:tcPr>
            <w:tcW w:w="23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spacing w:val="-1"/>
                <w:sz w:val="21"/>
              </w:rPr>
              <w:t>0.92</w:t>
            </w:r>
          </w:p>
        </w:tc>
      </w:tr>
      <w:tr>
        <w:trPr>
          <w:trHeight w:val="363" w:hRule="exact"/>
        </w:trPr>
        <w:tc>
          <w:tcPr>
            <w:tcW w:w="3974"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4,359,844.11</w:t>
            </w:r>
            <w:r>
              <w:rPr>
                <w:rFonts w:ascii="Century Gothic"/>
                <w:b/>
                <w:w w:val="95"/>
                <w:sz w:val="21"/>
              </w:rPr>
            </w:r>
            <w:r>
              <w:rPr>
                <w:rFonts w:ascii="Century Gothic"/>
                <w:sz w:val="21"/>
              </w:rPr>
            </w:r>
          </w:p>
        </w:tc>
        <w:tc>
          <w:tcPr>
            <w:tcW w:w="23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0"/>
              <w:ind w:right="106"/>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79.85</w:t>
            </w:r>
            <w:r>
              <w:rPr>
                <w:rFonts w:ascii="Century Gothic"/>
                <w:b/>
                <w:w w:val="95"/>
                <w:sz w:val="21"/>
              </w:rPr>
            </w:r>
            <w:r>
              <w:rPr>
                <w:rFonts w:ascii="Century Gothic"/>
                <w:sz w:val="21"/>
              </w:rPr>
            </w:r>
          </w:p>
        </w:tc>
      </w:tr>
    </w:tbl>
    <w:p>
      <w:pPr>
        <w:spacing w:line="240" w:lineRule="auto" w:before="1"/>
        <w:rPr>
          <w:rFonts w:ascii="宋体" w:hAnsi="宋体" w:cs="宋体" w:eastAsia="宋体" w:hint="default"/>
          <w:sz w:val="13"/>
          <w:szCs w:val="13"/>
        </w:rPr>
      </w:pPr>
    </w:p>
    <w:p>
      <w:pPr>
        <w:pStyle w:val="Heading4"/>
        <w:tabs>
          <w:tab w:pos="1413"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（五）</w:t>
        <w:tab/>
      </w:r>
      <w:r>
        <w:rPr>
          <w:rFonts w:ascii="宋体" w:hAnsi="宋体" w:cs="宋体" w:eastAsia="宋体" w:hint="default"/>
        </w:rPr>
        <w:t>投资收益</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BodyText"/>
        <w:spacing w:line="240" w:lineRule="auto" w:before="0"/>
        <w:ind w:left="558" w:right="0"/>
        <w:jc w:val="left"/>
      </w:pPr>
      <w:r>
        <w:rPr/>
        <w:t>（</w:t>
      </w:r>
      <w:r>
        <w:rPr>
          <w:rFonts w:ascii="Century Gothic" w:hAnsi="Century Gothic" w:cs="Century Gothic" w:eastAsia="Century Gothic" w:hint="default"/>
        </w:rPr>
        <w:t>1</w:t>
      </w:r>
      <w:r>
        <w:rPr/>
        <w:t>）投资收益按来源列示如下：</w:t>
      </w:r>
    </w:p>
    <w:p>
      <w:pPr>
        <w:spacing w:line="240" w:lineRule="auto" w:before="10"/>
        <w:rPr>
          <w:rFonts w:ascii="宋体" w:hAnsi="宋体" w:cs="宋体" w:eastAsia="宋体" w:hint="default"/>
          <w:sz w:val="20"/>
          <w:szCs w:val="20"/>
        </w:rPr>
      </w:pPr>
    </w:p>
    <w:tbl>
      <w:tblPr>
        <w:tblW w:w="0" w:type="auto"/>
        <w:jc w:val="left"/>
        <w:tblInd w:w="281" w:type="dxa"/>
        <w:tblLayout w:type="fixed"/>
        <w:tblCellMar>
          <w:top w:w="0" w:type="dxa"/>
          <w:left w:w="0" w:type="dxa"/>
          <w:bottom w:w="0" w:type="dxa"/>
          <w:right w:w="0" w:type="dxa"/>
        </w:tblCellMar>
        <w:tblLook w:val="01E0"/>
      </w:tblPr>
      <w:tblGrid>
        <w:gridCol w:w="3458"/>
        <w:gridCol w:w="2458"/>
        <w:gridCol w:w="2942"/>
      </w:tblGrid>
      <w:tr>
        <w:trPr>
          <w:trHeight w:val="415" w:hRule="exact"/>
        </w:trPr>
        <w:tc>
          <w:tcPr>
            <w:tcW w:w="3458"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6"/>
              <w:ind w:left="790"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24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695"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94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6"/>
              <w:ind w:left="939"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55"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color w:val="323232"/>
                <w:spacing w:val="-1"/>
                <w:sz w:val="21"/>
              </w:rPr>
              <w:t>20,759,888.40</w:t>
            </w:r>
            <w:r>
              <w:rPr>
                <w:rFonts w:ascii="Century Gothic"/>
                <w:spacing w:val="-1"/>
                <w:sz w:val="21"/>
              </w:rPr>
            </w:r>
          </w:p>
        </w:tc>
        <w:tc>
          <w:tcPr>
            <w:tcW w:w="2942"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58" w:type="dxa"/>
            <w:tcBorders>
              <w:top w:val="single" w:sz="6" w:space="0" w:color="000000"/>
              <w:left w:val="single" w:sz="6" w:space="0" w:color="000000"/>
              <w:bottom w:val="single" w:sz="6" w:space="0" w:color="000000"/>
              <w:right w:val="single" w:sz="6" w:space="0" w:color="000000"/>
            </w:tcBorders>
          </w:tcPr>
          <w:p>
            <w:pP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5"/>
              <w:jc w:val="right"/>
              <w:rPr>
                <w:rFonts w:ascii="Century Gothic" w:hAnsi="Century Gothic" w:cs="Century Gothic" w:eastAsia="Century Gothic" w:hint="default"/>
                <w:sz w:val="21"/>
                <w:szCs w:val="21"/>
              </w:rPr>
            </w:pPr>
            <w:r>
              <w:rPr>
                <w:rFonts w:ascii="Century Gothic"/>
                <w:color w:val="323232"/>
                <w:spacing w:val="-1"/>
                <w:sz w:val="21"/>
              </w:rPr>
              <w:t>755,499.22</w:t>
            </w:r>
            <w:r>
              <w:rPr>
                <w:rFonts w:ascii="Century Gothic"/>
                <w:spacing w:val="-1"/>
                <w:sz w:val="21"/>
              </w:rPr>
            </w:r>
          </w:p>
        </w:tc>
      </w:tr>
      <w:tr>
        <w:trPr>
          <w:trHeight w:val="355" w:hRule="exact"/>
        </w:trPr>
        <w:tc>
          <w:tcPr>
            <w:tcW w:w="345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color w:val="323232"/>
                <w:spacing w:val="-1"/>
                <w:sz w:val="21"/>
              </w:rPr>
              <w:t>11,729,608.84</w:t>
            </w:r>
            <w:r>
              <w:rPr>
                <w:rFonts w:ascii="Century Gothic"/>
                <w:spacing w:val="-1"/>
                <w:sz w:val="21"/>
              </w:rPr>
            </w:r>
          </w:p>
        </w:tc>
        <w:tc>
          <w:tcPr>
            <w:tcW w:w="294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right="104"/>
              <w:jc w:val="right"/>
              <w:rPr>
                <w:rFonts w:ascii="Century Gothic" w:hAnsi="Century Gothic" w:cs="Century Gothic" w:eastAsia="Century Gothic" w:hint="default"/>
                <w:sz w:val="21"/>
                <w:szCs w:val="21"/>
              </w:rPr>
            </w:pPr>
            <w:r>
              <w:rPr>
                <w:rFonts w:ascii="Century Gothic"/>
                <w:color w:val="323232"/>
                <w:spacing w:val="-1"/>
                <w:sz w:val="21"/>
              </w:rPr>
              <w:t>-4,819,157.97</w:t>
            </w:r>
            <w:r>
              <w:rPr>
                <w:rFonts w:ascii="Century Gothic"/>
                <w:spacing w:val="-1"/>
                <w:sz w:val="21"/>
              </w:rPr>
            </w:r>
          </w:p>
        </w:tc>
      </w:tr>
      <w:tr>
        <w:trPr>
          <w:trHeight w:val="416" w:hRule="exact"/>
        </w:trPr>
        <w:tc>
          <w:tcPr>
            <w:tcW w:w="345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7"/>
              <w:ind w:left="21" w:right="0"/>
              <w:jc w:val="center"/>
              <w:rPr>
                <w:rFonts w:ascii="宋体" w:hAnsi="宋体" w:cs="宋体" w:eastAsia="宋体" w:hint="default"/>
                <w:sz w:val="21"/>
                <w:szCs w:val="21"/>
              </w:rPr>
            </w:pPr>
            <w:r>
              <w:rPr>
                <w:rFonts w:ascii="宋体" w:hAnsi="宋体" w:cs="宋体" w:eastAsia="宋体" w:hint="default"/>
                <w:color w:val="212121"/>
                <w:sz w:val="21"/>
                <w:szCs w:val="21"/>
              </w:rPr>
              <w:t>合计</w:t>
            </w:r>
            <w:r>
              <w:rPr>
                <w:rFonts w:ascii="宋体" w:hAnsi="宋体" w:cs="宋体" w:eastAsia="宋体" w:hint="default"/>
                <w:sz w:val="21"/>
                <w:szCs w:val="21"/>
              </w:rPr>
            </w:r>
          </w:p>
        </w:tc>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7"/>
              <w:ind w:right="98"/>
              <w:jc w:val="right"/>
              <w:rPr>
                <w:rFonts w:ascii="Century Gothic" w:hAnsi="Century Gothic" w:cs="Century Gothic" w:eastAsia="Century Gothic" w:hint="default"/>
                <w:sz w:val="21"/>
                <w:szCs w:val="21"/>
              </w:rPr>
            </w:pPr>
            <w:r>
              <w:rPr>
                <w:rFonts w:ascii="Century Gothic"/>
                <w:b/>
                <w:color w:val="323232"/>
                <w:w w:val="99"/>
                <w:sz w:val="21"/>
              </w:rPr>
            </w:r>
            <w:r>
              <w:rPr>
                <w:rFonts w:ascii="Century Gothic"/>
                <w:b/>
                <w:color w:val="323232"/>
                <w:w w:val="95"/>
                <w:sz w:val="21"/>
                <w:u w:val="single" w:color="323232"/>
              </w:rPr>
              <w:t>32,489,497.24</w:t>
            </w:r>
            <w:r>
              <w:rPr>
                <w:rFonts w:ascii="Century Gothic"/>
                <w:b/>
                <w:color w:val="323232"/>
                <w:w w:val="95"/>
                <w:sz w:val="21"/>
              </w:rPr>
            </w:r>
            <w:r>
              <w:rPr>
                <w:rFonts w:ascii="Century Gothic"/>
                <w:sz w:val="21"/>
              </w:rPr>
            </w:r>
          </w:p>
        </w:tc>
        <w:tc>
          <w:tcPr>
            <w:tcW w:w="29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7"/>
              <w:ind w:right="104"/>
              <w:jc w:val="right"/>
              <w:rPr>
                <w:rFonts w:ascii="Century Gothic" w:hAnsi="Century Gothic" w:cs="Century Gothic" w:eastAsia="Century Gothic" w:hint="default"/>
                <w:sz w:val="21"/>
                <w:szCs w:val="21"/>
              </w:rPr>
            </w:pPr>
            <w:r>
              <w:rPr>
                <w:rFonts w:ascii="Century Gothic"/>
                <w:b/>
                <w:color w:val="323232"/>
                <w:w w:val="99"/>
                <w:sz w:val="21"/>
              </w:rPr>
            </w:r>
            <w:r>
              <w:rPr>
                <w:rFonts w:ascii="Century Gothic"/>
                <w:b/>
                <w:color w:val="323232"/>
                <w:spacing w:val="-1"/>
                <w:w w:val="95"/>
                <w:sz w:val="21"/>
                <w:u w:val="single" w:color="323232"/>
              </w:rPr>
              <w:t>-4,063,658.75</w:t>
            </w:r>
            <w:r>
              <w:rPr>
                <w:rFonts w:ascii="Century Gothic"/>
                <w:b/>
                <w:color w:val="323232"/>
                <w:spacing w:val="-1"/>
                <w:w w:val="95"/>
                <w:sz w:val="21"/>
              </w:rPr>
            </w:r>
            <w:r>
              <w:rPr>
                <w:rFonts w:ascii="Century Gothic"/>
                <w:sz w:val="21"/>
              </w:rPr>
            </w:r>
          </w:p>
        </w:tc>
      </w:tr>
    </w:tbl>
    <w:p>
      <w:pPr>
        <w:pStyle w:val="BodyText"/>
        <w:spacing w:line="240" w:lineRule="auto" w:before="86"/>
        <w:ind w:left="558" w:right="0"/>
        <w:jc w:val="left"/>
      </w:pPr>
      <w:r>
        <w:rPr/>
        <w:t>（</w:t>
      </w:r>
      <w:r>
        <w:rPr>
          <w:rFonts w:ascii="Century Gothic" w:hAnsi="Century Gothic" w:cs="Century Gothic" w:eastAsia="Century Gothic" w:hint="default"/>
        </w:rPr>
        <w:t>2</w:t>
      </w:r>
      <w:r>
        <w:rPr/>
        <w:t>）按成本法核算的长期股权投资收益：</w:t>
      </w:r>
    </w:p>
    <w:p>
      <w:pPr>
        <w:spacing w:line="240" w:lineRule="auto" w:before="10"/>
        <w:rPr>
          <w:rFonts w:ascii="宋体" w:hAnsi="宋体" w:cs="宋体" w:eastAsia="宋体" w:hint="default"/>
          <w:sz w:val="20"/>
          <w:szCs w:val="20"/>
        </w:rPr>
      </w:pPr>
    </w:p>
    <w:tbl>
      <w:tblPr>
        <w:tblW w:w="0" w:type="auto"/>
        <w:jc w:val="left"/>
        <w:tblInd w:w="173" w:type="dxa"/>
        <w:tblLayout w:type="fixed"/>
        <w:tblCellMar>
          <w:top w:w="0" w:type="dxa"/>
          <w:left w:w="0" w:type="dxa"/>
          <w:bottom w:w="0" w:type="dxa"/>
          <w:right w:w="0" w:type="dxa"/>
        </w:tblCellMar>
        <w:tblLook w:val="01E0"/>
      </w:tblPr>
      <w:tblGrid>
        <w:gridCol w:w="2286"/>
        <w:gridCol w:w="2263"/>
        <w:gridCol w:w="2262"/>
        <w:gridCol w:w="2263"/>
      </w:tblGrid>
      <w:tr>
        <w:trPr>
          <w:trHeight w:val="568" w:hRule="exact"/>
        </w:trPr>
        <w:tc>
          <w:tcPr>
            <w:tcW w:w="228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21" w:right="0"/>
              <w:jc w:val="center"/>
              <w:rPr>
                <w:rFonts w:ascii="宋体" w:hAnsi="宋体" w:cs="宋体" w:eastAsia="宋体" w:hint="default"/>
                <w:sz w:val="21"/>
                <w:szCs w:val="21"/>
              </w:rPr>
            </w:pPr>
            <w:r>
              <w:rPr>
                <w:rFonts w:ascii="宋体" w:hAnsi="宋体" w:cs="宋体" w:eastAsia="宋体" w:hint="default"/>
                <w:sz w:val="21"/>
                <w:szCs w:val="21"/>
              </w:rPr>
              <w:t>被投资单位名称</w:t>
            </w:r>
          </w:p>
        </w:tc>
        <w:tc>
          <w:tcPr>
            <w:tcW w:w="22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59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2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598"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263"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的原因</w:t>
            </w:r>
          </w:p>
        </w:tc>
      </w:tr>
      <w:tr>
        <w:trPr>
          <w:trHeight w:val="560" w:hRule="exact"/>
        </w:trPr>
        <w:tc>
          <w:tcPr>
            <w:tcW w:w="228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17"/>
                <w:sz w:val="21"/>
                <w:szCs w:val="21"/>
              </w:rPr>
              <w:t>华立仪表集团股份有</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20,759,888.40</w:t>
            </w:r>
          </w:p>
        </w:tc>
        <w:tc>
          <w:tcPr>
            <w:tcW w:w="2262" w:type="dxa"/>
            <w:tcBorders>
              <w:top w:val="single" w:sz="6" w:space="0" w:color="000000"/>
              <w:left w:val="single" w:sz="6" w:space="0" w:color="000000"/>
              <w:bottom w:val="single" w:sz="6" w:space="0" w:color="000000"/>
              <w:right w:val="single" w:sz="6" w:space="0" w:color="000000"/>
            </w:tcBorders>
          </w:tcPr>
          <w:p>
            <w:pPr/>
          </w:p>
        </w:tc>
        <w:tc>
          <w:tcPr>
            <w:tcW w:w="2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2"/>
              <w:ind w:left="704" w:right="0"/>
              <w:jc w:val="left"/>
              <w:rPr>
                <w:rFonts w:ascii="宋体" w:hAnsi="宋体" w:cs="宋体" w:eastAsia="宋体" w:hint="default"/>
                <w:sz w:val="21"/>
                <w:szCs w:val="21"/>
              </w:rPr>
            </w:pPr>
            <w:r>
              <w:rPr>
                <w:rFonts w:ascii="宋体" w:hAnsi="宋体" w:cs="宋体" w:eastAsia="宋体" w:hint="default"/>
                <w:sz w:val="21"/>
                <w:szCs w:val="21"/>
              </w:rPr>
              <w:t>股利分配</w:t>
            </w:r>
          </w:p>
        </w:tc>
      </w:tr>
      <w:tr>
        <w:trPr>
          <w:trHeight w:val="363" w:hRule="exact"/>
        </w:trPr>
        <w:tc>
          <w:tcPr>
            <w:tcW w:w="2286"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b/>
                <w:w w:val="99"/>
                <w:sz w:val="21"/>
              </w:rPr>
            </w:r>
            <w:r>
              <w:rPr>
                <w:rFonts w:ascii="Century Gothic"/>
                <w:b/>
                <w:w w:val="95"/>
                <w:sz w:val="21"/>
                <w:u w:val="single" w:color="000000"/>
              </w:rPr>
              <w:t>20,759,888.40</w:t>
            </w:r>
            <w:r>
              <w:rPr>
                <w:rFonts w:ascii="Century Gothic"/>
                <w:b/>
                <w:w w:val="95"/>
                <w:sz w:val="21"/>
              </w:rPr>
            </w:r>
            <w:r>
              <w:rPr>
                <w:rFonts w:ascii="Century Gothic"/>
                <w:sz w:val="21"/>
              </w:rPr>
            </w:r>
          </w:p>
        </w:tc>
        <w:tc>
          <w:tcPr>
            <w:tcW w:w="2262" w:type="dxa"/>
            <w:tcBorders>
              <w:top w:val="single" w:sz="6" w:space="0" w:color="000000"/>
              <w:left w:val="single" w:sz="6" w:space="0" w:color="000000"/>
              <w:bottom w:val="single" w:sz="12" w:space="0" w:color="000000"/>
              <w:right w:val="single" w:sz="6" w:space="0" w:color="000000"/>
            </w:tcBorders>
          </w:tcPr>
          <w:p>
            <w:pPr/>
          </w:p>
        </w:tc>
        <w:tc>
          <w:tcPr>
            <w:tcW w:w="2263"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86"/>
        <w:ind w:left="558" w:right="0"/>
        <w:jc w:val="left"/>
      </w:pPr>
      <w:r>
        <w:rPr/>
        <w:t>（</w:t>
      </w:r>
      <w:r>
        <w:rPr>
          <w:rFonts w:ascii="Century Gothic" w:hAnsi="Century Gothic" w:cs="Century Gothic" w:eastAsia="Century Gothic" w:hint="default"/>
        </w:rPr>
        <w:t>3</w:t>
      </w:r>
      <w:r>
        <w:rPr/>
        <w:t>）按权益法核算的长期股权投资收益：</w:t>
      </w:r>
    </w:p>
    <w:p>
      <w:pPr>
        <w:spacing w:line="240" w:lineRule="auto" w:before="11"/>
        <w:rPr>
          <w:rFonts w:ascii="宋体" w:hAnsi="宋体" w:cs="宋体" w:eastAsia="宋体" w:hint="default"/>
          <w:sz w:val="20"/>
          <w:szCs w:val="20"/>
        </w:rPr>
      </w:pPr>
    </w:p>
    <w:tbl>
      <w:tblPr>
        <w:tblW w:w="0" w:type="auto"/>
        <w:jc w:val="left"/>
        <w:tblInd w:w="173" w:type="dxa"/>
        <w:tblLayout w:type="fixed"/>
        <w:tblCellMar>
          <w:top w:w="0" w:type="dxa"/>
          <w:left w:w="0" w:type="dxa"/>
          <w:bottom w:w="0" w:type="dxa"/>
          <w:right w:w="0" w:type="dxa"/>
        </w:tblCellMar>
        <w:tblLook w:val="01E0"/>
      </w:tblPr>
      <w:tblGrid>
        <w:gridCol w:w="2286"/>
        <w:gridCol w:w="2263"/>
        <w:gridCol w:w="2262"/>
        <w:gridCol w:w="2263"/>
      </w:tblGrid>
      <w:tr>
        <w:trPr>
          <w:trHeight w:val="576" w:hRule="exact"/>
        </w:trPr>
        <w:tc>
          <w:tcPr>
            <w:tcW w:w="2286"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102"/>
              <w:ind w:left="415"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226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2"/>
              <w:ind w:left="59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2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2"/>
              <w:ind w:left="598"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263" w:type="dxa"/>
            <w:tcBorders>
              <w:top w:val="single" w:sz="12" w:space="0" w:color="000000"/>
              <w:left w:val="single" w:sz="6" w:space="0" w:color="000000"/>
              <w:bottom w:val="single" w:sz="12" w:space="0" w:color="000000"/>
              <w:right w:val="nil" w:sz="6" w:space="0" w:color="auto"/>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本期比上期增减变动</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的原因</w:t>
            </w:r>
          </w:p>
        </w:tc>
      </w:tr>
    </w:tbl>
    <w:p>
      <w:pPr>
        <w:spacing w:line="240" w:lineRule="auto" w:before="12"/>
        <w:rPr>
          <w:rFonts w:ascii="宋体" w:hAnsi="宋体" w:cs="宋体" w:eastAsia="宋体" w:hint="default"/>
          <w:sz w:val="22"/>
          <w:szCs w:val="22"/>
        </w:rPr>
      </w:pPr>
    </w:p>
    <w:p>
      <w:pPr>
        <w:spacing w:before="76"/>
        <w:ind w:left="4455" w:right="4395" w:firstLine="0"/>
        <w:jc w:val="center"/>
        <w:rPr>
          <w:rFonts w:ascii="Times New Roman" w:hAnsi="Times New Roman" w:cs="Times New Roman" w:eastAsia="Times New Roman" w:hint="default"/>
          <w:sz w:val="18"/>
          <w:szCs w:val="18"/>
        </w:rPr>
      </w:pPr>
      <w:r>
        <w:rPr>
          <w:rFonts w:ascii="Times New Roman"/>
          <w:sz w:val="18"/>
        </w:rPr>
        <w:t>105</w:t>
      </w:r>
    </w:p>
    <w:p>
      <w:pPr>
        <w:spacing w:after="0"/>
        <w:jc w:val="center"/>
        <w:rPr>
          <w:rFonts w:ascii="Times New Roman" w:hAnsi="Times New Roman" w:cs="Times New Roman" w:eastAsia="Times New Roman" w:hint="default"/>
          <w:sz w:val="18"/>
          <w:szCs w:val="18"/>
        </w:rPr>
        <w:sectPr>
          <w:pgSz w:w="11910" w:h="16840"/>
          <w:pgMar w:top="780" w:bottom="280" w:left="1280" w:right="122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0"/>
        <w:jc w:val="left"/>
        <w:rPr>
          <w:b w:val="0"/>
          <w:bCs w:val="0"/>
        </w:rPr>
      </w:pPr>
      <w:r>
        <w:rPr/>
        <w:pict>
          <v:shape style="position:absolute;margin-left:64.860001pt;margin-top:-9.926001pt;width:84.0pt;height:23.94pt;mso-position-horizontal-relative:page;mso-position-vertical-relative:paragraph;z-index:6808"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173" w:type="dxa"/>
        <w:tblLayout w:type="fixed"/>
        <w:tblCellMar>
          <w:top w:w="0" w:type="dxa"/>
          <w:left w:w="0" w:type="dxa"/>
          <w:bottom w:w="0" w:type="dxa"/>
          <w:right w:w="0" w:type="dxa"/>
        </w:tblCellMar>
        <w:tblLook w:val="01E0"/>
      </w:tblPr>
      <w:tblGrid>
        <w:gridCol w:w="2286"/>
        <w:gridCol w:w="2263"/>
        <w:gridCol w:w="2262"/>
        <w:gridCol w:w="2263"/>
      </w:tblGrid>
      <w:tr>
        <w:trPr>
          <w:trHeight w:val="568" w:hRule="exact"/>
        </w:trPr>
        <w:tc>
          <w:tcPr>
            <w:tcW w:w="228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安挺医药有限公司</w:t>
            </w:r>
          </w:p>
        </w:tc>
        <w:tc>
          <w:tcPr>
            <w:tcW w:w="2263" w:type="dxa"/>
            <w:tcBorders>
              <w:top w:val="single" w:sz="12" w:space="0" w:color="000000"/>
              <w:left w:val="single" w:sz="6" w:space="0" w:color="000000"/>
              <w:bottom w:val="single" w:sz="6" w:space="0" w:color="000000"/>
              <w:right w:val="single" w:sz="6" w:space="0" w:color="000000"/>
            </w:tcBorders>
          </w:tcPr>
          <w:p>
            <w:pPr/>
          </w:p>
        </w:tc>
        <w:tc>
          <w:tcPr>
            <w:tcW w:w="22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2"/>
              <w:ind w:right="99"/>
              <w:jc w:val="right"/>
              <w:rPr>
                <w:rFonts w:ascii="Century Gothic" w:hAnsi="Century Gothic" w:cs="Century Gothic" w:eastAsia="Century Gothic" w:hint="default"/>
                <w:sz w:val="21"/>
                <w:szCs w:val="21"/>
              </w:rPr>
            </w:pPr>
            <w:r>
              <w:rPr>
                <w:rFonts w:ascii="Century Gothic"/>
                <w:spacing w:val="-1"/>
                <w:sz w:val="21"/>
              </w:rPr>
              <w:t>755,499.22</w:t>
            </w:r>
          </w:p>
        </w:tc>
        <w:tc>
          <w:tcPr>
            <w:tcW w:w="2263" w:type="dxa"/>
            <w:tcBorders>
              <w:top w:val="single" w:sz="12" w:space="0" w:color="000000"/>
              <w:left w:val="single" w:sz="6" w:space="0" w:color="000000"/>
              <w:bottom w:val="single" w:sz="6" w:space="0" w:color="000000"/>
              <w:right w:val="nil" w:sz="6" w:space="0" w:color="auto"/>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被投资单位经营情况</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w:t>
            </w:r>
          </w:p>
        </w:tc>
      </w:tr>
      <w:tr>
        <w:trPr>
          <w:trHeight w:val="363" w:hRule="exact"/>
        </w:trPr>
        <w:tc>
          <w:tcPr>
            <w:tcW w:w="2286"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2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63" w:type="dxa"/>
            <w:tcBorders>
              <w:top w:val="single" w:sz="6" w:space="0" w:color="000000"/>
              <w:left w:val="single" w:sz="6" w:space="0" w:color="000000"/>
              <w:bottom w:val="single" w:sz="12" w:space="0" w:color="000000"/>
              <w:right w:val="single" w:sz="6" w:space="0" w:color="000000"/>
            </w:tcBorders>
          </w:tcPr>
          <w:p>
            <w:pPr/>
          </w:p>
        </w:tc>
        <w:tc>
          <w:tcPr>
            <w:tcW w:w="22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7"/>
              <w:jc w:val="right"/>
              <w:rPr>
                <w:rFonts w:ascii="Century Gothic" w:hAnsi="Century Gothic" w:cs="Century Gothic" w:eastAsia="Century Gothic" w:hint="default"/>
                <w:sz w:val="21"/>
                <w:szCs w:val="21"/>
              </w:rPr>
            </w:pPr>
            <w:r>
              <w:rPr>
                <w:rFonts w:ascii="Century Gothic"/>
                <w:b/>
                <w:sz w:val="21"/>
              </w:rPr>
            </w:r>
            <w:r>
              <w:rPr>
                <w:rFonts w:ascii="Century Gothic"/>
                <w:b/>
                <w:sz w:val="21"/>
                <w:u w:val="single" w:color="000000"/>
              </w:rPr>
              <w:t> </w:t>
            </w:r>
            <w:r>
              <w:rPr>
                <w:rFonts w:ascii="Century Gothic"/>
                <w:b/>
                <w:spacing w:val="-12"/>
                <w:sz w:val="21"/>
                <w:u w:val="single" w:color="000000"/>
              </w:rPr>
              <w:t> </w:t>
            </w:r>
            <w:r>
              <w:rPr>
                <w:rFonts w:ascii="Century Gothic"/>
                <w:b/>
                <w:sz w:val="21"/>
                <w:u w:val="single" w:color="000000"/>
              </w:rPr>
              <w:t>755,499.22</w:t>
            </w:r>
            <w:r>
              <w:rPr>
                <w:rFonts w:ascii="Century Gothic"/>
                <w:b/>
                <w:sz w:val="21"/>
              </w:rPr>
            </w:r>
            <w:r>
              <w:rPr>
                <w:rFonts w:ascii="Century Gothic"/>
                <w:sz w:val="21"/>
              </w:rPr>
            </w:r>
          </w:p>
        </w:tc>
        <w:tc>
          <w:tcPr>
            <w:tcW w:w="2263" w:type="dxa"/>
            <w:tcBorders>
              <w:top w:val="single" w:sz="6" w:space="0" w:color="000000"/>
              <w:left w:val="single" w:sz="6" w:space="0" w:color="000000"/>
              <w:bottom w:val="single" w:sz="12" w:space="0" w:color="000000"/>
              <w:right w:val="nil" w:sz="6" w:space="0" w:color="auto"/>
            </w:tcBorders>
          </w:tcPr>
          <w:p>
            <w:pPr/>
          </w:p>
        </w:tc>
      </w:tr>
    </w:tbl>
    <w:p>
      <w:pPr>
        <w:pStyle w:val="Heading4"/>
        <w:tabs>
          <w:tab w:pos="1413" w:val="left" w:leader="none"/>
        </w:tabs>
        <w:spacing w:line="240" w:lineRule="auto" w:before="94"/>
        <w:ind w:right="0"/>
        <w:jc w:val="left"/>
        <w:rPr>
          <w:rFonts w:ascii="宋体" w:hAnsi="宋体" w:cs="宋体" w:eastAsia="宋体" w:hint="default"/>
          <w:b w:val="0"/>
          <w:bCs w:val="0"/>
        </w:rPr>
      </w:pPr>
      <w:r>
        <w:rPr>
          <w:rFonts w:ascii="宋体" w:hAnsi="宋体" w:cs="宋体" w:eastAsia="宋体" w:hint="default"/>
          <w:w w:val="95"/>
        </w:rPr>
        <w:t>（六）</w:t>
        <w:tab/>
      </w:r>
      <w:r>
        <w:rPr>
          <w:rFonts w:ascii="宋体" w:hAnsi="宋体" w:cs="宋体" w:eastAsia="宋体" w:hint="default"/>
        </w:rPr>
        <w:t>现金流量表补充资料</w:t>
      </w:r>
      <w:r>
        <w:rPr>
          <w:rFonts w:ascii="宋体" w:hAnsi="宋体" w:cs="宋体" w:eastAsia="宋体" w:hint="default"/>
          <w:b w:val="0"/>
          <w:bCs w:val="0"/>
        </w:rPr>
      </w:r>
    </w:p>
    <w:p>
      <w:pPr>
        <w:spacing w:line="240" w:lineRule="auto" w:before="1"/>
        <w:rPr>
          <w:rFonts w:ascii="宋体" w:hAnsi="宋体" w:cs="宋体" w:eastAsia="宋体" w:hint="default"/>
          <w:b/>
          <w:bCs/>
          <w:sz w:val="22"/>
          <w:szCs w:val="22"/>
        </w:rPr>
      </w:pPr>
    </w:p>
    <w:tbl>
      <w:tblPr>
        <w:tblW w:w="0" w:type="auto"/>
        <w:jc w:val="left"/>
        <w:tblInd w:w="281" w:type="dxa"/>
        <w:tblLayout w:type="fixed"/>
        <w:tblCellMar>
          <w:top w:w="0" w:type="dxa"/>
          <w:left w:w="0" w:type="dxa"/>
          <w:bottom w:w="0" w:type="dxa"/>
          <w:right w:w="0" w:type="dxa"/>
        </w:tblCellMar>
        <w:tblLook w:val="01E0"/>
      </w:tblPr>
      <w:tblGrid>
        <w:gridCol w:w="5516"/>
        <w:gridCol w:w="1672"/>
        <w:gridCol w:w="1670"/>
      </w:tblGrid>
      <w:tr>
        <w:trPr>
          <w:trHeight w:val="392" w:hRule="exact"/>
        </w:trPr>
        <w:tc>
          <w:tcPr>
            <w:tcW w:w="5516"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
              <w:ind w:left="20"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
              <w:ind w:left="407"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70"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
              <w:ind w:left="408"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1.</w:t>
            </w:r>
            <w:r>
              <w:rPr>
                <w:rFonts w:ascii="宋体" w:hAnsi="宋体" w:cs="宋体" w:eastAsia="宋体" w:hint="default"/>
                <w:sz w:val="21"/>
                <w:szCs w:val="21"/>
              </w:rPr>
              <w:t>将净利润调节为经营活动现金流量：</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entury Gothic" w:hAnsi="Century Gothic" w:cs="Century Gothic" w:eastAsia="Century Gothic" w:hint="default"/>
                <w:sz w:val="21"/>
                <w:szCs w:val="21"/>
              </w:rPr>
            </w:pPr>
            <w:r>
              <w:rPr>
                <w:rFonts w:ascii="Century Gothic"/>
                <w:spacing w:val="-1"/>
                <w:sz w:val="21"/>
              </w:rPr>
              <w:t>-13,058,730.99</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4"/>
              <w:jc w:val="right"/>
              <w:rPr>
                <w:rFonts w:ascii="Century Gothic" w:hAnsi="Century Gothic" w:cs="Century Gothic" w:eastAsia="Century Gothic" w:hint="default"/>
                <w:sz w:val="21"/>
                <w:szCs w:val="21"/>
              </w:rPr>
            </w:pPr>
            <w:r>
              <w:rPr>
                <w:rFonts w:ascii="Century Gothic"/>
                <w:spacing w:val="-1"/>
                <w:sz w:val="21"/>
              </w:rPr>
              <w:t>-37,921,791.76</w:t>
            </w:r>
            <w:r>
              <w:rPr>
                <w:rFonts w:ascii="Century Gothic"/>
                <w:sz w:val="21"/>
              </w:rPr>
            </w: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0"/>
              <w:jc w:val="right"/>
              <w:rPr>
                <w:rFonts w:ascii="Century Gothic" w:hAnsi="Century Gothic" w:cs="Century Gothic" w:eastAsia="Century Gothic" w:hint="default"/>
                <w:sz w:val="21"/>
                <w:szCs w:val="21"/>
              </w:rPr>
            </w:pPr>
            <w:r>
              <w:rPr>
                <w:rFonts w:ascii="Century Gothic"/>
                <w:spacing w:val="-1"/>
                <w:sz w:val="21"/>
              </w:rPr>
              <w:t>5,269,516.23</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-4,158,035.70</w:t>
            </w: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0"/>
              <w:jc w:val="right"/>
              <w:rPr>
                <w:rFonts w:ascii="Century Gothic" w:hAnsi="Century Gothic" w:cs="Century Gothic" w:eastAsia="Century Gothic" w:hint="default"/>
                <w:sz w:val="21"/>
                <w:szCs w:val="21"/>
              </w:rPr>
            </w:pPr>
            <w:r>
              <w:rPr>
                <w:rFonts w:ascii="Century Gothic"/>
                <w:spacing w:val="-1"/>
                <w:sz w:val="21"/>
              </w:rPr>
              <w:t>2,559,774.64</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6"/>
              <w:jc w:val="right"/>
              <w:rPr>
                <w:rFonts w:ascii="Century Gothic" w:hAnsi="Century Gothic" w:cs="Century Gothic" w:eastAsia="Century Gothic" w:hint="default"/>
                <w:sz w:val="21"/>
                <w:szCs w:val="21"/>
              </w:rPr>
            </w:pPr>
            <w:r>
              <w:rPr>
                <w:rFonts w:ascii="Century Gothic"/>
                <w:spacing w:val="-1"/>
                <w:sz w:val="21"/>
              </w:rPr>
              <w:t>2,343,295.40</w:t>
            </w: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0"/>
              <w:jc w:val="right"/>
              <w:rPr>
                <w:rFonts w:ascii="Century Gothic" w:hAnsi="Century Gothic" w:cs="Century Gothic" w:eastAsia="Century Gothic" w:hint="default"/>
                <w:sz w:val="21"/>
                <w:szCs w:val="21"/>
              </w:rPr>
            </w:pPr>
            <w:r>
              <w:rPr>
                <w:rFonts w:ascii="Century Gothic"/>
                <w:spacing w:val="-1"/>
                <w:sz w:val="21"/>
              </w:rPr>
              <w:t>443,636.04</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484,388.41</w:t>
            </w: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0"/>
              <w:jc w:val="right"/>
              <w:rPr>
                <w:rFonts w:ascii="Century Gothic" w:hAnsi="Century Gothic" w:cs="Century Gothic" w:eastAsia="Century Gothic" w:hint="default"/>
                <w:sz w:val="21"/>
                <w:szCs w:val="21"/>
              </w:rPr>
            </w:pPr>
            <w:r>
              <w:rPr>
                <w:rFonts w:ascii="Century Gothic"/>
                <w:spacing w:val="-1"/>
                <w:sz w:val="21"/>
              </w:rPr>
              <w:t>-366,904.58</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5"/>
              <w:jc w:val="right"/>
              <w:rPr>
                <w:rFonts w:ascii="Century Gothic" w:hAnsi="Century Gothic" w:cs="Century Gothic" w:eastAsia="Century Gothic" w:hint="default"/>
                <w:sz w:val="21"/>
                <w:szCs w:val="21"/>
              </w:rPr>
            </w:pPr>
            <w:r>
              <w:rPr>
                <w:rFonts w:ascii="Century Gothic"/>
                <w:spacing w:val="-1"/>
                <w:sz w:val="21"/>
              </w:rPr>
              <w:t>62,952.01</w:t>
            </w: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entury Gothic" w:hAnsi="Century Gothic" w:cs="Century Gothic" w:eastAsia="Century Gothic" w:hint="default"/>
                <w:sz w:val="21"/>
                <w:szCs w:val="21"/>
              </w:rPr>
            </w:pPr>
            <w:r>
              <w:rPr>
                <w:rFonts w:ascii="Century Gothic"/>
                <w:spacing w:val="-1"/>
                <w:sz w:val="21"/>
              </w:rPr>
              <w:t>21,941,320.99</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23,320,887.97</w:t>
            </w: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entury Gothic" w:hAnsi="Century Gothic" w:cs="Century Gothic" w:eastAsia="Century Gothic" w:hint="default"/>
                <w:sz w:val="21"/>
                <w:szCs w:val="21"/>
              </w:rPr>
            </w:pPr>
            <w:r>
              <w:rPr>
                <w:rFonts w:ascii="Century Gothic"/>
                <w:spacing w:val="-1"/>
                <w:sz w:val="21"/>
              </w:rPr>
              <w:t>-32,489,497.24</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6"/>
              <w:jc w:val="right"/>
              <w:rPr>
                <w:rFonts w:ascii="Century Gothic" w:hAnsi="Century Gothic" w:cs="Century Gothic" w:eastAsia="Century Gothic" w:hint="default"/>
                <w:sz w:val="21"/>
                <w:szCs w:val="21"/>
              </w:rPr>
            </w:pPr>
            <w:r>
              <w:rPr>
                <w:rFonts w:ascii="Century Gothic"/>
                <w:spacing w:val="-1"/>
                <w:sz w:val="21"/>
              </w:rPr>
              <w:t>4,063,658.75</w:t>
            </w: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0"/>
              <w:jc w:val="right"/>
              <w:rPr>
                <w:rFonts w:ascii="Century Gothic" w:hAnsi="Century Gothic" w:cs="Century Gothic" w:eastAsia="Century Gothic" w:hint="default"/>
                <w:sz w:val="21"/>
                <w:szCs w:val="21"/>
              </w:rPr>
            </w:pPr>
            <w:r>
              <w:rPr>
                <w:rFonts w:ascii="Century Gothic"/>
                <w:spacing w:val="-1"/>
                <w:sz w:val="21"/>
              </w:rPr>
              <w:t>-790,427.44</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6"/>
              <w:jc w:val="right"/>
              <w:rPr>
                <w:rFonts w:ascii="Century Gothic" w:hAnsi="Century Gothic" w:cs="Century Gothic" w:eastAsia="Century Gothic" w:hint="default"/>
                <w:sz w:val="21"/>
                <w:szCs w:val="21"/>
              </w:rPr>
            </w:pPr>
            <w:r>
              <w:rPr>
                <w:rFonts w:ascii="Century Gothic"/>
                <w:spacing w:val="-1"/>
                <w:sz w:val="21"/>
              </w:rPr>
              <w:t>1,193,457.87</w:t>
            </w: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00"/>
              <w:jc w:val="right"/>
              <w:rPr>
                <w:rFonts w:ascii="Century Gothic" w:hAnsi="Century Gothic" w:cs="Century Gothic" w:eastAsia="Century Gothic" w:hint="default"/>
                <w:sz w:val="21"/>
                <w:szCs w:val="21"/>
              </w:rPr>
            </w:pPr>
            <w:r>
              <w:rPr>
                <w:rFonts w:ascii="Century Gothic"/>
                <w:spacing w:val="-1"/>
                <w:sz w:val="21"/>
              </w:rPr>
              <w:t>-377,432.97</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6"/>
              <w:jc w:val="right"/>
              <w:rPr>
                <w:rFonts w:ascii="Century Gothic" w:hAnsi="Century Gothic" w:cs="Century Gothic" w:eastAsia="Century Gothic" w:hint="default"/>
                <w:sz w:val="21"/>
                <w:szCs w:val="21"/>
              </w:rPr>
            </w:pPr>
            <w:r>
              <w:rPr>
                <w:rFonts w:ascii="Century Gothic"/>
                <w:spacing w:val="-1"/>
                <w:sz w:val="21"/>
              </w:rPr>
              <w:t>-571,425.47</w:t>
            </w: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entury Gothic" w:hAnsi="Century Gothic" w:cs="Century Gothic" w:eastAsia="Century Gothic" w:hint="default"/>
                <w:sz w:val="21"/>
                <w:szCs w:val="21"/>
              </w:rPr>
            </w:pPr>
            <w:r>
              <w:rPr>
                <w:rFonts w:ascii="Century Gothic"/>
                <w:spacing w:val="-1"/>
                <w:sz w:val="21"/>
              </w:rPr>
              <w:t>260,121,620.68</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4"/>
              <w:jc w:val="right"/>
              <w:rPr>
                <w:rFonts w:ascii="Century Gothic" w:hAnsi="Century Gothic" w:cs="Century Gothic" w:eastAsia="Century Gothic" w:hint="default"/>
                <w:sz w:val="21"/>
                <w:szCs w:val="21"/>
              </w:rPr>
            </w:pPr>
            <w:r>
              <w:rPr>
                <w:rFonts w:ascii="Century Gothic"/>
                <w:spacing w:val="-1"/>
                <w:sz w:val="21"/>
              </w:rPr>
              <w:t>34,649,713.64</w:t>
            </w: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entury Gothic" w:hAnsi="Century Gothic" w:cs="Century Gothic" w:eastAsia="Century Gothic" w:hint="default"/>
                <w:sz w:val="21"/>
                <w:szCs w:val="21"/>
              </w:rPr>
            </w:pPr>
            <w:r>
              <w:rPr>
                <w:rFonts w:ascii="Century Gothic"/>
                <w:spacing w:val="-1"/>
                <w:sz w:val="21"/>
              </w:rPr>
              <w:t>-74,238,343.68</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106,122,964.70</w:t>
            </w:r>
            <w:r>
              <w:rPr>
                <w:rFonts w:ascii="Century Gothic"/>
                <w:sz w:val="21"/>
              </w:rPr>
            </w: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9"/>
              <w:jc w:val="right"/>
              <w:rPr>
                <w:rFonts w:ascii="Century Gothic" w:hAnsi="Century Gothic" w:cs="Century Gothic" w:eastAsia="Century Gothic" w:hint="default"/>
                <w:sz w:val="21"/>
                <w:szCs w:val="21"/>
              </w:rPr>
            </w:pPr>
            <w:r>
              <w:rPr>
                <w:rFonts w:ascii="Century Gothic"/>
                <w:spacing w:val="-1"/>
                <w:sz w:val="21"/>
              </w:rPr>
              <w:t>169,014,531.68</w:t>
            </w:r>
            <w:r>
              <w:rPr>
                <w:rFonts w:ascii="Century Gothic"/>
                <w:sz w:val="21"/>
              </w:rPr>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129,590,065.82</w:t>
            </w:r>
            <w:r>
              <w:rPr>
                <w:rFonts w:ascii="Century Gothic"/>
                <w:sz w:val="21"/>
              </w:rPr>
            </w: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2.</w:t>
            </w:r>
            <w:r>
              <w:rPr>
                <w:rFonts w:ascii="宋体" w:hAnsi="宋体" w:cs="宋体" w:eastAsia="宋体" w:hint="default"/>
                <w:sz w:val="21"/>
                <w:szCs w:val="21"/>
              </w:rPr>
              <w:t>不涉及现金收支的重大投资和筹资活动：</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Century Gothic" w:hAnsi="Century Gothic" w:cs="Century Gothic" w:eastAsia="Century Gothic" w:hint="default"/>
                <w:sz w:val="21"/>
                <w:szCs w:val="21"/>
              </w:rPr>
              <w:t>3.</w:t>
            </w:r>
            <w:r>
              <w:rPr>
                <w:rFonts w:ascii="宋体" w:hAnsi="宋体" w:cs="宋体" w:eastAsia="宋体" w:hint="default"/>
                <w:sz w:val="21"/>
                <w:szCs w:val="21"/>
              </w:rPr>
              <w:t>现金及现金等价物净变动情况：</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现金的年末余额</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entury Gothic" w:hAnsi="Century Gothic" w:cs="Century Gothic" w:eastAsia="Century Gothic" w:hint="default"/>
                <w:sz w:val="21"/>
                <w:szCs w:val="21"/>
              </w:rPr>
            </w:pPr>
            <w:r>
              <w:rPr>
                <w:rFonts w:ascii="Century Gothic"/>
                <w:spacing w:val="-1"/>
                <w:sz w:val="21"/>
              </w:rPr>
              <w:t>11,152,729.83</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5"/>
              <w:jc w:val="right"/>
              <w:rPr>
                <w:rFonts w:ascii="Century Gothic" w:hAnsi="Century Gothic" w:cs="Century Gothic" w:eastAsia="Century Gothic" w:hint="default"/>
                <w:sz w:val="21"/>
                <w:szCs w:val="21"/>
              </w:rPr>
            </w:pPr>
            <w:r>
              <w:rPr>
                <w:rFonts w:ascii="Century Gothic"/>
                <w:spacing w:val="-1"/>
                <w:sz w:val="21"/>
              </w:rPr>
              <w:t>12,647,372.43</w:t>
            </w: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Century Gothic" w:hAnsi="Century Gothic" w:cs="Century Gothic" w:eastAsia="Century Gothic" w:hint="default"/>
                <w:sz w:val="21"/>
                <w:szCs w:val="21"/>
              </w:rPr>
            </w:pPr>
            <w:r>
              <w:rPr>
                <w:rFonts w:ascii="Century Gothic"/>
                <w:spacing w:val="-1"/>
                <w:sz w:val="21"/>
              </w:rPr>
              <w:t>12,647,372.43</w:t>
            </w:r>
          </w:p>
        </w:tc>
        <w:tc>
          <w:tcPr>
            <w:tcW w:w="16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5"/>
              <w:ind w:right="106"/>
              <w:jc w:val="right"/>
              <w:rPr>
                <w:rFonts w:ascii="Century Gothic" w:hAnsi="Century Gothic" w:cs="Century Gothic" w:eastAsia="Century Gothic" w:hint="default"/>
                <w:sz w:val="21"/>
                <w:szCs w:val="21"/>
              </w:rPr>
            </w:pPr>
            <w:r>
              <w:rPr>
                <w:rFonts w:ascii="Century Gothic"/>
                <w:spacing w:val="-1"/>
                <w:sz w:val="21"/>
              </w:rPr>
              <w:t>1,723,390.44</w:t>
            </w: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加：现金等价物的年末余额</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84" w:hRule="exact"/>
        </w:trPr>
        <w:tc>
          <w:tcPr>
            <w:tcW w:w="55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1672" w:type="dxa"/>
            <w:tcBorders>
              <w:top w:val="single" w:sz="6" w:space="0" w:color="000000"/>
              <w:left w:val="single" w:sz="6" w:space="0" w:color="000000"/>
              <w:bottom w:val="single" w:sz="6" w:space="0" w:color="000000"/>
              <w:right w:val="single" w:sz="6" w:space="0" w:color="000000"/>
            </w:tcBorders>
          </w:tcPr>
          <w:p>
            <w:pPr/>
          </w:p>
        </w:tc>
        <w:tc>
          <w:tcPr>
            <w:tcW w:w="1670" w:type="dxa"/>
            <w:tcBorders>
              <w:top w:val="single" w:sz="6" w:space="0" w:color="000000"/>
              <w:left w:val="single" w:sz="6" w:space="0" w:color="000000"/>
              <w:bottom w:val="single" w:sz="6" w:space="0" w:color="000000"/>
              <w:right w:val="nil" w:sz="6" w:space="0" w:color="auto"/>
            </w:tcBorders>
          </w:tcPr>
          <w:p>
            <w:pPr/>
          </w:p>
        </w:tc>
      </w:tr>
      <w:tr>
        <w:trPr>
          <w:trHeight w:val="392" w:hRule="exact"/>
        </w:trPr>
        <w:tc>
          <w:tcPr>
            <w:tcW w:w="5516"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5"/>
              <w:ind w:left="1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5"/>
              <w:ind w:right="98"/>
              <w:jc w:val="right"/>
              <w:rPr>
                <w:rFonts w:ascii="Century Gothic" w:hAnsi="Century Gothic" w:cs="Century Gothic" w:eastAsia="Century Gothic" w:hint="default"/>
                <w:sz w:val="21"/>
                <w:szCs w:val="21"/>
              </w:rPr>
            </w:pPr>
            <w:r>
              <w:rPr>
                <w:rFonts w:ascii="Century Gothic"/>
                <w:spacing w:val="-1"/>
                <w:sz w:val="21"/>
              </w:rPr>
              <w:t>-1,494,642.60</w:t>
            </w:r>
          </w:p>
        </w:tc>
        <w:tc>
          <w:tcPr>
            <w:tcW w:w="167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55"/>
              <w:ind w:right="104"/>
              <w:jc w:val="right"/>
              <w:rPr>
                <w:rFonts w:ascii="Century Gothic" w:hAnsi="Century Gothic" w:cs="Century Gothic" w:eastAsia="Century Gothic" w:hint="default"/>
                <w:sz w:val="21"/>
                <w:szCs w:val="21"/>
              </w:rPr>
            </w:pPr>
            <w:r>
              <w:rPr>
                <w:rFonts w:ascii="Century Gothic"/>
                <w:spacing w:val="-1"/>
                <w:sz w:val="21"/>
              </w:rPr>
              <w:t>10,923,981.99</w:t>
            </w:r>
          </w:p>
        </w:tc>
      </w:tr>
    </w:tbl>
    <w:p>
      <w:pPr>
        <w:pStyle w:val="Heading4"/>
        <w:spacing w:line="240" w:lineRule="auto" w:before="86"/>
        <w:ind w:left="138" w:right="0"/>
        <w:jc w:val="left"/>
        <w:rPr>
          <w:rFonts w:ascii="宋体" w:hAnsi="宋体" w:cs="宋体" w:eastAsia="宋体" w:hint="default"/>
          <w:b w:val="0"/>
          <w:bCs w:val="0"/>
        </w:rPr>
      </w:pPr>
      <w:r>
        <w:rPr>
          <w:rFonts w:ascii="宋体" w:hAnsi="宋体" w:cs="宋体" w:eastAsia="宋体" w:hint="default"/>
        </w:rPr>
        <w:t>十一、</w:t>
      </w:r>
      <w:r>
        <w:rPr>
          <w:rFonts w:ascii="宋体" w:hAnsi="宋体" w:cs="宋体" w:eastAsia="宋体" w:hint="default"/>
          <w:spacing w:val="-21"/>
        </w:rPr>
        <w:t> </w:t>
      </w:r>
      <w:r>
        <w:rPr>
          <w:rFonts w:ascii="宋体" w:hAnsi="宋体" w:cs="宋体" w:eastAsia="宋体" w:hint="default"/>
        </w:rPr>
        <w:t>补充资料</w:t>
      </w:r>
      <w:r>
        <w:rPr>
          <w:rFonts w:ascii="宋体" w:hAnsi="宋体" w:cs="宋体" w:eastAsia="宋体" w:hint="default"/>
          <w:b w:val="0"/>
          <w:bCs w:val="0"/>
        </w:rPr>
      </w:r>
    </w:p>
    <w:p>
      <w:pPr>
        <w:pStyle w:val="Heading4"/>
        <w:spacing w:line="240" w:lineRule="auto" w:before="134"/>
        <w:ind w:right="0"/>
        <w:jc w:val="left"/>
        <w:rPr>
          <w:rFonts w:ascii="宋体" w:hAnsi="宋体" w:cs="宋体" w:eastAsia="宋体" w:hint="default"/>
          <w:b w:val="0"/>
          <w:bCs w:val="0"/>
        </w:rPr>
      </w:pPr>
      <w:r>
        <w:rPr>
          <w:rFonts w:ascii="宋体" w:hAnsi="宋体" w:cs="宋体" w:eastAsia="宋体" w:hint="default"/>
        </w:rPr>
        <w:t>（一）</w:t>
      </w:r>
      <w:r>
        <w:rPr>
          <w:rFonts w:ascii="宋体" w:hAnsi="宋体" w:cs="宋体" w:eastAsia="宋体" w:hint="default"/>
          <w:spacing w:val="-86"/>
        </w:rPr>
        <w:t> </w:t>
      </w:r>
      <w:r>
        <w:rPr>
          <w:rFonts w:ascii="宋体" w:hAnsi="宋体" w:cs="宋体" w:eastAsia="宋体" w:hint="default"/>
        </w:rPr>
        <w:t>当期非经常性损益明细表</w:t>
      </w:r>
      <w:r>
        <w:rPr>
          <w:rFonts w:ascii="宋体" w:hAnsi="宋体" w:cs="宋体" w:eastAsia="宋体" w:hint="default"/>
          <w:b w:val="0"/>
          <w:bCs w:val="0"/>
        </w:rPr>
      </w:r>
    </w:p>
    <w:p>
      <w:pPr>
        <w:spacing w:line="240" w:lineRule="auto" w:before="6"/>
        <w:rPr>
          <w:rFonts w:ascii="宋体" w:hAnsi="宋体" w:cs="宋体" w:eastAsia="宋体" w:hint="default"/>
          <w:b/>
          <w:bCs/>
          <w:sz w:val="26"/>
          <w:szCs w:val="26"/>
        </w:rPr>
      </w:pPr>
    </w:p>
    <w:p>
      <w:pPr>
        <w:spacing w:before="76"/>
        <w:ind w:left="4455" w:right="4395" w:firstLine="0"/>
        <w:jc w:val="center"/>
        <w:rPr>
          <w:rFonts w:ascii="Times New Roman" w:hAnsi="Times New Roman" w:cs="Times New Roman" w:eastAsia="Times New Roman" w:hint="default"/>
          <w:sz w:val="18"/>
          <w:szCs w:val="18"/>
        </w:rPr>
      </w:pPr>
      <w:r>
        <w:rPr>
          <w:rFonts w:ascii="Times New Roman"/>
          <w:sz w:val="18"/>
        </w:rPr>
        <w:t>106</w:t>
      </w:r>
    </w:p>
    <w:p>
      <w:pPr>
        <w:spacing w:after="0"/>
        <w:jc w:val="center"/>
        <w:rPr>
          <w:rFonts w:ascii="Times New Roman" w:hAnsi="Times New Roman" w:cs="Times New Roman" w:eastAsia="Times New Roman" w:hint="default"/>
          <w:sz w:val="18"/>
          <w:szCs w:val="18"/>
        </w:rPr>
        <w:sectPr>
          <w:pgSz w:w="11910" w:h="16840"/>
          <w:pgMar w:top="780" w:bottom="280" w:left="1160" w:right="1340"/>
        </w:sectPr>
      </w:pPr>
    </w:p>
    <w:p>
      <w:pPr>
        <w:spacing w:line="240" w:lineRule="auto" w:before="6"/>
        <w:rPr>
          <w:rFonts w:ascii="Times New Roman" w:hAnsi="Times New Roman" w:cs="Times New Roman" w:eastAsia="Times New Roman" w:hint="default"/>
          <w:sz w:val="23"/>
          <w:szCs w:val="23"/>
        </w:rPr>
      </w:pPr>
    </w:p>
    <w:p>
      <w:pPr>
        <w:pStyle w:val="Heading4"/>
        <w:tabs>
          <w:tab w:pos="7346" w:val="left" w:leader="none"/>
        </w:tabs>
        <w:spacing w:line="240" w:lineRule="auto"/>
        <w:ind w:left="3614" w:right="152"/>
        <w:jc w:val="left"/>
        <w:rPr>
          <w:b w:val="0"/>
          <w:bCs w:val="0"/>
        </w:rPr>
      </w:pPr>
      <w:r>
        <w:rPr/>
        <w:pict>
          <v:shape style="position:absolute;margin-left:70.860001pt;margin-top:-9.926001pt;width:84.0pt;height:23.94pt;mso-position-horizontal-relative:page;mso-position-vertical-relative:paragraph;z-index:6856"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0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p>
      <w:pPr>
        <w:pStyle w:val="BodyText"/>
        <w:spacing w:line="240" w:lineRule="auto" w:before="0"/>
        <w:ind w:left="558" w:right="0"/>
        <w:jc w:val="left"/>
      </w:pPr>
      <w:r>
        <w:rPr/>
        <w:t>根据中国证监会《公开发行证券的公司信息披露解释性公告第</w:t>
      </w:r>
      <w:r>
        <w:rPr>
          <w:spacing w:val="-57"/>
        </w:rPr>
        <w:t> </w:t>
      </w:r>
      <w:r>
        <w:rPr>
          <w:rFonts w:ascii="Century Gothic" w:hAnsi="Century Gothic" w:cs="Century Gothic" w:eastAsia="Century Gothic" w:hint="default"/>
        </w:rPr>
        <w:t>1</w:t>
      </w:r>
      <w:r>
        <w:rPr>
          <w:rFonts w:ascii="Century Gothic" w:hAnsi="Century Gothic" w:cs="Century Gothic" w:eastAsia="Century Gothic" w:hint="default"/>
          <w:spacing w:val="-10"/>
        </w:rPr>
        <w:t> </w:t>
      </w:r>
      <w:r>
        <w:rPr/>
        <w:t>号——非经常性损益（</w:t>
      </w:r>
      <w:r>
        <w:rPr>
          <w:rFonts w:ascii="Century Gothic" w:hAnsi="Century Gothic" w:cs="Century Gothic" w:eastAsia="Century Gothic" w:hint="default"/>
        </w:rPr>
        <w:t>2008</w:t>
      </w:r>
      <w:r>
        <w:rPr/>
        <w:t>）》</w:t>
      </w:r>
    </w:p>
    <w:p>
      <w:pPr>
        <w:pStyle w:val="BodyText"/>
        <w:spacing w:line="240" w:lineRule="auto"/>
        <w:ind w:right="152"/>
        <w:jc w:val="left"/>
      </w:pPr>
      <w:r>
        <w:rPr/>
        <w:t>（“中国证券监督管理委员会公告</w:t>
      </w:r>
      <w:r>
        <w:rPr>
          <w:rFonts w:ascii="Century Gothic" w:hAnsi="Century Gothic" w:cs="Century Gothic" w:eastAsia="Century Gothic" w:hint="default"/>
        </w:rPr>
        <w:t>[2008]43</w:t>
      </w:r>
      <w:r>
        <w:rPr>
          <w:rFonts w:ascii="Century Gothic" w:hAnsi="Century Gothic" w:cs="Century Gothic" w:eastAsia="Century Gothic" w:hint="default"/>
          <w:spacing w:val="-14"/>
        </w:rPr>
        <w:t> </w:t>
      </w:r>
      <w:r>
        <w:rPr/>
        <w:t>号”），本公司非经常性损益如下：</w:t>
      </w:r>
    </w:p>
    <w:p>
      <w:pPr>
        <w:spacing w:line="240" w:lineRule="auto" w:before="8"/>
        <w:rPr>
          <w:rFonts w:ascii="宋体" w:hAnsi="宋体" w:cs="宋体" w:eastAsia="宋体" w:hint="default"/>
          <w:sz w:val="11"/>
          <w:szCs w:val="11"/>
        </w:rPr>
      </w:pPr>
    </w:p>
    <w:tbl>
      <w:tblPr>
        <w:tblW w:w="0" w:type="auto"/>
        <w:jc w:val="left"/>
        <w:tblInd w:w="281" w:type="dxa"/>
        <w:tblLayout w:type="fixed"/>
        <w:tblCellMar>
          <w:top w:w="0" w:type="dxa"/>
          <w:left w:w="0" w:type="dxa"/>
          <w:bottom w:w="0" w:type="dxa"/>
          <w:right w:w="0" w:type="dxa"/>
        </w:tblCellMar>
        <w:tblLook w:val="01E0"/>
      </w:tblPr>
      <w:tblGrid>
        <w:gridCol w:w="4980"/>
        <w:gridCol w:w="2024"/>
        <w:gridCol w:w="1854"/>
      </w:tblGrid>
      <w:tr>
        <w:trPr>
          <w:trHeight w:val="363" w:hRule="exact"/>
        </w:trPr>
        <w:tc>
          <w:tcPr>
            <w:tcW w:w="4980"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4"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48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854"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560"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非流动性资产处置损益，包括已计提资产减值准备的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冲销部分</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Century Gothic" w:hAnsi="Century Gothic" w:cs="Century Gothic" w:eastAsia="Century Gothic" w:hint="default"/>
                <w:sz w:val="21"/>
                <w:szCs w:val="21"/>
              </w:rPr>
            </w:pPr>
            <w:r>
              <w:rPr>
                <w:rFonts w:ascii="Century Gothic"/>
                <w:spacing w:val="-1"/>
                <w:sz w:val="21"/>
              </w:rPr>
              <w:t>-6,382,866.73</w:t>
            </w: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3"/>
              <w:jc w:val="left"/>
              <w:rPr>
                <w:rFonts w:ascii="宋体" w:hAnsi="宋体" w:cs="宋体" w:eastAsia="宋体" w:hint="default"/>
                <w:sz w:val="21"/>
                <w:szCs w:val="21"/>
              </w:rPr>
            </w:pPr>
            <w:r>
              <w:rPr>
                <w:rFonts w:ascii="宋体" w:hAnsi="宋体" w:cs="宋体" w:eastAsia="宋体" w:hint="default"/>
                <w:sz w:val="21"/>
                <w:szCs w:val="21"/>
              </w:rPr>
              <w:t>越权审批</w:t>
            </w:r>
            <w:r>
              <w:rPr>
                <w:rFonts w:ascii="宋体" w:hAnsi="宋体" w:cs="宋体" w:eastAsia="宋体" w:hint="default"/>
                <w:spacing w:val="-93"/>
                <w:sz w:val="21"/>
                <w:szCs w:val="21"/>
              </w:rPr>
              <w:t>，</w:t>
            </w:r>
            <w:r>
              <w:rPr>
                <w:rFonts w:ascii="宋体" w:hAnsi="宋体" w:cs="宋体" w:eastAsia="宋体" w:hint="default"/>
                <w:spacing w:val="-2"/>
                <w:sz w:val="21"/>
                <w:szCs w:val="21"/>
              </w:rPr>
              <w:t>或</w:t>
            </w:r>
            <w:r>
              <w:rPr>
                <w:rFonts w:ascii="宋体" w:hAnsi="宋体" w:cs="宋体" w:eastAsia="宋体" w:hint="default"/>
                <w:sz w:val="21"/>
                <w:szCs w:val="21"/>
              </w:rPr>
              <w:t>无正式批准文件</w:t>
            </w:r>
            <w:r>
              <w:rPr>
                <w:rFonts w:ascii="宋体" w:hAnsi="宋体" w:cs="宋体" w:eastAsia="宋体" w:hint="default"/>
                <w:spacing w:val="-93"/>
                <w:sz w:val="21"/>
                <w:szCs w:val="21"/>
              </w:rPr>
              <w:t>，</w:t>
            </w:r>
            <w:r>
              <w:rPr>
                <w:rFonts w:ascii="宋体" w:hAnsi="宋体" w:cs="宋体" w:eastAsia="宋体" w:hint="default"/>
                <w:sz w:val="21"/>
                <w:szCs w:val="21"/>
              </w:rPr>
              <w:t>或偶</w:t>
            </w:r>
            <w:r>
              <w:rPr>
                <w:rFonts w:ascii="宋体" w:hAnsi="宋体" w:cs="宋体" w:eastAsia="宋体" w:hint="default"/>
                <w:spacing w:val="-2"/>
                <w:sz w:val="21"/>
                <w:szCs w:val="21"/>
              </w:rPr>
              <w:t>发</w:t>
            </w:r>
            <w:r>
              <w:rPr>
                <w:rFonts w:ascii="宋体" w:hAnsi="宋体" w:cs="宋体" w:eastAsia="宋体" w:hint="default"/>
                <w:sz w:val="21"/>
                <w:szCs w:val="21"/>
              </w:rPr>
              <w:t>性的税收返还、</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834"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计入当期损益的政府补助（与公司正常经营业务密切</w:t>
            </w:r>
          </w:p>
          <w:p>
            <w:pPr>
              <w:pStyle w:val="TableParagraph"/>
              <w:spacing w:line="240" w:lineRule="auto"/>
              <w:ind w:left="122" w:right="100"/>
              <w:jc w:val="left"/>
              <w:rPr>
                <w:rFonts w:ascii="宋体" w:hAnsi="宋体" w:cs="宋体" w:eastAsia="宋体" w:hint="default"/>
                <w:sz w:val="21"/>
                <w:szCs w:val="21"/>
              </w:rPr>
            </w:pPr>
            <w:r>
              <w:rPr>
                <w:rFonts w:ascii="宋体" w:hAnsi="宋体" w:cs="宋体" w:eastAsia="宋体" w:hint="default"/>
                <w:spacing w:val="-4"/>
                <w:sz w:val="21"/>
                <w:szCs w:val="21"/>
              </w:rPr>
              <w:t>相关，符合国家政策规定、按照一定标准定额或定量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持续享受的政府补助除外）</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entury Gothic" w:hAnsi="Century Gothic" w:cs="Century Gothic" w:eastAsia="Century Gothic" w:hint="default"/>
                <w:sz w:val="21"/>
                <w:szCs w:val="21"/>
              </w:rPr>
            </w:pPr>
            <w:r>
              <w:rPr>
                <w:rFonts w:ascii="Century Gothic"/>
                <w:spacing w:val="-1"/>
                <w:sz w:val="21"/>
              </w:rPr>
              <w:t>10,712,681.32</w:t>
            </w: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834"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企业取得子公司、联营企业及合营企业的投资成本小</w:t>
            </w:r>
          </w:p>
          <w:p>
            <w:pPr>
              <w:pStyle w:val="TableParagraph"/>
              <w:spacing w:line="240" w:lineRule="auto"/>
              <w:ind w:left="122" w:right="98"/>
              <w:jc w:val="left"/>
              <w:rPr>
                <w:rFonts w:ascii="宋体" w:hAnsi="宋体" w:cs="宋体" w:eastAsia="宋体" w:hint="default"/>
                <w:sz w:val="21"/>
                <w:szCs w:val="21"/>
              </w:rPr>
            </w:pPr>
            <w:r>
              <w:rPr>
                <w:rFonts w:ascii="宋体" w:hAnsi="宋体" w:cs="宋体" w:eastAsia="宋体" w:hint="default"/>
                <w:spacing w:val="5"/>
                <w:sz w:val="21"/>
                <w:szCs w:val="21"/>
              </w:rPr>
              <w:t>于取得投资时应享有被投资单位可辨认净资产公允</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价值产生的收益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因不可抗力因素，如遭受自然灾害而计提的各项资产</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交易价格显失公允的交易产生的超过公允价值部分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同一控制下企业合并产生的子公司期初至合并日的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当期净损益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1108"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w:t>
            </w:r>
          </w:p>
          <w:p>
            <w:pPr>
              <w:pStyle w:val="TableParagraph"/>
              <w:spacing w:line="237" w:lineRule="auto" w:before="2"/>
              <w:ind w:left="122" w:right="100"/>
              <w:jc w:val="both"/>
              <w:rPr>
                <w:rFonts w:ascii="宋体" w:hAnsi="宋体" w:cs="宋体" w:eastAsia="宋体" w:hint="default"/>
                <w:sz w:val="21"/>
                <w:szCs w:val="21"/>
              </w:rPr>
            </w:pPr>
            <w:r>
              <w:rPr>
                <w:rFonts w:ascii="宋体" w:hAnsi="宋体" w:cs="宋体" w:eastAsia="宋体" w:hint="default"/>
                <w:spacing w:val="-4"/>
                <w:sz w:val="21"/>
                <w:szCs w:val="21"/>
              </w:rPr>
              <w:t>持有交易性金融资产、交易性金融负债产生的公允价</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sz w:val="21"/>
                <w:szCs w:val="21"/>
              </w:rPr>
              <w:t>值变动损益，以及处置交易性金融资产、交易性金融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负债和可供出售金融资产取得的投资收益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562"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采用公允价值模式进行后续计量的投资性房地产公</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允价值变动产生的损益</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560"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根据税收、会计等法律、法规的要求对当期损益进行</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一次性调整对当期损益的影响</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024" w:type="dxa"/>
            <w:tcBorders>
              <w:top w:val="single" w:sz="6" w:space="0" w:color="000000"/>
              <w:left w:val="single" w:sz="6" w:space="0" w:color="000000"/>
              <w:bottom w:val="single" w:sz="6" w:space="0" w:color="000000"/>
              <w:right w:val="single" w:sz="6" w:space="0" w:color="000000"/>
            </w:tcBorders>
          </w:tcPr>
          <w:p>
            <w:pP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505,006.31</w:t>
            </w:r>
            <w:r>
              <w:rPr>
                <w:rFonts w:ascii="Century Gothic"/>
                <w:sz w:val="21"/>
              </w:rPr>
            </w: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-5,449,870.66</w:t>
            </w:r>
          </w:p>
        </w:tc>
        <w:tc>
          <w:tcPr>
            <w:tcW w:w="1854"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816" w:right="0"/>
              <w:jc w:val="left"/>
              <w:rPr>
                <w:rFonts w:ascii="宋体" w:hAnsi="宋体" w:cs="宋体" w:eastAsia="宋体" w:hint="default"/>
                <w:sz w:val="21"/>
                <w:szCs w:val="21"/>
              </w:rPr>
            </w:pPr>
            <w:r>
              <w:rPr>
                <w:rFonts w:ascii="宋体" w:hAnsi="宋体" w:cs="宋体" w:eastAsia="宋体" w:hint="default"/>
                <w:sz w:val="21"/>
                <w:szCs w:val="21"/>
              </w:rPr>
              <w:t>非经常性损益合计（影响利润总额）</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-615,049.76</w:t>
            </w: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1,005,579.88</w:t>
            </w: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4"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921" w:right="0"/>
              <w:jc w:val="left"/>
              <w:rPr>
                <w:rFonts w:ascii="宋体" w:hAnsi="宋体" w:cs="宋体" w:eastAsia="宋体" w:hint="default"/>
                <w:sz w:val="21"/>
                <w:szCs w:val="21"/>
              </w:rPr>
            </w:pPr>
            <w:r>
              <w:rPr>
                <w:rFonts w:ascii="宋体" w:hAnsi="宋体" w:cs="宋体" w:eastAsia="宋体" w:hint="default"/>
                <w:sz w:val="21"/>
                <w:szCs w:val="21"/>
              </w:rPr>
              <w:t>非经常性损益净额（影响净利润）</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-1,620,629.64</w:t>
            </w: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减：少数股东权益影响额</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Century Gothic" w:hAnsi="Century Gothic" w:cs="Century Gothic" w:eastAsia="Century Gothic" w:hint="default"/>
                <w:sz w:val="21"/>
                <w:szCs w:val="21"/>
              </w:rPr>
            </w:pPr>
            <w:r>
              <w:rPr>
                <w:rFonts w:ascii="Century Gothic"/>
                <w:spacing w:val="-1"/>
                <w:sz w:val="21"/>
              </w:rPr>
              <w:t>1,933,688.17</w:t>
            </w: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55" w:hRule="exact"/>
        </w:trPr>
        <w:tc>
          <w:tcPr>
            <w:tcW w:w="4980"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归属于母公司普通股股东净利润的非经常性损益</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-3,554,317.81</w:t>
            </w:r>
          </w:p>
        </w:tc>
        <w:tc>
          <w:tcPr>
            <w:tcW w:w="1854" w:type="dxa"/>
            <w:tcBorders>
              <w:top w:val="single" w:sz="6" w:space="0" w:color="000000"/>
              <w:left w:val="single" w:sz="6" w:space="0" w:color="000000"/>
              <w:bottom w:val="single" w:sz="6" w:space="0" w:color="000000"/>
              <w:right w:val="nil" w:sz="6" w:space="0" w:color="auto"/>
            </w:tcBorders>
          </w:tcPr>
          <w:p>
            <w:pPr/>
          </w:p>
        </w:tc>
      </w:tr>
      <w:tr>
        <w:trPr>
          <w:trHeight w:val="363" w:hRule="exact"/>
        </w:trPr>
        <w:tc>
          <w:tcPr>
            <w:tcW w:w="4980"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扣除非经常性损益后的归属于母公司普通股股东净</w:t>
            </w:r>
          </w:p>
        </w:tc>
        <w:tc>
          <w:tcPr>
            <w:tcW w:w="20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0"/>
              <w:ind w:right="98"/>
              <w:jc w:val="right"/>
              <w:rPr>
                <w:rFonts w:ascii="Century Gothic" w:hAnsi="Century Gothic" w:cs="Century Gothic" w:eastAsia="Century Gothic" w:hint="default"/>
                <w:sz w:val="21"/>
                <w:szCs w:val="21"/>
              </w:rPr>
            </w:pPr>
            <w:r>
              <w:rPr>
                <w:rFonts w:ascii="Century Gothic"/>
                <w:spacing w:val="-1"/>
                <w:sz w:val="21"/>
              </w:rPr>
              <w:t>-79,335,752.78</w:t>
            </w:r>
            <w:r>
              <w:rPr>
                <w:rFonts w:ascii="Century Gothic"/>
                <w:sz w:val="21"/>
              </w:rPr>
            </w:r>
          </w:p>
        </w:tc>
        <w:tc>
          <w:tcPr>
            <w:tcW w:w="1854" w:type="dxa"/>
            <w:tcBorders>
              <w:top w:val="single" w:sz="6" w:space="0" w:color="000000"/>
              <w:left w:val="single" w:sz="6"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9"/>
          <w:szCs w:val="9"/>
        </w:rPr>
      </w:pPr>
    </w:p>
    <w:p>
      <w:pPr>
        <w:spacing w:before="76"/>
        <w:ind w:left="3267" w:right="3344" w:firstLine="0"/>
        <w:jc w:val="center"/>
        <w:rPr>
          <w:rFonts w:ascii="Times New Roman" w:hAnsi="Times New Roman" w:cs="Times New Roman" w:eastAsia="Times New Roman" w:hint="default"/>
          <w:sz w:val="18"/>
          <w:szCs w:val="18"/>
        </w:rPr>
      </w:pPr>
      <w:r>
        <w:rPr>
          <w:rFonts w:ascii="Times New Roman"/>
          <w:sz w:val="18"/>
        </w:rPr>
        <w:t>107</w:t>
      </w:r>
    </w:p>
    <w:p>
      <w:pPr>
        <w:spacing w:after="0"/>
        <w:jc w:val="center"/>
        <w:rPr>
          <w:rFonts w:ascii="Times New Roman" w:hAnsi="Times New Roman" w:cs="Times New Roman" w:eastAsia="Times New Roman" w:hint="default"/>
          <w:sz w:val="18"/>
          <w:szCs w:val="18"/>
        </w:rPr>
        <w:sectPr>
          <w:pgSz w:w="11910" w:h="16840"/>
          <w:pgMar w:top="780" w:bottom="280" w:left="1280" w:right="1080"/>
        </w:sectPr>
      </w:pPr>
    </w:p>
    <w:p>
      <w:pPr>
        <w:spacing w:line="240" w:lineRule="auto" w:before="6"/>
        <w:rPr>
          <w:rFonts w:ascii="Times New Roman" w:hAnsi="Times New Roman" w:cs="Times New Roman" w:eastAsia="Times New Roman" w:hint="default"/>
          <w:sz w:val="23"/>
          <w:szCs w:val="23"/>
        </w:rPr>
      </w:pPr>
    </w:p>
    <w:p>
      <w:pPr>
        <w:pStyle w:val="Heading4"/>
        <w:tabs>
          <w:tab w:pos="7386" w:val="left" w:leader="none"/>
        </w:tabs>
        <w:spacing w:line="240" w:lineRule="auto"/>
        <w:ind w:left="3654" w:right="152"/>
        <w:jc w:val="left"/>
        <w:rPr>
          <w:b w:val="0"/>
          <w:bCs w:val="0"/>
        </w:rPr>
      </w:pPr>
      <w:r>
        <w:rPr/>
        <w:pict>
          <v:shape style="position:absolute;margin-left:64.860001pt;margin-top:-9.926001pt;width:84.0pt;height:23.94pt;mso-position-horizontal-relative:page;mso-position-vertical-relative:paragraph;z-index:6904"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4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321" w:type="dxa"/>
        <w:tblLayout w:type="fixed"/>
        <w:tblCellMar>
          <w:top w:w="0" w:type="dxa"/>
          <w:left w:w="0" w:type="dxa"/>
          <w:bottom w:w="0" w:type="dxa"/>
          <w:right w:w="0" w:type="dxa"/>
        </w:tblCellMar>
        <w:tblLook w:val="01E0"/>
      </w:tblPr>
      <w:tblGrid>
        <w:gridCol w:w="4980"/>
        <w:gridCol w:w="2024"/>
        <w:gridCol w:w="1854"/>
      </w:tblGrid>
      <w:tr>
        <w:trPr>
          <w:trHeight w:val="362" w:hRule="exact"/>
        </w:trPr>
        <w:tc>
          <w:tcPr>
            <w:tcW w:w="4980" w:type="dxa"/>
            <w:tcBorders>
              <w:top w:val="single" w:sz="12" w:space="0" w:color="000000"/>
              <w:left w:val="nil" w:sz="6" w:space="0" w:color="auto"/>
              <w:bottom w:val="single" w:sz="6" w:space="0" w:color="000000"/>
              <w:right w:val="single" w:sz="6" w:space="0" w:color="000000"/>
            </w:tcBorders>
          </w:tcPr>
          <w:p>
            <w:pPr>
              <w:pStyle w:val="TableParagraph"/>
              <w:spacing w:line="274" w:lineRule="exact"/>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4"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left="480"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1854" w:type="dxa"/>
            <w:tcBorders>
              <w:top w:val="single" w:sz="12" w:space="0" w:color="000000"/>
              <w:left w:val="single" w:sz="6" w:space="0" w:color="000000"/>
              <w:bottom w:val="single" w:sz="6" w:space="0" w:color="000000"/>
              <w:right w:val="nil" w:sz="6" w:space="0" w:color="auto"/>
            </w:tcBorders>
          </w:tcPr>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63" w:hRule="exact"/>
        </w:trPr>
        <w:tc>
          <w:tcPr>
            <w:tcW w:w="4980" w:type="dxa"/>
            <w:tcBorders>
              <w:top w:val="single" w:sz="6" w:space="0" w:color="000000"/>
              <w:left w:val="nil" w:sz="6" w:space="0" w:color="auto"/>
              <w:bottom w:val="single" w:sz="12" w:space="0" w:color="000000"/>
              <w:right w:val="single" w:sz="6"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24" w:type="dxa"/>
            <w:tcBorders>
              <w:top w:val="single" w:sz="6" w:space="0" w:color="000000"/>
              <w:left w:val="single" w:sz="6" w:space="0" w:color="000000"/>
              <w:bottom w:val="single" w:sz="12" w:space="0" w:color="000000"/>
              <w:right w:val="single" w:sz="6" w:space="0" w:color="000000"/>
            </w:tcBorders>
          </w:tcPr>
          <w:p>
            <w:pPr/>
          </w:p>
        </w:tc>
        <w:tc>
          <w:tcPr>
            <w:tcW w:w="1854" w:type="dxa"/>
            <w:tcBorders>
              <w:top w:val="single" w:sz="6" w:space="0" w:color="000000"/>
              <w:left w:val="single" w:sz="6" w:space="0" w:color="000000"/>
              <w:bottom w:val="single" w:sz="12" w:space="0" w:color="000000"/>
              <w:right w:val="nil" w:sz="6" w:space="0" w:color="auto"/>
            </w:tcBorders>
          </w:tcPr>
          <w:p>
            <w:pPr/>
          </w:p>
        </w:tc>
      </w:tr>
    </w:tbl>
    <w:p>
      <w:pPr>
        <w:pStyle w:val="BodyText"/>
        <w:spacing w:line="240" w:lineRule="auto" w:before="94"/>
        <w:ind w:left="598" w:right="152"/>
        <w:jc w:val="left"/>
      </w:pPr>
      <w:r>
        <w:rPr/>
        <w:t>注：系股权转让收益。</w:t>
      </w:r>
    </w:p>
    <w:p>
      <w:pPr>
        <w:tabs>
          <w:tab w:pos="1258" w:val="left" w:leader="none"/>
        </w:tabs>
        <w:spacing w:line="357" w:lineRule="auto" w:before="134"/>
        <w:ind w:left="598" w:right="174" w:hanging="220"/>
        <w:jc w:val="left"/>
        <w:rPr>
          <w:rFonts w:ascii="宋体" w:hAnsi="宋体" w:cs="宋体" w:eastAsia="宋体" w:hint="default"/>
          <w:sz w:val="21"/>
          <w:szCs w:val="21"/>
        </w:rPr>
      </w:pPr>
      <w:r>
        <w:rPr>
          <w:rFonts w:ascii="宋体" w:hAnsi="宋体" w:cs="宋体" w:eastAsia="宋体" w:hint="default"/>
          <w:b/>
          <w:bCs/>
          <w:w w:val="95"/>
          <w:sz w:val="21"/>
          <w:szCs w:val="21"/>
        </w:rPr>
        <w:t>（二）</w:t>
        <w:tab/>
      </w:r>
      <w:r>
        <w:rPr>
          <w:rFonts w:ascii="宋体" w:hAnsi="宋体" w:cs="宋体" w:eastAsia="宋体" w:hint="default"/>
          <w:b/>
          <w:bCs/>
          <w:sz w:val="21"/>
          <w:szCs w:val="21"/>
        </w:rPr>
        <w:t>净资产收益率和每股收益</w:t>
      </w:r>
      <w:r>
        <w:rPr>
          <w:rFonts w:ascii="宋体" w:hAnsi="宋体" w:cs="宋体" w:eastAsia="宋体" w:hint="default"/>
          <w:b/>
          <w:bCs/>
          <w:w w:val="99"/>
          <w:sz w:val="21"/>
          <w:szCs w:val="21"/>
        </w:rPr>
        <w:t> </w:t>
      </w:r>
      <w:r>
        <w:rPr>
          <w:rFonts w:ascii="宋体" w:hAnsi="宋体" w:cs="宋体" w:eastAsia="宋体" w:hint="default"/>
          <w:spacing w:val="-3"/>
          <w:sz w:val="21"/>
          <w:szCs w:val="21"/>
        </w:rPr>
        <w:t>本公司按照中国证监会《公开发行证券的公司信息披露编报规则第 </w:t>
      </w:r>
      <w:r>
        <w:rPr>
          <w:rFonts w:ascii="Century Gothic" w:hAnsi="Century Gothic" w:cs="Century Gothic" w:eastAsia="Century Gothic" w:hint="default"/>
          <w:sz w:val="21"/>
          <w:szCs w:val="21"/>
        </w:rPr>
        <w:t>9</w:t>
      </w:r>
      <w:r>
        <w:rPr>
          <w:rFonts w:ascii="Century Gothic" w:hAnsi="Century Gothic" w:cs="Century Gothic" w:eastAsia="Century Gothic" w:hint="default"/>
          <w:spacing w:val="-33"/>
          <w:sz w:val="21"/>
          <w:szCs w:val="21"/>
        </w:rPr>
        <w:t> </w:t>
      </w:r>
      <w:r>
        <w:rPr>
          <w:rFonts w:ascii="宋体" w:hAnsi="宋体" w:cs="宋体" w:eastAsia="宋体" w:hint="default"/>
          <w:sz w:val="21"/>
          <w:szCs w:val="21"/>
        </w:rPr>
        <w:t>号——净资产收益率和每股</w:t>
      </w:r>
    </w:p>
    <w:p>
      <w:pPr>
        <w:pStyle w:val="BodyText"/>
        <w:spacing w:line="336" w:lineRule="auto" w:before="0"/>
        <w:ind w:left="178" w:right="175"/>
        <w:jc w:val="both"/>
      </w:pPr>
      <w:r>
        <w:rPr/>
        <w:t>收益的计算及披露（</w:t>
      </w:r>
      <w:r>
        <w:rPr>
          <w:rFonts w:ascii="Century Gothic" w:hAnsi="Century Gothic" w:cs="Century Gothic" w:eastAsia="Century Gothic" w:hint="default"/>
        </w:rPr>
        <w:t>2010 </w:t>
      </w:r>
      <w:r>
        <w:rPr>
          <w:spacing w:val="-3"/>
        </w:rPr>
        <w:t>年修订）》（“中国证券监督管理委员会公告</w:t>
      </w:r>
      <w:r>
        <w:rPr>
          <w:rFonts w:ascii="Century Gothic" w:hAnsi="Century Gothic" w:cs="Century Gothic" w:eastAsia="Century Gothic" w:hint="default"/>
          <w:spacing w:val="-3"/>
        </w:rPr>
        <w:t>[2010]2 </w:t>
      </w:r>
      <w:r>
        <w:rPr>
          <w:spacing w:val="-4"/>
        </w:rPr>
        <w:t>号）、《公开发行证</w:t>
      </w:r>
      <w:r>
        <w:rPr>
          <w:spacing w:val="-100"/>
        </w:rPr>
        <w:t> </w:t>
      </w:r>
      <w:r>
        <w:rPr>
          <w:spacing w:val="-100"/>
        </w:rPr>
      </w:r>
      <w:r>
        <w:rPr/>
        <w:t>券的公司信息披露解释性公告第</w:t>
      </w:r>
      <w:r>
        <w:rPr>
          <w:spacing w:val="-44"/>
        </w:rPr>
        <w:t> </w:t>
      </w:r>
      <w:r>
        <w:rPr>
          <w:rFonts w:ascii="Century Gothic" w:hAnsi="Century Gothic" w:cs="Century Gothic" w:eastAsia="Century Gothic" w:hint="default"/>
        </w:rPr>
        <w:t>1</w:t>
      </w:r>
      <w:r>
        <w:rPr>
          <w:rFonts w:ascii="Century Gothic" w:hAnsi="Century Gothic" w:cs="Century Gothic" w:eastAsia="Century Gothic" w:hint="default"/>
          <w:spacing w:val="2"/>
        </w:rPr>
        <w:t> </w:t>
      </w:r>
      <w:r>
        <w:rPr>
          <w:spacing w:val="-3"/>
        </w:rPr>
        <w:t>号——非经常性损益》（“中国证券监督管理委员会公告</w:t>
      </w:r>
      <w:r>
        <w:rPr>
          <w:rFonts w:ascii="Century Gothic" w:hAnsi="Century Gothic" w:cs="Century Gothic" w:eastAsia="Century Gothic" w:hint="default"/>
          <w:spacing w:val="-3"/>
        </w:rPr>
        <w:t>[2008]43</w:t>
      </w:r>
      <w:r>
        <w:rPr>
          <w:rFonts w:ascii="Century Gothic" w:hAnsi="Century Gothic" w:cs="Century Gothic" w:eastAsia="Century Gothic" w:hint="default"/>
          <w:spacing w:val="-55"/>
        </w:rPr>
        <w:t> </w:t>
      </w:r>
      <w:r>
        <w:rPr/>
        <w:t>号”）要求计算的净资产收益率和每股收益如下：</w:t>
      </w:r>
    </w:p>
    <w:p>
      <w:pPr>
        <w:spacing w:line="240" w:lineRule="auto" w:before="7"/>
        <w:rPr>
          <w:rFonts w:ascii="宋体" w:hAnsi="宋体" w:cs="宋体" w:eastAsia="宋体" w:hint="default"/>
          <w:sz w:val="6"/>
          <w:szCs w:val="6"/>
        </w:rPr>
      </w:pPr>
    </w:p>
    <w:tbl>
      <w:tblPr>
        <w:tblW w:w="0" w:type="auto"/>
        <w:jc w:val="left"/>
        <w:tblInd w:w="321" w:type="dxa"/>
        <w:tblLayout w:type="fixed"/>
        <w:tblCellMar>
          <w:top w:w="0" w:type="dxa"/>
          <w:left w:w="0" w:type="dxa"/>
          <w:bottom w:w="0" w:type="dxa"/>
          <w:right w:w="0" w:type="dxa"/>
        </w:tblCellMar>
        <w:tblLook w:val="01E0"/>
      </w:tblPr>
      <w:tblGrid>
        <w:gridCol w:w="4382"/>
        <w:gridCol w:w="1878"/>
        <w:gridCol w:w="1301"/>
        <w:gridCol w:w="1297"/>
      </w:tblGrid>
      <w:tr>
        <w:trPr>
          <w:trHeight w:val="362" w:hRule="exact"/>
        </w:trPr>
        <w:tc>
          <w:tcPr>
            <w:tcW w:w="4382"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4476" w:type="dxa"/>
            <w:gridSpan w:val="3"/>
            <w:tcBorders>
              <w:top w:val="single" w:sz="12" w:space="0" w:color="000000"/>
              <w:left w:val="single" w:sz="6" w:space="0" w:color="000000"/>
              <w:bottom w:val="single" w:sz="6" w:space="0" w:color="000000"/>
              <w:right w:val="nil" w:sz="6" w:space="0" w:color="auto"/>
            </w:tcBorders>
          </w:tcPr>
          <w:p>
            <w:pPr>
              <w:pStyle w:val="TableParagraph"/>
              <w:spacing w:line="274" w:lineRule="exact"/>
              <w:ind w:left="23" w:right="0"/>
              <w:jc w:val="center"/>
              <w:rPr>
                <w:rFonts w:ascii="宋体" w:hAnsi="宋体" w:cs="宋体" w:eastAsia="宋体" w:hint="default"/>
                <w:sz w:val="21"/>
                <w:szCs w:val="21"/>
              </w:rPr>
            </w:pPr>
            <w:r>
              <w:rPr>
                <w:rFonts w:ascii="宋体" w:hAnsi="宋体" w:cs="宋体" w:eastAsia="宋体" w:hint="default"/>
                <w:spacing w:val="-22"/>
                <w:sz w:val="21"/>
                <w:szCs w:val="21"/>
              </w:rPr>
              <w:t>本年数</w:t>
            </w:r>
          </w:p>
        </w:tc>
      </w:tr>
      <w:tr>
        <w:trPr>
          <w:trHeight w:val="355" w:hRule="exact"/>
        </w:trPr>
        <w:tc>
          <w:tcPr>
            <w:tcW w:w="4382" w:type="dxa"/>
            <w:vMerge/>
            <w:tcBorders>
              <w:left w:val="nil" w:sz="6" w:space="0" w:color="auto"/>
              <w:right w:val="single" w:sz="6" w:space="0" w:color="000000"/>
            </w:tcBorders>
          </w:tcPr>
          <w:p>
            <w:pPr/>
          </w:p>
        </w:tc>
        <w:tc>
          <w:tcPr>
            <w:tcW w:w="1878" w:type="dxa"/>
            <w:vMerge w:val="restart"/>
            <w:tcBorders>
              <w:top w:val="single" w:sz="6" w:space="0" w:color="000000"/>
              <w:left w:val="single" w:sz="6" w:space="0" w:color="000000"/>
              <w:right w:val="single" w:sz="6" w:space="0" w:color="000000"/>
            </w:tcBorders>
          </w:tcPr>
          <w:p>
            <w:pPr>
              <w:pStyle w:val="TableParagraph"/>
              <w:spacing w:line="272" w:lineRule="exact" w:before="164"/>
              <w:ind w:left="616" w:right="194" w:hanging="420"/>
              <w:jc w:val="left"/>
              <w:rPr>
                <w:rFonts w:ascii="宋体" w:hAnsi="宋体" w:cs="宋体" w:eastAsia="宋体" w:hint="default"/>
                <w:sz w:val="21"/>
                <w:szCs w:val="21"/>
              </w:rPr>
            </w:pPr>
            <w:r>
              <w:rPr>
                <w:rFonts w:ascii="宋体" w:hAnsi="宋体" w:cs="宋体" w:eastAsia="宋体" w:hint="default"/>
                <w:sz w:val="21"/>
                <w:szCs w:val="21"/>
              </w:rPr>
              <w:t>加权平均净资产 收益率</w:t>
            </w:r>
          </w:p>
        </w:tc>
        <w:tc>
          <w:tcPr>
            <w:tcW w:w="259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60" w:hRule="exact"/>
        </w:trPr>
        <w:tc>
          <w:tcPr>
            <w:tcW w:w="4382" w:type="dxa"/>
            <w:vMerge/>
            <w:tcBorders>
              <w:left w:val="nil" w:sz="6" w:space="0" w:color="auto"/>
              <w:bottom w:val="single" w:sz="6" w:space="0" w:color="000000"/>
              <w:right w:val="single" w:sz="6" w:space="0" w:color="000000"/>
            </w:tcBorders>
          </w:tcPr>
          <w:p>
            <w:pPr/>
          </w:p>
        </w:tc>
        <w:tc>
          <w:tcPr>
            <w:tcW w:w="1878"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w:t>
            </w:r>
          </w:p>
        </w:tc>
        <w:tc>
          <w:tcPr>
            <w:tcW w:w="1297"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益</w:t>
            </w:r>
          </w:p>
        </w:tc>
      </w:tr>
      <w:tr>
        <w:trPr>
          <w:trHeight w:val="355" w:hRule="exact"/>
        </w:trPr>
        <w:tc>
          <w:tcPr>
            <w:tcW w:w="4382"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-15.58%</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0"/>
              <w:jc w:val="center"/>
              <w:rPr>
                <w:rFonts w:ascii="Century Gothic" w:hAnsi="Century Gothic" w:cs="Century Gothic" w:eastAsia="Century Gothic" w:hint="default"/>
                <w:sz w:val="21"/>
                <w:szCs w:val="21"/>
              </w:rPr>
            </w:pPr>
            <w:r>
              <w:rPr>
                <w:rFonts w:ascii="Century Gothic"/>
                <w:sz w:val="21"/>
              </w:rPr>
              <w:t>-0.17</w:t>
            </w:r>
          </w:p>
        </w:tc>
        <w:tc>
          <w:tcPr>
            <w:tcW w:w="12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left="402" w:right="0"/>
              <w:jc w:val="left"/>
              <w:rPr>
                <w:rFonts w:ascii="Century Gothic" w:hAnsi="Century Gothic" w:cs="Century Gothic" w:eastAsia="Century Gothic" w:hint="default"/>
                <w:sz w:val="21"/>
                <w:szCs w:val="21"/>
              </w:rPr>
            </w:pPr>
            <w:r>
              <w:rPr>
                <w:rFonts w:ascii="Century Gothic"/>
                <w:sz w:val="21"/>
              </w:rPr>
              <w:t>-0.17</w:t>
            </w:r>
          </w:p>
        </w:tc>
      </w:tr>
      <w:tr>
        <w:trPr>
          <w:trHeight w:val="562" w:hRule="exact"/>
        </w:trPr>
        <w:tc>
          <w:tcPr>
            <w:tcW w:w="4382" w:type="dxa"/>
            <w:tcBorders>
              <w:top w:val="single" w:sz="6" w:space="0" w:color="000000"/>
              <w:left w:val="nil" w:sz="6" w:space="0" w:color="auto"/>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扣除非经常性损益后归属于公司普通股股东</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Century Gothic" w:hAnsi="Century Gothic" w:cs="Century Gothic" w:eastAsia="Century Gothic" w:hint="default"/>
                <w:sz w:val="21"/>
                <w:szCs w:val="21"/>
              </w:rPr>
            </w:pPr>
            <w:r>
              <w:rPr>
                <w:rFonts w:ascii="Century Gothic"/>
                <w:sz w:val="21"/>
              </w:rPr>
              <w:t>-14.91%</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Century Gothic" w:hAnsi="Century Gothic" w:cs="Century Gothic" w:eastAsia="Century Gothic" w:hint="default"/>
                <w:sz w:val="21"/>
                <w:szCs w:val="21"/>
              </w:rPr>
            </w:pPr>
            <w:r>
              <w:rPr>
                <w:rFonts w:ascii="Century Gothic"/>
                <w:sz w:val="21"/>
              </w:rPr>
              <w:t>-0.16</w:t>
            </w:r>
          </w:p>
        </w:tc>
        <w:tc>
          <w:tcPr>
            <w:tcW w:w="12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402" w:right="0"/>
              <w:jc w:val="left"/>
              <w:rPr>
                <w:rFonts w:ascii="Century Gothic" w:hAnsi="Century Gothic" w:cs="Century Gothic" w:eastAsia="Century Gothic" w:hint="default"/>
                <w:sz w:val="21"/>
                <w:szCs w:val="21"/>
              </w:rPr>
            </w:pPr>
            <w:r>
              <w:rPr>
                <w:rFonts w:ascii="Century Gothic"/>
                <w:sz w:val="21"/>
              </w:rPr>
              <w:t>-0.16</w:t>
            </w:r>
          </w:p>
        </w:tc>
      </w:tr>
      <w:tr>
        <w:trPr>
          <w:trHeight w:val="354" w:hRule="exact"/>
        </w:trPr>
        <w:tc>
          <w:tcPr>
            <w:tcW w:w="438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4476"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pacing w:val="-22"/>
                <w:sz w:val="21"/>
                <w:szCs w:val="21"/>
              </w:rPr>
              <w:t>上年数</w:t>
            </w:r>
          </w:p>
        </w:tc>
      </w:tr>
      <w:tr>
        <w:trPr>
          <w:trHeight w:val="355" w:hRule="exact"/>
        </w:trPr>
        <w:tc>
          <w:tcPr>
            <w:tcW w:w="4382" w:type="dxa"/>
            <w:vMerge/>
            <w:tcBorders>
              <w:left w:val="nil" w:sz="6" w:space="0" w:color="auto"/>
              <w:right w:val="single" w:sz="6" w:space="0" w:color="000000"/>
            </w:tcBorders>
          </w:tcPr>
          <w:p>
            <w:pPr/>
          </w:p>
        </w:tc>
        <w:tc>
          <w:tcPr>
            <w:tcW w:w="1878" w:type="dxa"/>
            <w:vMerge w:val="restart"/>
            <w:tcBorders>
              <w:top w:val="single" w:sz="6" w:space="0" w:color="000000"/>
              <w:left w:val="single" w:sz="6" w:space="0" w:color="000000"/>
              <w:right w:val="single" w:sz="6" w:space="0" w:color="000000"/>
            </w:tcBorders>
          </w:tcPr>
          <w:p>
            <w:pPr>
              <w:pStyle w:val="TableParagraph"/>
              <w:spacing w:line="240" w:lineRule="auto" w:before="136"/>
              <w:ind w:left="616" w:right="194" w:hanging="420"/>
              <w:jc w:val="left"/>
              <w:rPr>
                <w:rFonts w:ascii="宋体" w:hAnsi="宋体" w:cs="宋体" w:eastAsia="宋体" w:hint="default"/>
                <w:sz w:val="21"/>
                <w:szCs w:val="21"/>
              </w:rPr>
            </w:pPr>
            <w:r>
              <w:rPr>
                <w:rFonts w:ascii="宋体" w:hAnsi="宋体" w:cs="宋体" w:eastAsia="宋体" w:hint="default"/>
                <w:sz w:val="21"/>
                <w:szCs w:val="21"/>
              </w:rPr>
              <w:t>加权平均净资产 收益率</w:t>
            </w:r>
          </w:p>
        </w:tc>
        <w:tc>
          <w:tcPr>
            <w:tcW w:w="259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62" w:hRule="exact"/>
        </w:trPr>
        <w:tc>
          <w:tcPr>
            <w:tcW w:w="4382" w:type="dxa"/>
            <w:vMerge/>
            <w:tcBorders>
              <w:left w:val="nil" w:sz="6" w:space="0" w:color="auto"/>
              <w:bottom w:val="single" w:sz="6" w:space="0" w:color="000000"/>
              <w:right w:val="single" w:sz="6" w:space="0" w:color="000000"/>
            </w:tcBorders>
          </w:tcPr>
          <w:p>
            <w:pPr/>
          </w:p>
        </w:tc>
        <w:tc>
          <w:tcPr>
            <w:tcW w:w="1878" w:type="dxa"/>
            <w:vMerge/>
            <w:tcBorders>
              <w:left w:val="single" w:sz="6" w:space="0" w:color="000000"/>
              <w:bottom w:val="single" w:sz="6" w:space="0" w:color="000000"/>
              <w:right w:val="single" w:sz="6" w:space="0" w:color="000000"/>
            </w:tcBorders>
          </w:tcPr>
          <w:p>
            <w:pP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益</w:t>
            </w:r>
          </w:p>
        </w:tc>
        <w:tc>
          <w:tcPr>
            <w:tcW w:w="1297" w:type="dxa"/>
            <w:tcBorders>
              <w:top w:val="single" w:sz="6" w:space="0" w:color="000000"/>
              <w:left w:val="single" w:sz="6" w:space="0" w:color="000000"/>
              <w:bottom w:val="single" w:sz="6" w:space="0" w:color="000000"/>
              <w:right w:val="nil" w:sz="6" w:space="0" w:color="auto"/>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益</w:t>
            </w:r>
          </w:p>
        </w:tc>
      </w:tr>
      <w:tr>
        <w:trPr>
          <w:trHeight w:val="355" w:hRule="exact"/>
        </w:trPr>
        <w:tc>
          <w:tcPr>
            <w:tcW w:w="4382"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sz w:val="21"/>
              </w:rPr>
              <w:t>0.83%</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
              <w:jc w:val="center"/>
              <w:rPr>
                <w:rFonts w:ascii="Century Gothic" w:hAnsi="Century Gothic" w:cs="Century Gothic" w:eastAsia="Century Gothic" w:hint="default"/>
                <w:sz w:val="21"/>
                <w:szCs w:val="21"/>
              </w:rPr>
            </w:pPr>
            <w:r>
              <w:rPr>
                <w:rFonts w:ascii="Century Gothic"/>
                <w:sz w:val="21"/>
              </w:rPr>
              <w:t>0.01</w:t>
            </w:r>
          </w:p>
        </w:tc>
        <w:tc>
          <w:tcPr>
            <w:tcW w:w="129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0"/>
              <w:ind w:left="438" w:right="0"/>
              <w:jc w:val="left"/>
              <w:rPr>
                <w:rFonts w:ascii="Century Gothic" w:hAnsi="Century Gothic" w:cs="Century Gothic" w:eastAsia="Century Gothic" w:hint="default"/>
                <w:sz w:val="21"/>
                <w:szCs w:val="21"/>
              </w:rPr>
            </w:pPr>
            <w:r>
              <w:rPr>
                <w:rFonts w:ascii="Century Gothic"/>
                <w:sz w:val="21"/>
              </w:rPr>
              <w:t>0.01</w:t>
            </w:r>
          </w:p>
        </w:tc>
      </w:tr>
      <w:tr>
        <w:trPr>
          <w:trHeight w:val="568" w:hRule="exact"/>
        </w:trPr>
        <w:tc>
          <w:tcPr>
            <w:tcW w:w="4382" w:type="dxa"/>
            <w:tcBorders>
              <w:top w:val="single" w:sz="6" w:space="0" w:color="000000"/>
              <w:left w:val="nil" w:sz="6" w:space="0" w:color="auto"/>
              <w:bottom w:val="single" w:sz="12"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扣除非经常性损益后归属于公司普通股股东</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0"/>
              <w:jc w:val="center"/>
              <w:rPr>
                <w:rFonts w:ascii="Century Gothic" w:hAnsi="Century Gothic" w:cs="Century Gothic" w:eastAsia="Century Gothic" w:hint="default"/>
                <w:sz w:val="21"/>
                <w:szCs w:val="21"/>
              </w:rPr>
            </w:pPr>
            <w:r>
              <w:rPr>
                <w:rFonts w:ascii="Century Gothic"/>
                <w:sz w:val="21"/>
              </w:rPr>
              <w:t>-2.42%</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0"/>
              <w:jc w:val="center"/>
              <w:rPr>
                <w:rFonts w:ascii="Century Gothic" w:hAnsi="Century Gothic" w:cs="Century Gothic" w:eastAsia="Century Gothic" w:hint="default"/>
                <w:sz w:val="21"/>
                <w:szCs w:val="21"/>
              </w:rPr>
            </w:pPr>
            <w:r>
              <w:rPr>
                <w:rFonts w:ascii="Century Gothic"/>
                <w:sz w:val="21"/>
              </w:rPr>
              <w:t>-0.03</w:t>
            </w:r>
          </w:p>
        </w:tc>
        <w:tc>
          <w:tcPr>
            <w:tcW w:w="129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2"/>
              <w:ind w:left="402" w:right="0"/>
              <w:jc w:val="left"/>
              <w:rPr>
                <w:rFonts w:ascii="Century Gothic" w:hAnsi="Century Gothic" w:cs="Century Gothic" w:eastAsia="Century Gothic" w:hint="default"/>
                <w:sz w:val="21"/>
                <w:szCs w:val="21"/>
              </w:rPr>
            </w:pPr>
            <w:r>
              <w:rPr>
                <w:rFonts w:ascii="Century Gothic"/>
                <w:sz w:val="21"/>
              </w:rPr>
              <w:t>-0.03</w:t>
            </w:r>
          </w:p>
        </w:tc>
      </w:tr>
    </w:tbl>
    <w:p>
      <w:pPr>
        <w:pStyle w:val="Heading4"/>
        <w:spacing w:line="240" w:lineRule="auto" w:before="86"/>
        <w:ind w:left="598" w:right="152"/>
        <w:jc w:val="left"/>
        <w:rPr>
          <w:rFonts w:ascii="宋体" w:hAnsi="宋体" w:cs="宋体" w:eastAsia="宋体" w:hint="default"/>
          <w:b w:val="0"/>
          <w:bCs w:val="0"/>
        </w:rPr>
      </w:pPr>
      <w:r>
        <w:rPr>
          <w:rFonts w:ascii="宋体" w:hAnsi="宋体" w:cs="宋体" w:eastAsia="宋体" w:hint="default"/>
        </w:rPr>
        <w:t>（三）</w:t>
      </w:r>
      <w:r>
        <w:rPr>
          <w:rFonts w:ascii="宋体" w:hAnsi="宋体" w:cs="宋体" w:eastAsia="宋体" w:hint="default"/>
          <w:spacing w:val="-91"/>
        </w:rPr>
        <w:t> </w:t>
      </w:r>
      <w:r>
        <w:rPr>
          <w:rFonts w:ascii="宋体" w:hAnsi="宋体" w:cs="宋体" w:eastAsia="宋体" w:hint="default"/>
        </w:rPr>
        <w:t>公司主要会计报表项目的异常情况及原因说明</w:t>
      </w:r>
      <w:r>
        <w:rPr>
          <w:rFonts w:ascii="宋体" w:hAnsi="宋体" w:cs="宋体" w:eastAsia="宋体" w:hint="default"/>
          <w:b w:val="0"/>
          <w:bCs w:val="0"/>
        </w:rPr>
      </w:r>
    </w:p>
    <w:p>
      <w:pPr>
        <w:spacing w:line="240" w:lineRule="auto" w:before="1"/>
        <w:rPr>
          <w:rFonts w:ascii="宋体" w:hAnsi="宋体" w:cs="宋体" w:eastAsia="宋体" w:hint="default"/>
          <w:b/>
          <w:bCs/>
          <w:sz w:val="22"/>
          <w:szCs w:val="22"/>
        </w:rPr>
      </w:pPr>
    </w:p>
    <w:tbl>
      <w:tblPr>
        <w:tblW w:w="0" w:type="auto"/>
        <w:jc w:val="left"/>
        <w:tblInd w:w="106" w:type="dxa"/>
        <w:tblLayout w:type="fixed"/>
        <w:tblCellMar>
          <w:top w:w="0" w:type="dxa"/>
          <w:left w:w="0" w:type="dxa"/>
          <w:bottom w:w="0" w:type="dxa"/>
          <w:right w:w="0" w:type="dxa"/>
        </w:tblCellMar>
        <w:tblLook w:val="01E0"/>
      </w:tblPr>
      <w:tblGrid>
        <w:gridCol w:w="1456"/>
        <w:gridCol w:w="1805"/>
        <w:gridCol w:w="1888"/>
        <w:gridCol w:w="1560"/>
        <w:gridCol w:w="1410"/>
        <w:gridCol w:w="1170"/>
      </w:tblGrid>
      <w:tr>
        <w:trPr>
          <w:trHeight w:val="485" w:hRule="exact"/>
        </w:trPr>
        <w:tc>
          <w:tcPr>
            <w:tcW w:w="14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6"/>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5" w:type="dxa"/>
            <w:tcBorders>
              <w:top w:val="single" w:sz="12" w:space="0" w:color="000000"/>
              <w:left w:val="single" w:sz="2" w:space="0" w:color="000000"/>
              <w:bottom w:val="single" w:sz="2" w:space="0" w:color="000000"/>
              <w:right w:val="single" w:sz="2" w:space="0" w:color="000000"/>
            </w:tcBorders>
          </w:tcPr>
          <w:p>
            <w:pPr>
              <w:pStyle w:val="TableParagraph"/>
              <w:spacing w:line="211" w:lineRule="exact"/>
              <w:ind w:left="117" w:right="0"/>
              <w:jc w:val="left"/>
              <w:rPr>
                <w:rFonts w:ascii="宋体" w:hAnsi="宋体" w:cs="宋体" w:eastAsia="宋体" w:hint="default"/>
                <w:sz w:val="18"/>
                <w:szCs w:val="18"/>
              </w:rPr>
            </w:pPr>
            <w:r>
              <w:rPr>
                <w:rFonts w:ascii="Arial" w:hAnsi="Arial" w:cs="Arial" w:eastAsia="Arial" w:hint="default"/>
                <w:sz w:val="18"/>
                <w:szCs w:val="18"/>
              </w:rPr>
              <w:t>2009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41" w:lineRule="exact"/>
              <w:ind w:left="203" w:right="0"/>
              <w:jc w:val="left"/>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Arial" w:hAnsi="Arial" w:cs="Arial" w:eastAsia="Arial" w:hint="default"/>
                <w:sz w:val="18"/>
                <w:szCs w:val="18"/>
              </w:rPr>
              <w:t>2009</w:t>
            </w:r>
            <w:r>
              <w:rPr>
                <w:rFonts w:ascii="Arial" w:hAnsi="Arial" w:cs="Arial" w:eastAsia="Arial" w:hint="default"/>
                <w:spacing w:val="-7"/>
                <w:sz w:val="18"/>
                <w:szCs w:val="18"/>
              </w:rPr>
              <w:t> </w:t>
            </w:r>
            <w:r>
              <w:rPr>
                <w:rFonts w:ascii="宋体" w:hAnsi="宋体" w:cs="宋体" w:eastAsia="宋体" w:hint="default"/>
                <w:sz w:val="18"/>
                <w:szCs w:val="18"/>
              </w:rPr>
              <w:t>年度）</w:t>
            </w:r>
          </w:p>
        </w:tc>
        <w:tc>
          <w:tcPr>
            <w:tcW w:w="1888" w:type="dxa"/>
            <w:tcBorders>
              <w:top w:val="single" w:sz="12" w:space="0" w:color="000000"/>
              <w:left w:val="single" w:sz="2" w:space="0" w:color="000000"/>
              <w:bottom w:val="single" w:sz="2" w:space="0" w:color="000000"/>
              <w:right w:val="single" w:sz="2" w:space="0" w:color="000000"/>
            </w:tcBorders>
          </w:tcPr>
          <w:p>
            <w:pPr>
              <w:pStyle w:val="TableParagraph"/>
              <w:spacing w:line="211" w:lineRule="exact"/>
              <w:ind w:left="158" w:right="0"/>
              <w:jc w:val="left"/>
              <w:rPr>
                <w:rFonts w:ascii="宋体" w:hAnsi="宋体" w:cs="宋体" w:eastAsia="宋体" w:hint="default"/>
                <w:sz w:val="18"/>
                <w:szCs w:val="18"/>
              </w:rPr>
            </w:pPr>
            <w:r>
              <w:rPr>
                <w:rFonts w:ascii="Arial" w:hAnsi="Arial" w:cs="Arial" w:eastAsia="Arial" w:hint="default"/>
                <w:sz w:val="18"/>
                <w:szCs w:val="18"/>
              </w:rPr>
              <w:t>2008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p>
            <w:pPr>
              <w:pStyle w:val="TableParagraph"/>
              <w:spacing w:line="241" w:lineRule="exact"/>
              <w:ind w:left="245" w:right="0"/>
              <w:jc w:val="left"/>
              <w:rPr>
                <w:rFonts w:ascii="宋体" w:hAnsi="宋体" w:cs="宋体" w:eastAsia="宋体" w:hint="default"/>
                <w:sz w:val="18"/>
                <w:szCs w:val="18"/>
              </w:rPr>
            </w:pPr>
            <w:r>
              <w:rPr>
                <w:rFonts w:ascii="宋体" w:hAnsi="宋体" w:cs="宋体" w:eastAsia="宋体" w:hint="default"/>
                <w:sz w:val="18"/>
                <w:szCs w:val="18"/>
              </w:rPr>
              <w:t>（或</w:t>
            </w:r>
            <w:r>
              <w:rPr>
                <w:rFonts w:ascii="宋体" w:hAnsi="宋体" w:cs="宋体" w:eastAsia="宋体" w:hint="default"/>
                <w:spacing w:val="-47"/>
                <w:sz w:val="18"/>
                <w:szCs w:val="18"/>
              </w:rPr>
              <w:t> </w:t>
            </w:r>
            <w:r>
              <w:rPr>
                <w:rFonts w:ascii="Arial" w:hAnsi="Arial" w:cs="Arial" w:eastAsia="Arial" w:hint="default"/>
                <w:sz w:val="18"/>
                <w:szCs w:val="18"/>
              </w:rPr>
              <w:t>2008</w:t>
            </w:r>
            <w:r>
              <w:rPr>
                <w:rFonts w:ascii="Arial" w:hAnsi="Arial" w:cs="Arial" w:eastAsia="Arial" w:hint="default"/>
                <w:spacing w:val="-7"/>
                <w:sz w:val="18"/>
                <w:szCs w:val="18"/>
              </w:rPr>
              <w:t> </w:t>
            </w:r>
            <w:r>
              <w:rPr>
                <w:rFonts w:ascii="宋体" w:hAnsi="宋体" w:cs="宋体" w:eastAsia="宋体" w:hint="default"/>
                <w:sz w:val="18"/>
                <w:szCs w:val="18"/>
              </w:rPr>
              <w:t>年度）</w:t>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237" w:right="0"/>
              <w:jc w:val="left"/>
              <w:rPr>
                <w:rFonts w:ascii="宋体" w:hAnsi="宋体" w:cs="宋体" w:eastAsia="宋体" w:hint="default"/>
                <w:sz w:val="18"/>
                <w:szCs w:val="18"/>
              </w:rPr>
            </w:pPr>
            <w:r>
              <w:rPr>
                <w:rFonts w:ascii="宋体" w:hAnsi="宋体" w:cs="宋体" w:eastAsia="宋体" w:hint="default"/>
                <w:sz w:val="18"/>
                <w:szCs w:val="18"/>
              </w:rPr>
              <w:t>差异变动金额</w:t>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6"/>
              <w:ind w:left="161" w:right="0"/>
              <w:jc w:val="left"/>
              <w:rPr>
                <w:rFonts w:ascii="宋体" w:hAnsi="宋体" w:cs="宋体" w:eastAsia="宋体" w:hint="default"/>
                <w:sz w:val="18"/>
                <w:szCs w:val="18"/>
              </w:rPr>
            </w:pPr>
            <w:r>
              <w:rPr>
                <w:rFonts w:ascii="宋体" w:hAnsi="宋体" w:cs="宋体" w:eastAsia="宋体" w:hint="default"/>
                <w:sz w:val="18"/>
                <w:szCs w:val="18"/>
              </w:rPr>
              <w:t>差异变动幅度</w:t>
            </w:r>
          </w:p>
        </w:tc>
        <w:tc>
          <w:tcPr>
            <w:tcW w:w="11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原因分析</w:t>
            </w:r>
          </w:p>
        </w:tc>
      </w:tr>
      <w:tr>
        <w:trPr>
          <w:trHeight w:val="402" w:hRule="exact"/>
        </w:trPr>
        <w:tc>
          <w:tcPr>
            <w:tcW w:w="1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366,443,760.03</w:t>
            </w:r>
          </w:p>
        </w:tc>
        <w:tc>
          <w:tcPr>
            <w:tcW w:w="18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Century Gothic" w:hAnsi="Century Gothic" w:cs="Century Gothic" w:eastAsia="Century Gothic" w:hint="default"/>
                <w:sz w:val="18"/>
                <w:szCs w:val="18"/>
              </w:rPr>
            </w:pPr>
            <w:r>
              <w:rPr>
                <w:rFonts w:ascii="Century Gothic"/>
                <w:spacing w:val="-1"/>
                <w:sz w:val="18"/>
              </w:rPr>
              <w:t>693,719,930.22</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-327,276,170.19</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-47.18%</w:t>
            </w:r>
            <w:r>
              <w:rPr>
                <w:rFonts w:ascii="Century Gothic"/>
                <w:sz w:val="18"/>
              </w:rPr>
            </w:r>
          </w:p>
        </w:tc>
        <w:tc>
          <w:tcPr>
            <w:tcW w:w="11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1</w:t>
            </w:r>
          </w:p>
        </w:tc>
      </w:tr>
      <w:tr>
        <w:trPr>
          <w:trHeight w:val="402" w:hRule="exact"/>
        </w:trPr>
        <w:tc>
          <w:tcPr>
            <w:tcW w:w="1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5"/>
              <w:jc w:val="right"/>
              <w:rPr>
                <w:rFonts w:ascii="Century Gothic" w:hAnsi="Century Gothic" w:cs="Century Gothic" w:eastAsia="Century Gothic" w:hint="default"/>
                <w:sz w:val="18"/>
                <w:szCs w:val="18"/>
              </w:rPr>
            </w:pPr>
            <w:r>
              <w:rPr>
                <w:rFonts w:ascii="Century Gothic"/>
                <w:spacing w:val="-1"/>
                <w:sz w:val="18"/>
              </w:rPr>
              <w:t>28,026,660.16</w:t>
            </w:r>
          </w:p>
        </w:tc>
        <w:tc>
          <w:tcPr>
            <w:tcW w:w="18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174,674,903.05</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-146,648,242.89</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-83.95%</w:t>
            </w:r>
            <w:r>
              <w:rPr>
                <w:rFonts w:ascii="Century Gothic"/>
                <w:sz w:val="18"/>
              </w:rPr>
            </w:r>
          </w:p>
        </w:tc>
        <w:tc>
          <w:tcPr>
            <w:tcW w:w="11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2</w:t>
            </w:r>
          </w:p>
        </w:tc>
      </w:tr>
      <w:tr>
        <w:trPr>
          <w:trHeight w:val="402" w:hRule="exact"/>
        </w:trPr>
        <w:tc>
          <w:tcPr>
            <w:tcW w:w="1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453,100,000.00</w:t>
            </w:r>
          </w:p>
        </w:tc>
        <w:tc>
          <w:tcPr>
            <w:tcW w:w="18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Century Gothic" w:hAnsi="Century Gothic" w:cs="Century Gothic" w:eastAsia="Century Gothic" w:hint="default"/>
                <w:sz w:val="18"/>
                <w:szCs w:val="18"/>
              </w:rPr>
            </w:pPr>
            <w:r>
              <w:rPr>
                <w:rFonts w:ascii="Century Gothic"/>
                <w:spacing w:val="-1"/>
                <w:sz w:val="18"/>
              </w:rPr>
              <w:t>688,390,000.00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-235,290,000.00</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-34.18%</w:t>
            </w:r>
            <w:r>
              <w:rPr>
                <w:rFonts w:ascii="Century Gothic"/>
                <w:sz w:val="18"/>
              </w:rPr>
            </w:r>
          </w:p>
        </w:tc>
        <w:tc>
          <w:tcPr>
            <w:tcW w:w="11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3</w:t>
            </w:r>
          </w:p>
        </w:tc>
      </w:tr>
      <w:tr>
        <w:trPr>
          <w:trHeight w:val="402" w:hRule="exact"/>
        </w:trPr>
        <w:tc>
          <w:tcPr>
            <w:tcW w:w="1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243,512,603.13</w:t>
            </w:r>
          </w:p>
        </w:tc>
        <w:tc>
          <w:tcPr>
            <w:tcW w:w="18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Century Gothic" w:hAnsi="Century Gothic" w:cs="Century Gothic" w:eastAsia="Century Gothic" w:hint="default"/>
                <w:sz w:val="18"/>
                <w:szCs w:val="18"/>
              </w:rPr>
            </w:pPr>
            <w:r>
              <w:rPr>
                <w:rFonts w:ascii="Century Gothic"/>
                <w:spacing w:val="-1"/>
                <w:sz w:val="18"/>
              </w:rPr>
              <w:t>399,058,710.87</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-155,546,107.74</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-38.98%</w:t>
            </w:r>
            <w:r>
              <w:rPr>
                <w:rFonts w:ascii="Century Gothic"/>
                <w:sz w:val="18"/>
              </w:rPr>
            </w:r>
          </w:p>
        </w:tc>
        <w:tc>
          <w:tcPr>
            <w:tcW w:w="11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1</w:t>
            </w:r>
          </w:p>
        </w:tc>
      </w:tr>
      <w:tr>
        <w:trPr>
          <w:trHeight w:val="402" w:hRule="exact"/>
        </w:trPr>
        <w:tc>
          <w:tcPr>
            <w:tcW w:w="1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116,877,174.77</w:t>
            </w:r>
          </w:p>
        </w:tc>
        <w:tc>
          <w:tcPr>
            <w:tcW w:w="18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Century Gothic" w:hAnsi="Century Gothic" w:cs="Century Gothic" w:eastAsia="Century Gothic" w:hint="default"/>
                <w:sz w:val="18"/>
                <w:szCs w:val="18"/>
              </w:rPr>
            </w:pPr>
            <w:r>
              <w:rPr>
                <w:rFonts w:ascii="Century Gothic"/>
                <w:spacing w:val="-1"/>
                <w:sz w:val="18"/>
              </w:rPr>
              <w:t>218,412,409.58</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-101,535,234.81</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-46.49%</w:t>
            </w:r>
            <w:r>
              <w:rPr>
                <w:rFonts w:ascii="Century Gothic"/>
                <w:sz w:val="18"/>
              </w:rPr>
            </w:r>
          </w:p>
        </w:tc>
        <w:tc>
          <w:tcPr>
            <w:tcW w:w="11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4</w:t>
            </w:r>
          </w:p>
        </w:tc>
      </w:tr>
      <w:tr>
        <w:trPr>
          <w:trHeight w:val="474" w:hRule="exact"/>
        </w:trPr>
        <w:tc>
          <w:tcPr>
            <w:tcW w:w="145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一年内到期的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Century Gothic" w:hAnsi="Century Gothic" w:cs="Century Gothic" w:eastAsia="Century Gothic" w:hint="default"/>
                <w:sz w:val="18"/>
                <w:szCs w:val="18"/>
              </w:rPr>
            </w:pPr>
            <w:r>
              <w:rPr>
                <w:rFonts w:ascii="Century Gothic"/>
                <w:spacing w:val="-1"/>
                <w:sz w:val="18"/>
              </w:rPr>
              <w:t>122,000,000.00</w:t>
            </w:r>
          </w:p>
        </w:tc>
        <w:tc>
          <w:tcPr>
            <w:tcW w:w="18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5"/>
              <w:jc w:val="right"/>
              <w:rPr>
                <w:rFonts w:ascii="Century Gothic" w:hAnsi="Century Gothic" w:cs="Century Gothic" w:eastAsia="Century Gothic" w:hint="default"/>
                <w:sz w:val="18"/>
                <w:szCs w:val="18"/>
              </w:rPr>
            </w:pPr>
            <w:r>
              <w:rPr>
                <w:rFonts w:ascii="Century Gothic"/>
                <w:spacing w:val="-1"/>
                <w:sz w:val="18"/>
              </w:rPr>
              <w:t>17,960,000.00</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Century Gothic" w:hAnsi="Century Gothic" w:cs="Century Gothic" w:eastAsia="Century Gothic" w:hint="default"/>
                <w:sz w:val="18"/>
                <w:szCs w:val="18"/>
              </w:rPr>
            </w:pPr>
            <w:r>
              <w:rPr>
                <w:rFonts w:ascii="Century Gothic"/>
                <w:spacing w:val="-1"/>
                <w:sz w:val="18"/>
              </w:rPr>
              <w:t>104,040,000.00</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Century Gothic" w:hAnsi="Century Gothic" w:cs="Century Gothic" w:eastAsia="Century Gothic" w:hint="default"/>
                <w:sz w:val="18"/>
                <w:szCs w:val="18"/>
              </w:rPr>
            </w:pPr>
            <w:r>
              <w:rPr>
                <w:rFonts w:ascii="Century Gothic"/>
                <w:spacing w:val="-1"/>
                <w:sz w:val="18"/>
              </w:rPr>
              <w:t>579.29%</w:t>
            </w:r>
            <w:r>
              <w:rPr>
                <w:rFonts w:ascii="Century Gothic"/>
                <w:sz w:val="18"/>
              </w:rPr>
            </w:r>
          </w:p>
        </w:tc>
        <w:tc>
          <w:tcPr>
            <w:tcW w:w="11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5</w:t>
            </w:r>
          </w:p>
        </w:tc>
      </w:tr>
      <w:tr>
        <w:trPr>
          <w:trHeight w:val="402" w:hRule="exact"/>
        </w:trPr>
        <w:tc>
          <w:tcPr>
            <w:tcW w:w="1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113,561,711.15</w:t>
            </w:r>
          </w:p>
        </w:tc>
        <w:tc>
          <w:tcPr>
            <w:tcW w:w="18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Century Gothic" w:hAnsi="Century Gothic" w:cs="Century Gothic" w:eastAsia="Century Gothic" w:hint="default"/>
                <w:sz w:val="18"/>
                <w:szCs w:val="18"/>
              </w:rPr>
            </w:pPr>
            <w:r>
              <w:rPr>
                <w:rFonts w:ascii="Century Gothic"/>
                <w:spacing w:val="-1"/>
                <w:sz w:val="18"/>
              </w:rPr>
              <w:t>297,102,317.43</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-183,540,606.28</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-61.78%</w:t>
            </w:r>
            <w:r>
              <w:rPr>
                <w:rFonts w:ascii="Century Gothic"/>
                <w:sz w:val="18"/>
              </w:rPr>
            </w:r>
          </w:p>
        </w:tc>
        <w:tc>
          <w:tcPr>
            <w:tcW w:w="11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6</w:t>
            </w:r>
          </w:p>
        </w:tc>
      </w:tr>
      <w:tr>
        <w:trPr>
          <w:trHeight w:val="402" w:hRule="exact"/>
        </w:trPr>
        <w:tc>
          <w:tcPr>
            <w:tcW w:w="1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1,955,611,259.51</w:t>
            </w:r>
            <w:r>
              <w:rPr>
                <w:rFonts w:ascii="Century Gothic"/>
                <w:sz w:val="18"/>
              </w:rPr>
            </w:r>
          </w:p>
        </w:tc>
        <w:tc>
          <w:tcPr>
            <w:tcW w:w="18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Century Gothic" w:hAnsi="Century Gothic" w:cs="Century Gothic" w:eastAsia="Century Gothic" w:hint="default"/>
                <w:sz w:val="18"/>
                <w:szCs w:val="18"/>
              </w:rPr>
            </w:pPr>
            <w:r>
              <w:rPr>
                <w:rFonts w:ascii="Century Gothic"/>
                <w:spacing w:val="-1"/>
                <w:sz w:val="18"/>
              </w:rPr>
              <w:t>2,862,342,584.17</w:t>
            </w:r>
            <w:r>
              <w:rPr>
                <w:rFonts w:ascii="Century Gothic"/>
                <w:sz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-906,731,324.66</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-31.68%</w:t>
            </w:r>
            <w:r>
              <w:rPr>
                <w:rFonts w:ascii="Century Gothic"/>
                <w:sz w:val="18"/>
              </w:rPr>
            </w:r>
          </w:p>
        </w:tc>
        <w:tc>
          <w:tcPr>
            <w:tcW w:w="11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1</w:t>
            </w:r>
          </w:p>
        </w:tc>
      </w:tr>
      <w:tr>
        <w:trPr>
          <w:trHeight w:val="402" w:hRule="exact"/>
        </w:trPr>
        <w:tc>
          <w:tcPr>
            <w:tcW w:w="1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1,476,103,245.76</w:t>
            </w:r>
            <w:r>
              <w:rPr>
                <w:rFonts w:ascii="Century Gothic"/>
                <w:sz w:val="18"/>
              </w:rPr>
            </w:r>
          </w:p>
        </w:tc>
        <w:tc>
          <w:tcPr>
            <w:tcW w:w="18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Century Gothic" w:hAnsi="Century Gothic" w:cs="Century Gothic" w:eastAsia="Century Gothic" w:hint="default"/>
                <w:sz w:val="18"/>
                <w:szCs w:val="18"/>
              </w:rPr>
            </w:pPr>
            <w:r>
              <w:rPr>
                <w:rFonts w:ascii="Century Gothic"/>
                <w:spacing w:val="-1"/>
                <w:sz w:val="18"/>
              </w:rPr>
              <w:t>2,447,070,148.98</w:t>
            </w:r>
            <w:r>
              <w:rPr>
                <w:rFonts w:ascii="Century Gothic"/>
                <w:sz w:val="18"/>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-970,966,903.22</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-39.68%</w:t>
            </w:r>
            <w:r>
              <w:rPr>
                <w:rFonts w:ascii="Century Gothic"/>
                <w:sz w:val="18"/>
              </w:rPr>
            </w:r>
          </w:p>
        </w:tc>
        <w:tc>
          <w:tcPr>
            <w:tcW w:w="11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1</w:t>
            </w:r>
          </w:p>
        </w:tc>
      </w:tr>
      <w:tr>
        <w:trPr>
          <w:trHeight w:val="473" w:hRule="exact"/>
        </w:trPr>
        <w:tc>
          <w:tcPr>
            <w:tcW w:w="1456" w:type="dxa"/>
            <w:tcBorders>
              <w:top w:val="single" w:sz="2" w:space="0" w:color="000000"/>
              <w:left w:val="nil" w:sz="6" w:space="0" w:color="auto"/>
              <w:bottom w:val="single" w:sz="2" w:space="0" w:color="000000"/>
              <w:right w:val="single" w:sz="2"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3"/>
                <w:sz w:val="18"/>
                <w:szCs w:val="18"/>
              </w:rPr>
              <w:t>营业税金及附</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4"/>
              <w:jc w:val="right"/>
              <w:rPr>
                <w:rFonts w:ascii="Century Gothic" w:hAnsi="Century Gothic" w:cs="Century Gothic" w:eastAsia="Century Gothic" w:hint="default"/>
                <w:sz w:val="18"/>
                <w:szCs w:val="18"/>
              </w:rPr>
            </w:pPr>
            <w:r>
              <w:rPr>
                <w:rFonts w:ascii="Century Gothic"/>
                <w:spacing w:val="-1"/>
                <w:sz w:val="18"/>
              </w:rPr>
              <w:t>11,992,892.45</w:t>
            </w:r>
          </w:p>
        </w:tc>
        <w:tc>
          <w:tcPr>
            <w:tcW w:w="18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Century Gothic" w:hAnsi="Century Gothic" w:cs="Century Gothic" w:eastAsia="Century Gothic" w:hint="default"/>
                <w:sz w:val="18"/>
                <w:szCs w:val="18"/>
              </w:rPr>
            </w:pPr>
            <w:r>
              <w:rPr>
                <w:rFonts w:ascii="Century Gothic"/>
                <w:spacing w:val="-1"/>
                <w:sz w:val="18"/>
              </w:rPr>
              <w:t>9,078,679.51</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Century Gothic" w:hAnsi="Century Gothic" w:cs="Century Gothic" w:eastAsia="Century Gothic" w:hint="default"/>
                <w:sz w:val="18"/>
                <w:szCs w:val="18"/>
              </w:rPr>
            </w:pPr>
            <w:r>
              <w:rPr>
                <w:rFonts w:ascii="Century Gothic"/>
                <w:spacing w:val="-1"/>
                <w:sz w:val="18"/>
              </w:rPr>
              <w:t>2,914,212.94</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right="103"/>
              <w:jc w:val="right"/>
              <w:rPr>
                <w:rFonts w:ascii="Century Gothic" w:hAnsi="Century Gothic" w:cs="Century Gothic" w:eastAsia="Century Gothic" w:hint="default"/>
                <w:sz w:val="18"/>
                <w:szCs w:val="18"/>
              </w:rPr>
            </w:pPr>
            <w:r>
              <w:rPr>
                <w:rFonts w:ascii="Century Gothic"/>
                <w:spacing w:val="-1"/>
                <w:sz w:val="18"/>
              </w:rPr>
              <w:t>32.10%</w:t>
            </w:r>
            <w:r>
              <w:rPr>
                <w:rFonts w:ascii="Century Gothic"/>
                <w:sz w:val="18"/>
              </w:rPr>
            </w:r>
          </w:p>
        </w:tc>
        <w:tc>
          <w:tcPr>
            <w:tcW w:w="11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6"/>
              <w:ind w:right="1"/>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7</w:t>
            </w:r>
          </w:p>
        </w:tc>
      </w:tr>
      <w:tr>
        <w:trPr>
          <w:trHeight w:val="402" w:hRule="exact"/>
        </w:trPr>
        <w:tc>
          <w:tcPr>
            <w:tcW w:w="14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0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226,449,477.91</w:t>
            </w:r>
          </w:p>
        </w:tc>
        <w:tc>
          <w:tcPr>
            <w:tcW w:w="18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Century Gothic" w:hAnsi="Century Gothic" w:cs="Century Gothic" w:eastAsia="Century Gothic" w:hint="default"/>
                <w:sz w:val="18"/>
                <w:szCs w:val="18"/>
              </w:rPr>
            </w:pPr>
            <w:r>
              <w:rPr>
                <w:rFonts w:ascii="Century Gothic"/>
                <w:spacing w:val="-1"/>
                <w:sz w:val="18"/>
              </w:rPr>
              <w:t>162,023,599.23</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Century Gothic" w:hAnsi="Century Gothic" w:cs="Century Gothic" w:eastAsia="Century Gothic" w:hint="default"/>
                <w:sz w:val="18"/>
                <w:szCs w:val="18"/>
              </w:rPr>
            </w:pPr>
            <w:r>
              <w:rPr>
                <w:rFonts w:ascii="Century Gothic"/>
                <w:spacing w:val="-1"/>
                <w:sz w:val="18"/>
              </w:rPr>
              <w:t>64,425,878.68</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39.76%</w:t>
            </w:r>
            <w:r>
              <w:rPr>
                <w:rFonts w:ascii="Century Gothic"/>
                <w:sz w:val="18"/>
              </w:rPr>
            </w:r>
          </w:p>
        </w:tc>
        <w:tc>
          <w:tcPr>
            <w:tcW w:w="117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8</w:t>
            </w:r>
          </w:p>
        </w:tc>
      </w:tr>
      <w:tr>
        <w:trPr>
          <w:trHeight w:val="415" w:hRule="exact"/>
        </w:trPr>
        <w:tc>
          <w:tcPr>
            <w:tcW w:w="14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9"/>
              <w:ind w:right="104"/>
              <w:jc w:val="right"/>
              <w:rPr>
                <w:rFonts w:ascii="Century Gothic" w:hAnsi="Century Gothic" w:cs="Century Gothic" w:eastAsia="Century Gothic" w:hint="default"/>
                <w:sz w:val="18"/>
                <w:szCs w:val="18"/>
              </w:rPr>
            </w:pPr>
            <w:r>
              <w:rPr>
                <w:rFonts w:ascii="Century Gothic"/>
                <w:spacing w:val="-1"/>
                <w:sz w:val="18"/>
              </w:rPr>
              <w:t>59,812,463.14</w:t>
            </w:r>
          </w:p>
        </w:tc>
        <w:tc>
          <w:tcPr>
            <w:tcW w:w="18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9"/>
              <w:ind w:right="105"/>
              <w:jc w:val="right"/>
              <w:rPr>
                <w:rFonts w:ascii="Century Gothic" w:hAnsi="Century Gothic" w:cs="Century Gothic" w:eastAsia="Century Gothic" w:hint="default"/>
                <w:sz w:val="18"/>
                <w:szCs w:val="18"/>
              </w:rPr>
            </w:pPr>
            <w:r>
              <w:rPr>
                <w:rFonts w:ascii="Century Gothic"/>
                <w:spacing w:val="-1"/>
                <w:sz w:val="18"/>
              </w:rPr>
              <w:t>-24,764,876.66</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9"/>
              <w:ind w:right="104"/>
              <w:jc w:val="right"/>
              <w:rPr>
                <w:rFonts w:ascii="Century Gothic" w:hAnsi="Century Gothic" w:cs="Century Gothic" w:eastAsia="Century Gothic" w:hint="default"/>
                <w:sz w:val="18"/>
                <w:szCs w:val="18"/>
              </w:rPr>
            </w:pPr>
            <w:r>
              <w:rPr>
                <w:rFonts w:ascii="Century Gothic"/>
                <w:spacing w:val="-1"/>
                <w:sz w:val="18"/>
              </w:rPr>
              <w:t>84,577,339.80</w:t>
            </w:r>
          </w:p>
        </w:tc>
        <w:tc>
          <w:tcPr>
            <w:tcW w:w="1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-341.52%</w:t>
            </w:r>
            <w:r>
              <w:rPr>
                <w:rFonts w:ascii="Century Gothic"/>
                <w:sz w:val="18"/>
              </w:rPr>
            </w:r>
          </w:p>
        </w:tc>
        <w:tc>
          <w:tcPr>
            <w:tcW w:w="11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1"/>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Century Gothic" w:hAnsi="Century Gothic" w:cs="Century Gothic" w:eastAsia="Century Gothic" w:hint="default"/>
                <w:sz w:val="18"/>
                <w:szCs w:val="18"/>
              </w:rPr>
              <w:t>9</w:t>
            </w:r>
          </w:p>
        </w:tc>
      </w:tr>
    </w:tbl>
    <w:p>
      <w:pPr>
        <w:spacing w:line="240" w:lineRule="auto" w:before="6"/>
        <w:rPr>
          <w:rFonts w:ascii="宋体" w:hAnsi="宋体" w:cs="宋体" w:eastAsia="宋体" w:hint="default"/>
          <w:b/>
          <w:bCs/>
          <w:sz w:val="14"/>
          <w:szCs w:val="14"/>
        </w:rPr>
      </w:pPr>
    </w:p>
    <w:p>
      <w:pPr>
        <w:spacing w:before="76"/>
        <w:ind w:left="3267" w:right="3267" w:firstLine="0"/>
        <w:jc w:val="center"/>
        <w:rPr>
          <w:rFonts w:ascii="Times New Roman" w:hAnsi="Times New Roman" w:cs="Times New Roman" w:eastAsia="Times New Roman" w:hint="default"/>
          <w:sz w:val="18"/>
          <w:szCs w:val="18"/>
        </w:rPr>
      </w:pPr>
      <w:r>
        <w:rPr>
          <w:rFonts w:ascii="Times New Roman"/>
          <w:sz w:val="18"/>
        </w:rPr>
        <w:t>108</w:t>
      </w:r>
    </w:p>
    <w:p>
      <w:pPr>
        <w:spacing w:after="0"/>
        <w:jc w:val="center"/>
        <w:rPr>
          <w:rFonts w:ascii="Times New Roman" w:hAnsi="Times New Roman" w:cs="Times New Roman" w:eastAsia="Times New Roman" w:hint="default"/>
          <w:sz w:val="18"/>
          <w:szCs w:val="18"/>
        </w:rPr>
        <w:sectPr>
          <w:pgSz w:w="11910" w:h="16840"/>
          <w:pgMar w:top="780" w:bottom="280" w:left="1120" w:right="1240"/>
        </w:sectPr>
      </w:pPr>
    </w:p>
    <w:p>
      <w:pPr>
        <w:spacing w:line="240" w:lineRule="auto" w:before="6"/>
        <w:rPr>
          <w:rFonts w:ascii="Times New Roman" w:hAnsi="Times New Roman" w:cs="Times New Roman" w:eastAsia="Times New Roman" w:hint="default"/>
          <w:sz w:val="23"/>
          <w:szCs w:val="23"/>
        </w:rPr>
      </w:pPr>
    </w:p>
    <w:p>
      <w:pPr>
        <w:pStyle w:val="Heading4"/>
        <w:tabs>
          <w:tab w:pos="7386" w:val="left" w:leader="none"/>
        </w:tabs>
        <w:spacing w:line="240" w:lineRule="auto"/>
        <w:ind w:left="3654" w:right="152"/>
        <w:jc w:val="left"/>
        <w:rPr>
          <w:b w:val="0"/>
          <w:bCs w:val="0"/>
        </w:rPr>
      </w:pPr>
      <w:r>
        <w:rPr/>
        <w:pict>
          <v:shape style="position:absolute;margin-left:70.860001pt;margin-top:-9.926001pt;width:84.0pt;height:23.94pt;mso-position-horizontal-relative:page;mso-position-vertical-relative:paragraph;z-index:6952" type="#_x0000_t75" stroked="false">
            <v:imagedata r:id="rId13" o:title=""/>
          </v:shape>
        </w:pict>
      </w:r>
      <w:r>
        <w:rPr/>
        <w:t>2009</w:t>
      </w:r>
      <w:r>
        <w:rPr>
          <w:spacing w:val="-63"/>
        </w:rPr>
        <w:t> </w:t>
      </w:r>
      <w:r>
        <w:rPr/>
        <w:t>年年度报告正文</w:t>
        <w:tab/>
        <w:t>证券代码</w:t>
      </w:r>
      <w:r>
        <w:rPr>
          <w:spacing w:val="-62"/>
        </w:rPr>
        <w:t> </w:t>
      </w:r>
      <w:r>
        <w:rPr/>
        <w:t>000607</w:t>
      </w:r>
      <w:r>
        <w:rPr>
          <w:b w:val="0"/>
          <w:bCs w:val="0"/>
        </w:rPr>
      </w:r>
    </w:p>
    <w:p>
      <w:pPr>
        <w:spacing w:line="240" w:lineRule="auto" w:before="12"/>
        <w:rPr>
          <w:rFonts w:ascii="黑体" w:hAnsi="黑体" w:cs="黑体" w:eastAsia="黑体" w:hint="default"/>
          <w:b/>
          <w:bCs/>
          <w:sz w:val="3"/>
          <w:szCs w:val="3"/>
        </w:rPr>
      </w:pPr>
    </w:p>
    <w:p>
      <w:pPr>
        <w:spacing w:line="20" w:lineRule="exact"/>
        <w:ind w:left="141" w:right="0" w:firstLine="0"/>
        <w:rPr>
          <w:rFonts w:ascii="黑体" w:hAnsi="黑体" w:cs="黑体" w:eastAsia="黑体" w:hint="default"/>
          <w:sz w:val="2"/>
          <w:szCs w:val="2"/>
        </w:rPr>
      </w:pPr>
      <w:r>
        <w:rPr>
          <w:rFonts w:ascii="黑体" w:hAnsi="黑体" w:cs="黑体" w:eastAsia="黑体" w:hint="default"/>
          <w:sz w:val="2"/>
          <w:szCs w:val="2"/>
        </w:rPr>
        <w:pict>
          <v:group style="width:445.2pt;height:.75pt;mso-position-horizontal-relative:char;mso-position-vertical-relative:line" coordorigin="0,0" coordsize="8904,15">
            <v:group style="position:absolute;left:7;top:7;width:8890;height:2" coordorigin="7,7" coordsize="8890,2">
              <v:shape style="position:absolute;left:7;top:7;width:8890;height:2" coordorigin="7,7" coordsize="8890,0" path="m7,7l8897,7e" filled="false" stroked="true" strokeweight=".71997pt" strokecolor="#000000">
                <v:path arrowok="t"/>
              </v:shape>
            </v:group>
          </v:group>
        </w:pict>
      </w:r>
      <w:r>
        <w:rPr>
          <w:rFonts w:ascii="黑体" w:hAnsi="黑体" w:cs="黑体" w:eastAsia="黑体" w:hint="default"/>
          <w:sz w:val="2"/>
          <w:szCs w:val="2"/>
        </w:rPr>
      </w:r>
    </w:p>
    <w:tbl>
      <w:tblPr>
        <w:tblW w:w="0" w:type="auto"/>
        <w:jc w:val="left"/>
        <w:tblInd w:w="106" w:type="dxa"/>
        <w:tblLayout w:type="fixed"/>
        <w:tblCellMar>
          <w:top w:w="0" w:type="dxa"/>
          <w:left w:w="0" w:type="dxa"/>
          <w:bottom w:w="0" w:type="dxa"/>
          <w:right w:w="0" w:type="dxa"/>
        </w:tblCellMar>
        <w:tblLook w:val="01E0"/>
      </w:tblPr>
      <w:tblGrid>
        <w:gridCol w:w="1456"/>
        <w:gridCol w:w="1805"/>
        <w:gridCol w:w="1888"/>
        <w:gridCol w:w="1560"/>
        <w:gridCol w:w="1410"/>
        <w:gridCol w:w="1170"/>
      </w:tblGrid>
      <w:tr>
        <w:trPr>
          <w:trHeight w:val="415" w:hRule="exact"/>
        </w:trPr>
        <w:tc>
          <w:tcPr>
            <w:tcW w:w="14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80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Century Gothic" w:hAnsi="Century Gothic" w:cs="Century Gothic" w:eastAsia="Century Gothic" w:hint="default"/>
                <w:sz w:val="18"/>
                <w:szCs w:val="18"/>
              </w:rPr>
            </w:pPr>
            <w:r>
              <w:rPr>
                <w:rFonts w:ascii="Century Gothic"/>
                <w:spacing w:val="-1"/>
                <w:sz w:val="18"/>
              </w:rPr>
              <w:t>12,621,000.60</w:t>
            </w:r>
          </w:p>
        </w:tc>
        <w:tc>
          <w:tcPr>
            <w:tcW w:w="18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9"/>
              <w:ind w:right="104"/>
              <w:jc w:val="right"/>
              <w:rPr>
                <w:rFonts w:ascii="Century Gothic" w:hAnsi="Century Gothic" w:cs="Century Gothic" w:eastAsia="Century Gothic" w:hint="default"/>
                <w:sz w:val="18"/>
                <w:szCs w:val="18"/>
              </w:rPr>
            </w:pPr>
            <w:r>
              <w:rPr>
                <w:rFonts w:ascii="Century Gothic"/>
                <w:spacing w:val="-1"/>
                <w:sz w:val="18"/>
              </w:rPr>
              <w:t>34,373,877.30</w:t>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9"/>
              <w:ind w:right="105"/>
              <w:jc w:val="right"/>
              <w:rPr>
                <w:rFonts w:ascii="Century Gothic" w:hAnsi="Century Gothic" w:cs="Century Gothic" w:eastAsia="Century Gothic" w:hint="default"/>
                <w:sz w:val="18"/>
                <w:szCs w:val="18"/>
              </w:rPr>
            </w:pPr>
            <w:r>
              <w:rPr>
                <w:rFonts w:ascii="Century Gothic"/>
                <w:spacing w:val="-1"/>
                <w:sz w:val="18"/>
              </w:rPr>
              <w:t>-21,752,876.70</w:t>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-63.28%</w:t>
            </w:r>
            <w:r>
              <w:rPr>
                <w:rFonts w:ascii="Century Gothic"/>
                <w:sz w:val="18"/>
              </w:rPr>
            </w:r>
          </w:p>
        </w:tc>
        <w:tc>
          <w:tcPr>
            <w:tcW w:w="117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Century Gothic" w:hAnsi="Century Gothic" w:cs="Century Gothic" w:eastAsia="Century Gothic" w:hint="default"/>
                <w:sz w:val="18"/>
                <w:szCs w:val="18"/>
              </w:rPr>
              <w:t>10</w:t>
            </w:r>
          </w:p>
        </w:tc>
      </w:tr>
      <w:tr>
        <w:trPr>
          <w:trHeight w:val="415" w:hRule="exact"/>
        </w:trPr>
        <w:tc>
          <w:tcPr>
            <w:tcW w:w="14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80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9"/>
              <w:ind w:right="104"/>
              <w:jc w:val="right"/>
              <w:rPr>
                <w:rFonts w:ascii="Century Gothic" w:hAnsi="Century Gothic" w:cs="Century Gothic" w:eastAsia="Century Gothic" w:hint="default"/>
                <w:sz w:val="18"/>
                <w:szCs w:val="18"/>
              </w:rPr>
            </w:pPr>
            <w:r>
              <w:rPr>
                <w:rFonts w:ascii="Century Gothic"/>
                <w:spacing w:val="-1"/>
                <w:sz w:val="18"/>
              </w:rPr>
              <w:t>12,704,972.83</w:t>
            </w:r>
          </w:p>
        </w:tc>
        <w:tc>
          <w:tcPr>
            <w:tcW w:w="18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9"/>
              <w:ind w:right="104"/>
              <w:jc w:val="right"/>
              <w:rPr>
                <w:rFonts w:ascii="Century Gothic" w:hAnsi="Century Gothic" w:cs="Century Gothic" w:eastAsia="Century Gothic" w:hint="default"/>
                <w:sz w:val="18"/>
                <w:szCs w:val="18"/>
              </w:rPr>
            </w:pPr>
            <w:r>
              <w:rPr>
                <w:rFonts w:ascii="Century Gothic"/>
                <w:spacing w:val="-1"/>
                <w:sz w:val="18"/>
              </w:rPr>
              <w:t>18,939,212.40</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9"/>
              <w:ind w:right="105"/>
              <w:jc w:val="right"/>
              <w:rPr>
                <w:rFonts w:ascii="Century Gothic" w:hAnsi="Century Gothic" w:cs="Century Gothic" w:eastAsia="Century Gothic" w:hint="default"/>
                <w:sz w:val="18"/>
                <w:szCs w:val="18"/>
              </w:rPr>
            </w:pPr>
            <w:r>
              <w:rPr>
                <w:rFonts w:ascii="Century Gothic"/>
                <w:spacing w:val="-1"/>
                <w:sz w:val="18"/>
              </w:rPr>
              <w:t>-6,234,239.57</w:t>
            </w:r>
            <w:r>
              <w:rPr>
                <w:rFonts w:ascii="Century Gothic"/>
                <w:sz w:val="18"/>
              </w:rPr>
            </w:r>
          </w:p>
        </w:tc>
        <w:tc>
          <w:tcPr>
            <w:tcW w:w="1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89"/>
              <w:ind w:right="103"/>
              <w:jc w:val="right"/>
              <w:rPr>
                <w:rFonts w:ascii="Century Gothic" w:hAnsi="Century Gothic" w:cs="Century Gothic" w:eastAsia="Century Gothic" w:hint="default"/>
                <w:sz w:val="18"/>
                <w:szCs w:val="18"/>
              </w:rPr>
            </w:pPr>
            <w:r>
              <w:rPr>
                <w:rFonts w:ascii="Century Gothic"/>
                <w:spacing w:val="-1"/>
                <w:sz w:val="18"/>
              </w:rPr>
              <w:t>-32.92%</w:t>
            </w:r>
            <w:r>
              <w:rPr>
                <w:rFonts w:ascii="Century Gothic"/>
                <w:sz w:val="18"/>
              </w:rPr>
            </w:r>
          </w:p>
        </w:tc>
        <w:tc>
          <w:tcPr>
            <w:tcW w:w="117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0"/>
              <w:jc w:val="center"/>
              <w:rPr>
                <w:rFonts w:ascii="Century Gothic" w:hAnsi="Century Gothic" w:cs="Century Gothic" w:eastAsia="Century Gothic" w:hint="default"/>
                <w:sz w:val="18"/>
                <w:szCs w:val="18"/>
              </w:rPr>
            </w:pP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Century Gothic" w:hAnsi="Century Gothic" w:cs="Century Gothic" w:eastAsia="Century Gothic" w:hint="default"/>
                <w:sz w:val="18"/>
                <w:szCs w:val="18"/>
              </w:rPr>
              <w:t>11</w:t>
            </w:r>
          </w:p>
        </w:tc>
      </w:tr>
    </w:tbl>
    <w:p>
      <w:pPr>
        <w:pStyle w:val="BodyText"/>
        <w:spacing w:line="336" w:lineRule="auto" w:before="94"/>
        <w:ind w:left="178" w:right="157" w:firstLine="420"/>
        <w:jc w:val="left"/>
      </w:pPr>
      <w:r>
        <w:rPr/>
        <w:t>注</w:t>
      </w:r>
      <w:r>
        <w:rPr>
          <w:spacing w:val="-62"/>
        </w:rPr>
        <w:t> </w:t>
      </w:r>
      <w:r>
        <w:rPr>
          <w:rFonts w:ascii="Century Gothic" w:hAnsi="Century Gothic" w:cs="Century Gothic" w:eastAsia="Century Gothic" w:hint="default"/>
        </w:rPr>
        <w:t>1</w:t>
      </w:r>
      <w:r>
        <w:rPr/>
        <w:t>：主要系本年处置医药流通子公司北京华立九州医药有限公司、北京华立永正医药有限责任 公司、广州华立万特医药有限公司所致。</w:t>
      </w:r>
    </w:p>
    <w:p>
      <w:pPr>
        <w:pStyle w:val="BodyText"/>
        <w:spacing w:line="338" w:lineRule="auto" w:before="50"/>
        <w:ind w:left="598" w:right="3509"/>
        <w:jc w:val="left"/>
      </w:pPr>
      <w:r>
        <w:rPr/>
        <w:t>注</w:t>
      </w:r>
      <w:r>
        <w:rPr>
          <w:spacing w:val="-54"/>
        </w:rPr>
        <w:t> </w:t>
      </w:r>
      <w:r>
        <w:rPr>
          <w:rFonts w:ascii="Century Gothic" w:hAnsi="Century Gothic" w:cs="Century Gothic" w:eastAsia="Century Gothic" w:hint="default"/>
        </w:rPr>
        <w:t>2</w:t>
      </w:r>
      <w:r>
        <w:rPr/>
        <w:t>：主要系本年子公司华立仪表集团转让在建工程所致。 注</w:t>
      </w:r>
      <w:r>
        <w:rPr>
          <w:spacing w:val="-54"/>
        </w:rPr>
        <w:t> </w:t>
      </w:r>
      <w:r>
        <w:rPr>
          <w:rFonts w:ascii="Century Gothic" w:hAnsi="Century Gothic" w:cs="Century Gothic" w:eastAsia="Century Gothic" w:hint="default"/>
        </w:rPr>
        <w:t>3</w:t>
      </w:r>
      <w:r>
        <w:rPr/>
        <w:t>：主要系本年处置子公司所致。</w:t>
      </w:r>
    </w:p>
    <w:p>
      <w:pPr>
        <w:pStyle w:val="BodyText"/>
        <w:spacing w:line="336" w:lineRule="auto" w:before="15"/>
        <w:ind w:left="178" w:right="162" w:firstLine="420"/>
        <w:jc w:val="left"/>
      </w:pPr>
      <w:r>
        <w:rPr/>
        <w:t>注</w:t>
      </w:r>
      <w:r>
        <w:rPr>
          <w:spacing w:val="-57"/>
        </w:rPr>
        <w:t> </w:t>
      </w:r>
      <w:r>
        <w:rPr>
          <w:rFonts w:ascii="Century Gothic" w:hAnsi="Century Gothic" w:cs="Century Gothic" w:eastAsia="Century Gothic" w:hint="default"/>
        </w:rPr>
        <w:t>4</w:t>
      </w:r>
      <w:r>
        <w:rPr/>
        <w:t>：本年因在建工程转让结转浙江华科实业开发有限公司预付的转让款</w:t>
      </w:r>
      <w:r>
        <w:rPr>
          <w:spacing w:val="-57"/>
        </w:rPr>
        <w:t> </w:t>
      </w:r>
      <w:r>
        <w:rPr>
          <w:rFonts w:ascii="Century Gothic" w:hAnsi="Century Gothic" w:cs="Century Gothic" w:eastAsia="Century Gothic" w:hint="default"/>
        </w:rPr>
        <w:t>8,600</w:t>
      </w:r>
      <w:r>
        <w:rPr>
          <w:rFonts w:ascii="Century Gothic" w:hAnsi="Century Gothic" w:cs="Century Gothic" w:eastAsia="Century Gothic" w:hint="default"/>
          <w:spacing w:val="-10"/>
        </w:rPr>
        <w:t> </w:t>
      </w:r>
      <w:r>
        <w:rPr/>
        <w:t>万元而减少其他 应付款，其他减少主要系处置子公司所致。</w:t>
      </w:r>
    </w:p>
    <w:p>
      <w:pPr>
        <w:pStyle w:val="BodyText"/>
        <w:spacing w:line="240" w:lineRule="auto" w:before="50"/>
        <w:ind w:left="598" w:right="152"/>
        <w:jc w:val="left"/>
      </w:pPr>
      <w:r>
        <w:rPr/>
        <w:t>注</w:t>
      </w:r>
      <w:r>
        <w:rPr>
          <w:spacing w:val="-54"/>
        </w:rPr>
        <w:t> </w:t>
      </w:r>
      <w:r>
        <w:rPr>
          <w:rFonts w:ascii="Century Gothic" w:hAnsi="Century Gothic" w:cs="Century Gothic" w:eastAsia="Century Gothic" w:hint="default"/>
        </w:rPr>
        <w:t>5</w:t>
      </w:r>
      <w:r>
        <w:rPr/>
        <w:t>：主要系</w:t>
      </w:r>
      <w:r>
        <w:rPr>
          <w:spacing w:val="-54"/>
        </w:rPr>
        <w:t> </w:t>
      </w:r>
      <w:r>
        <w:rPr>
          <w:rFonts w:ascii="Century Gothic" w:hAnsi="Century Gothic" w:cs="Century Gothic" w:eastAsia="Century Gothic" w:hint="default"/>
        </w:rPr>
        <w:t>1</w:t>
      </w:r>
      <w:r>
        <w:rPr>
          <w:rFonts w:ascii="Century Gothic" w:hAnsi="Century Gothic" w:cs="Century Gothic" w:eastAsia="Century Gothic" w:hint="default"/>
          <w:spacing w:val="-7"/>
        </w:rPr>
        <w:t> </w:t>
      </w:r>
      <w:r>
        <w:rPr/>
        <w:t>年内到期的长期借款增加所致。</w:t>
      </w:r>
    </w:p>
    <w:p>
      <w:pPr>
        <w:pStyle w:val="BodyText"/>
        <w:spacing w:line="240" w:lineRule="auto" w:before="119"/>
        <w:ind w:left="598" w:right="152"/>
        <w:jc w:val="left"/>
      </w:pPr>
      <w:r>
        <w:rPr/>
        <w:t>注</w:t>
      </w:r>
      <w:r>
        <w:rPr>
          <w:spacing w:val="-54"/>
        </w:rPr>
        <w:t> </w:t>
      </w:r>
      <w:r>
        <w:rPr>
          <w:rFonts w:ascii="Century Gothic" w:hAnsi="Century Gothic" w:cs="Century Gothic" w:eastAsia="Century Gothic" w:hint="default"/>
        </w:rPr>
        <w:t>6</w:t>
      </w:r>
      <w:r>
        <w:rPr/>
        <w:t>：主要系重分类到一年内到期的非流动负债所致。</w:t>
      </w:r>
    </w:p>
    <w:p>
      <w:pPr>
        <w:pStyle w:val="BodyText"/>
        <w:spacing w:line="336" w:lineRule="auto"/>
        <w:ind w:left="598" w:right="569"/>
        <w:jc w:val="left"/>
      </w:pPr>
      <w:r>
        <w:rPr/>
        <w:t>注</w:t>
      </w:r>
      <w:r>
        <w:rPr>
          <w:spacing w:val="-54"/>
        </w:rPr>
        <w:t> </w:t>
      </w:r>
      <w:r>
        <w:rPr>
          <w:rFonts w:ascii="Century Gothic" w:hAnsi="Century Gothic" w:cs="Century Gothic" w:eastAsia="Century Gothic" w:hint="default"/>
        </w:rPr>
        <w:t>7</w:t>
      </w:r>
      <w:r>
        <w:rPr/>
        <w:t>：主要系控股子公司华立仪表集团城市维护建设税、教育费附加本年较上年增加所致。 注</w:t>
      </w:r>
      <w:r>
        <w:rPr>
          <w:spacing w:val="-54"/>
        </w:rPr>
        <w:t> </w:t>
      </w:r>
      <w:r>
        <w:rPr>
          <w:rFonts w:ascii="Century Gothic" w:hAnsi="Century Gothic" w:cs="Century Gothic" w:eastAsia="Century Gothic" w:hint="default"/>
        </w:rPr>
        <w:t>8</w:t>
      </w:r>
      <w:r>
        <w:rPr/>
        <w:t>：主要系本年子公司华立仪表集团办事处费用增长所致。</w:t>
      </w:r>
    </w:p>
    <w:p>
      <w:pPr>
        <w:pStyle w:val="BodyText"/>
        <w:spacing w:line="338" w:lineRule="auto" w:before="17"/>
        <w:ind w:left="598" w:right="3929"/>
        <w:jc w:val="left"/>
      </w:pPr>
      <w:r>
        <w:rPr/>
        <w:t>注</w:t>
      </w:r>
      <w:r>
        <w:rPr>
          <w:spacing w:val="-54"/>
        </w:rPr>
        <w:t> </w:t>
      </w:r>
      <w:r>
        <w:rPr>
          <w:rFonts w:ascii="Century Gothic" w:hAnsi="Century Gothic" w:cs="Century Gothic" w:eastAsia="Century Gothic" w:hint="default"/>
        </w:rPr>
        <w:t>9</w:t>
      </w:r>
      <w:r>
        <w:rPr/>
        <w:t>：主要系本年坏账准备及商誉减值准备增加所致。 注</w:t>
      </w:r>
      <w:r>
        <w:rPr>
          <w:spacing w:val="-54"/>
        </w:rPr>
        <w:t> </w:t>
      </w:r>
      <w:r>
        <w:rPr>
          <w:rFonts w:ascii="Century Gothic" w:hAnsi="Century Gothic" w:cs="Century Gothic" w:eastAsia="Century Gothic" w:hint="default"/>
        </w:rPr>
        <w:t>10</w:t>
      </w:r>
      <w:r>
        <w:rPr/>
        <w:t>：主要系非经常性资产处置收益变动所致。</w:t>
      </w:r>
    </w:p>
    <w:p>
      <w:pPr>
        <w:spacing w:line="436" w:lineRule="auto" w:before="15"/>
        <w:ind w:left="178" w:right="4442"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Century Gothic" w:hAnsi="Century Gothic" w:cs="Century Gothic" w:eastAsia="Century Gothic" w:hint="default"/>
          <w:sz w:val="21"/>
          <w:szCs w:val="21"/>
        </w:rPr>
        <w:t>11</w:t>
      </w:r>
      <w:r>
        <w:rPr>
          <w:rFonts w:ascii="宋体" w:hAnsi="宋体" w:cs="宋体" w:eastAsia="宋体" w:hint="default"/>
          <w:sz w:val="21"/>
          <w:szCs w:val="21"/>
        </w:rPr>
        <w:t>：主要系公司及下属子公司利润下滑所致。 </w:t>
      </w:r>
      <w:r>
        <w:rPr>
          <w:rFonts w:ascii="宋体" w:hAnsi="宋体" w:cs="宋体" w:eastAsia="宋体" w:hint="default"/>
          <w:b/>
          <w:bCs/>
          <w:sz w:val="21"/>
          <w:szCs w:val="21"/>
        </w:rPr>
        <w:t>十二、</w:t>
      </w:r>
      <w:r>
        <w:rPr>
          <w:rFonts w:ascii="宋体" w:hAnsi="宋体" w:cs="宋体" w:eastAsia="宋体" w:hint="default"/>
          <w:b/>
          <w:bCs/>
          <w:spacing w:val="-24"/>
          <w:sz w:val="21"/>
          <w:szCs w:val="21"/>
        </w:rPr>
        <w:t> </w:t>
      </w:r>
      <w:r>
        <w:rPr>
          <w:rFonts w:ascii="宋体" w:hAnsi="宋体" w:cs="宋体" w:eastAsia="宋体" w:hint="default"/>
          <w:b/>
          <w:bCs/>
          <w:sz w:val="21"/>
          <w:szCs w:val="21"/>
        </w:rPr>
        <w:t>财务报表的批准</w:t>
      </w:r>
      <w:r>
        <w:rPr>
          <w:rFonts w:ascii="宋体" w:hAnsi="宋体" w:cs="宋体" w:eastAsia="宋体" w:hint="default"/>
          <w:sz w:val="21"/>
          <w:szCs w:val="21"/>
        </w:rPr>
      </w:r>
    </w:p>
    <w:p>
      <w:pPr>
        <w:pStyle w:val="BodyText"/>
        <w:spacing w:line="254" w:lineRule="exact" w:before="0"/>
        <w:ind w:left="598" w:right="152"/>
        <w:jc w:val="left"/>
      </w:pPr>
      <w:r>
        <w:rPr/>
        <w:t>本财务报表业经本公司董事会于</w:t>
      </w:r>
      <w:r>
        <w:rPr>
          <w:rFonts w:ascii="Century Gothic" w:hAnsi="Century Gothic" w:cs="Century Gothic" w:eastAsia="Century Gothic" w:hint="default"/>
        </w:rPr>
        <w:t>2010</w:t>
      </w:r>
      <w:r>
        <w:rPr/>
        <w:t>年</w:t>
      </w:r>
      <w:r>
        <w:rPr>
          <w:rFonts w:ascii="Century Gothic" w:hAnsi="Century Gothic" w:cs="Century Gothic" w:eastAsia="Century Gothic" w:hint="default"/>
        </w:rPr>
        <w:t>3</w:t>
      </w:r>
      <w:r>
        <w:rPr/>
        <w:t>月</w:t>
      </w:r>
      <w:r>
        <w:rPr>
          <w:rFonts w:ascii="Century Gothic" w:hAnsi="Century Gothic" w:cs="Century Gothic" w:eastAsia="Century Gothic" w:hint="default"/>
        </w:rPr>
        <w:t>18</w:t>
      </w:r>
      <w:r>
        <w:rPr/>
        <w:t>日决议批准。</w:t>
      </w:r>
    </w:p>
    <w:p>
      <w:pPr>
        <w:pStyle w:val="BodyText"/>
        <w:spacing w:line="240" w:lineRule="auto" w:before="119"/>
        <w:ind w:left="598" w:right="152"/>
        <w:jc w:val="left"/>
      </w:pPr>
      <w:r>
        <w:rPr/>
        <w:t>根据本公司章程，本财务报表将提交股东大会审议。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spacing w:before="76"/>
        <w:ind w:left="3267" w:right="3267" w:firstLine="0"/>
        <w:jc w:val="center"/>
        <w:rPr>
          <w:rFonts w:ascii="Times New Roman" w:hAnsi="Times New Roman" w:cs="Times New Roman" w:eastAsia="Times New Roman" w:hint="default"/>
          <w:sz w:val="18"/>
          <w:szCs w:val="18"/>
        </w:rPr>
      </w:pPr>
      <w:r>
        <w:rPr>
          <w:rFonts w:ascii="Times New Roman"/>
          <w:sz w:val="18"/>
        </w:rPr>
        <w:t>109</w:t>
      </w:r>
    </w:p>
    <w:p>
      <w:pPr>
        <w:spacing w:after="0"/>
        <w:jc w:val="center"/>
        <w:rPr>
          <w:rFonts w:ascii="Times New Roman" w:hAnsi="Times New Roman" w:cs="Times New Roman" w:eastAsia="Times New Roman" w:hint="default"/>
          <w:sz w:val="18"/>
          <w:szCs w:val="18"/>
        </w:rPr>
        <w:sectPr>
          <w:pgSz w:w="11910" w:h="16840"/>
          <w:pgMar w:top="780" w:bottom="280" w:left="1240" w:right="1120"/>
        </w:sectPr>
      </w:pPr>
    </w:p>
    <w:p>
      <w:pPr>
        <w:spacing w:line="240" w:lineRule="auto" w:before="6"/>
        <w:rPr>
          <w:rFonts w:ascii="Times New Roman" w:hAnsi="Times New Roman" w:cs="Times New Roman" w:eastAsia="Times New Roman" w:hint="default"/>
          <w:sz w:val="23"/>
          <w:szCs w:val="23"/>
        </w:rPr>
      </w:pPr>
    </w:p>
    <w:p>
      <w:pPr>
        <w:spacing w:after="0" w:line="240" w:lineRule="auto"/>
        <w:rPr>
          <w:rFonts w:ascii="Times New Roman" w:hAnsi="Times New Roman" w:cs="Times New Roman" w:eastAsia="Times New Roman" w:hint="default"/>
          <w:sz w:val="23"/>
          <w:szCs w:val="23"/>
        </w:rPr>
        <w:sectPr>
          <w:pgSz w:w="11910" w:h="16840"/>
          <w:pgMar w:top="780" w:bottom="280" w:left="1160" w:right="1300"/>
        </w:sectPr>
      </w:pPr>
    </w:p>
    <w:p>
      <w:pPr>
        <w:spacing w:line="240" w:lineRule="auto" w:before="6"/>
        <w:rPr>
          <w:rFonts w:ascii="Times New Roman" w:hAnsi="Times New Roman" w:cs="Times New Roman" w:eastAsia="Times New Roman" w:hint="default"/>
          <w:sz w:val="30"/>
          <w:szCs w:val="30"/>
        </w:rPr>
      </w:pPr>
    </w:p>
    <w:p>
      <w:pPr>
        <w:tabs>
          <w:tab w:pos="1519" w:val="left" w:leader="none"/>
        </w:tabs>
        <w:spacing w:before="0"/>
        <w:ind w:left="558" w:right="0" w:firstLine="0"/>
        <w:jc w:val="left"/>
        <w:rPr>
          <w:rFonts w:ascii="宋体" w:hAnsi="宋体" w:cs="宋体" w:eastAsia="宋体" w:hint="default"/>
          <w:sz w:val="24"/>
          <w:szCs w:val="24"/>
        </w:rPr>
      </w:pPr>
      <w:r>
        <w:rPr/>
        <w:pict>
          <v:shape style="position:absolute;margin-left:64.860001pt;margin-top:-27.444067pt;width:84.0pt;height:23.94pt;mso-position-horizontal-relative:page;mso-position-vertical-relative:paragraph;z-index:6976" type="#_x0000_t75" stroked="false">
            <v:imagedata r:id="rId13" o:title=""/>
          </v:shape>
        </w:pict>
      </w:r>
      <w:r>
        <w:rPr/>
        <w:pict>
          <v:group style="position:absolute;margin-left:63.419998pt;margin-top:.875948pt;width:444.5pt;height:.1pt;mso-position-horizontal-relative:page;mso-position-vertical-relative:paragraph;z-index:-702592" coordorigin="1268,18" coordsize="8890,2">
            <v:shape style="position:absolute;left:1268;top:18;width:8890;height:2" coordorigin="1268,18" coordsize="8890,0" path="m1268,18l10158,18e" filled="false" stroked="true" strokeweight=".71997pt" strokecolor="#000000">
              <v:path arrowok="t"/>
            </v:shape>
            <w10:wrap type="none"/>
          </v:group>
        </w:pict>
      </w:r>
      <w:bookmarkStart w:name="_TOC_250000" w:id="11"/>
      <w:r>
        <w:rPr>
          <w:rFonts w:ascii="宋体" w:hAnsi="宋体" w:cs="宋体" w:eastAsia="宋体" w:hint="default"/>
          <w:b/>
          <w:bCs/>
          <w:w w:val="95"/>
          <w:sz w:val="24"/>
          <w:szCs w:val="24"/>
        </w:rPr>
        <w:t>十一、</w:t>
        <w:tab/>
        <w:t>备查文件目录</w:t>
      </w:r>
      <w:bookmarkEnd w:id="11"/>
      <w:r>
        <w:rPr>
          <w:rFonts w:ascii="宋体" w:hAnsi="宋体" w:cs="宋体" w:eastAsia="宋体" w:hint="default"/>
          <w:sz w:val="24"/>
          <w:szCs w:val="24"/>
        </w:rPr>
      </w:r>
    </w:p>
    <w:p>
      <w:pPr>
        <w:pStyle w:val="Heading4"/>
        <w:tabs>
          <w:tab w:pos="3868" w:val="left" w:leader="none"/>
        </w:tabs>
        <w:spacing w:line="240" w:lineRule="auto"/>
        <w:ind w:left="137" w:right="0"/>
        <w:jc w:val="left"/>
        <w:rPr>
          <w:b w:val="0"/>
          <w:bCs w:val="0"/>
        </w:rPr>
      </w:pPr>
      <w:r>
        <w:rPr>
          <w:b w:val="0"/>
          <w:bCs w:val="0"/>
        </w:rPr>
        <w:br w:type="column"/>
      </w:r>
      <w:r>
        <w:rPr/>
        <w:t>2009</w:t>
      </w:r>
      <w:r>
        <w:rPr>
          <w:spacing w:val="-63"/>
        </w:rPr>
        <w:t> </w:t>
      </w:r>
      <w:r>
        <w:rPr/>
        <w:t>年年度报告正文</w:t>
        <w:tab/>
        <w:t>证券代码</w:t>
      </w:r>
      <w:r>
        <w:rPr>
          <w:spacing w:val="-62"/>
        </w:rPr>
        <w:t> </w:t>
      </w:r>
      <w:r>
        <w:rPr/>
        <w:t>000607</w:t>
      </w:r>
      <w:r>
        <w:rPr>
          <w:b w:val="0"/>
          <w:bCs w:val="0"/>
        </w:rPr>
      </w:r>
    </w:p>
    <w:p>
      <w:pPr>
        <w:spacing w:after="0" w:line="240" w:lineRule="auto"/>
        <w:jc w:val="left"/>
        <w:sectPr>
          <w:type w:val="continuous"/>
          <w:pgSz w:w="11910" w:h="16840"/>
          <w:pgMar w:top="780" w:bottom="280" w:left="1160" w:right="1300"/>
          <w:cols w:num="2" w:equalWidth="0">
            <w:col w:w="2961" w:space="516"/>
            <w:col w:w="5973"/>
          </w:cols>
        </w:sectPr>
      </w:pPr>
    </w:p>
    <w:p>
      <w:pPr>
        <w:spacing w:line="240" w:lineRule="auto" w:before="13"/>
        <w:rPr>
          <w:rFonts w:ascii="黑体" w:hAnsi="黑体" w:cs="黑体" w:eastAsia="黑体" w:hint="default"/>
          <w:b/>
          <w:bCs/>
          <w:sz w:val="12"/>
          <w:szCs w:val="12"/>
        </w:rPr>
      </w:pPr>
    </w:p>
    <w:p>
      <w:pPr>
        <w:pStyle w:val="Heading3"/>
        <w:spacing w:line="357" w:lineRule="auto" w:before="26"/>
        <w:ind w:left="138" w:right="0" w:firstLine="480"/>
        <w:jc w:val="left"/>
      </w:pPr>
      <w:r>
        <w:rPr/>
        <w:t>（一）载有法定代表人、主管会计工作负责人、会计机构负责人（会计主管人员）</w:t>
      </w:r>
      <w:r>
        <w:rPr>
          <w:spacing w:val="1"/>
        </w:rPr>
        <w:t> </w:t>
      </w:r>
      <w:r>
        <w:rPr/>
        <w:t>签名并盖章的公司</w:t>
      </w:r>
      <w:r>
        <w:rPr>
          <w:spacing w:val="-60"/>
        </w:rPr>
        <w:t> </w:t>
      </w:r>
      <w:r>
        <w:rPr/>
        <w:t>2009</w:t>
      </w:r>
      <w:r>
        <w:rPr>
          <w:spacing w:val="-60"/>
        </w:rPr>
        <w:t> </w:t>
      </w:r>
      <w:r>
        <w:rPr/>
        <w:t>年度会计报表。</w:t>
      </w:r>
    </w:p>
    <w:p>
      <w:pPr>
        <w:pStyle w:val="Heading3"/>
        <w:spacing w:line="357" w:lineRule="auto"/>
        <w:ind w:left="138" w:right="94" w:firstLine="480"/>
        <w:jc w:val="left"/>
      </w:pPr>
      <w:r>
        <w:rPr/>
        <w:t>（二）载有会计师事务所签章、注册会计师签名并盖章的公司</w:t>
      </w:r>
      <w:r>
        <w:rPr>
          <w:spacing w:val="-84"/>
        </w:rPr>
        <w:t> </w:t>
      </w:r>
      <w:r>
        <w:rPr/>
        <w:t>2009</w:t>
      </w:r>
      <w:r>
        <w:rPr>
          <w:spacing w:val="-84"/>
        </w:rPr>
        <w:t> </w:t>
      </w:r>
      <w:r>
        <w:rPr/>
        <w:t>年度审计报告原</w:t>
      </w:r>
      <w:r>
        <w:rPr/>
        <w:t> 件。</w:t>
      </w:r>
    </w:p>
    <w:p>
      <w:pPr>
        <w:pStyle w:val="Heading3"/>
        <w:spacing w:line="357" w:lineRule="auto"/>
        <w:ind w:left="138" w:right="0" w:firstLine="480"/>
        <w:jc w:val="left"/>
      </w:pPr>
      <w:r>
        <w:rPr/>
        <w:t>（三）载有会计师事务所签章、注册会计师签名并盖章的《关于重庆华立药业股份</w:t>
      </w:r>
      <w:r>
        <w:rPr>
          <w:spacing w:val="1"/>
        </w:rPr>
        <w:t> </w:t>
      </w:r>
      <w:r>
        <w:rPr>
          <w:spacing w:val="-5"/>
        </w:rPr>
        <w:t>有限公司控股股东及其他关联方资金占用的专项说明》。</w:t>
      </w:r>
    </w:p>
    <w:p>
      <w:pPr>
        <w:pStyle w:val="Heading3"/>
        <w:spacing w:line="357" w:lineRule="auto"/>
        <w:ind w:left="138" w:right="0" w:firstLine="480"/>
        <w:jc w:val="left"/>
      </w:pPr>
      <w:r>
        <w:rPr/>
        <w:t>（四）报告期内在中国证监会指定报纸上公开披露过的所有公司文件的正本及公告</w:t>
      </w:r>
      <w:r>
        <w:rPr>
          <w:spacing w:val="1"/>
        </w:rPr>
        <w:t> </w:t>
      </w:r>
      <w:r>
        <w:rPr/>
        <w:t>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spacing w:line="316" w:lineRule="auto" w:before="0"/>
        <w:ind w:left="5043" w:right="225" w:hanging="839"/>
        <w:jc w:val="left"/>
        <w:rPr>
          <w:rFonts w:ascii="宋体" w:hAnsi="宋体" w:cs="宋体" w:eastAsia="宋体" w:hint="default"/>
          <w:sz w:val="28"/>
          <w:szCs w:val="28"/>
        </w:rPr>
      </w:pPr>
      <w:r>
        <w:rPr>
          <w:rFonts w:ascii="宋体" w:hAnsi="宋体" w:cs="宋体" w:eastAsia="宋体" w:hint="default"/>
          <w:b/>
          <w:bCs/>
          <w:w w:val="95"/>
          <w:sz w:val="28"/>
          <w:szCs w:val="28"/>
        </w:rPr>
        <w:t>重庆华立药业股份有限公司</w:t>
      </w:r>
      <w:r>
        <w:rPr>
          <w:rFonts w:ascii="宋体" w:hAnsi="宋体" w:cs="宋体" w:eastAsia="宋体" w:hint="default"/>
          <w:b/>
          <w:bCs/>
          <w:spacing w:val="14"/>
          <w:w w:val="95"/>
          <w:sz w:val="28"/>
          <w:szCs w:val="28"/>
        </w:rPr>
        <w:t> </w:t>
      </w:r>
      <w:r>
        <w:rPr>
          <w:rFonts w:ascii="宋体" w:hAnsi="宋体" w:cs="宋体" w:eastAsia="宋体" w:hint="default"/>
          <w:b/>
          <w:bCs/>
          <w:spacing w:val="14"/>
          <w:w w:val="95"/>
          <w:sz w:val="28"/>
          <w:szCs w:val="28"/>
        </w:rPr>
      </w:r>
      <w:r>
        <w:rPr>
          <w:rFonts w:ascii="宋体" w:hAnsi="宋体" w:cs="宋体" w:eastAsia="宋体" w:hint="default"/>
          <w:b/>
          <w:bCs/>
          <w:sz w:val="28"/>
          <w:szCs w:val="28"/>
        </w:rPr>
        <w:t>2010年3月18日</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spacing w:before="0"/>
        <w:ind w:left="4577" w:right="4557" w:firstLine="0"/>
        <w:jc w:val="center"/>
        <w:rPr>
          <w:rFonts w:ascii="Times New Roman" w:hAnsi="Times New Roman" w:cs="Times New Roman" w:eastAsia="Times New Roman" w:hint="default"/>
          <w:sz w:val="18"/>
          <w:szCs w:val="18"/>
        </w:rPr>
      </w:pPr>
      <w:r>
        <w:rPr>
          <w:rFonts w:ascii="Times New Roman"/>
          <w:spacing w:val="-3"/>
          <w:sz w:val="18"/>
        </w:rPr>
        <w:t>110</w:t>
      </w:r>
    </w:p>
    <w:sectPr>
      <w:type w:val="continuous"/>
      <w:pgSz w:w="11910" w:h="16840"/>
      <w:pgMar w:top="780" w:bottom="280" w:left="116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Arial">
    <w:altName w:val="Arial"/>
    <w:charset w:val="0"/>
    <w:family w:val="swiss"/>
    <w:pitch w:val="variable"/>
  </w:font>
  <w:font w:name="Courier New">
    <w:altName w:val="Courier New"/>
    <w:charset w:val="0"/>
    <w:family w:val="modern"/>
    <w:pitch w:val="fixed"/>
  </w:font>
  <w:font w:name="黑体">
    <w:altName w:val="黑体"/>
    <w:charset w:val="86"/>
    <w:family w:val="modern"/>
    <w:pitch w:val="fixed"/>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4"/>
      <w:ind w:left="618"/>
    </w:pPr>
    <w:rPr>
      <w:rFonts w:ascii="宋体" w:hAnsi="宋体" w:eastAsia="宋体"/>
      <w:b/>
      <w:bCs/>
      <w:sz w:val="24"/>
      <w:szCs w:val="24"/>
    </w:rPr>
  </w:style>
  <w:style w:styleId="BodyText" w:type="paragraph">
    <w:name w:val="Body Text"/>
    <w:basedOn w:val="Normal"/>
    <w:uiPriority w:val="1"/>
    <w:qFormat/>
    <w:pPr>
      <w:spacing w:before="117"/>
      <w:ind w:left="138"/>
    </w:pPr>
    <w:rPr>
      <w:rFonts w:ascii="宋体" w:hAnsi="宋体" w:eastAsia="宋体"/>
      <w:sz w:val="21"/>
      <w:szCs w:val="21"/>
    </w:rPr>
  </w:style>
  <w:style w:styleId="Heading1" w:type="paragraph">
    <w:name w:val="Heading 1"/>
    <w:basedOn w:val="Normal"/>
    <w:uiPriority w:val="1"/>
    <w:qFormat/>
    <w:pPr>
      <w:ind w:left="138"/>
      <w:outlineLvl w:val="1"/>
    </w:pPr>
    <w:rPr>
      <w:rFonts w:ascii="宋体" w:hAnsi="宋体" w:eastAsia="宋体"/>
      <w:b/>
      <w:bCs/>
      <w:sz w:val="28"/>
      <w:szCs w:val="28"/>
    </w:rPr>
  </w:style>
  <w:style w:styleId="Heading2" w:type="paragraph">
    <w:name w:val="Heading 2"/>
    <w:basedOn w:val="Normal"/>
    <w:uiPriority w:val="1"/>
    <w:qFormat/>
    <w:pPr>
      <w:spacing w:before="26"/>
      <w:ind w:left="144"/>
      <w:outlineLvl w:val="2"/>
    </w:pPr>
    <w:rPr>
      <w:rFonts w:ascii="宋体" w:hAnsi="宋体" w:eastAsia="宋体"/>
      <w:b/>
      <w:bCs/>
      <w:sz w:val="24"/>
      <w:szCs w:val="24"/>
    </w:rPr>
  </w:style>
  <w:style w:styleId="Heading3" w:type="paragraph">
    <w:name w:val="Heading 3"/>
    <w:basedOn w:val="Normal"/>
    <w:uiPriority w:val="1"/>
    <w:qFormat/>
    <w:pPr>
      <w:spacing w:before="36"/>
      <w:ind w:left="144"/>
      <w:outlineLvl w:val="3"/>
    </w:pPr>
    <w:rPr>
      <w:rFonts w:ascii="宋体" w:hAnsi="宋体" w:eastAsia="宋体"/>
      <w:sz w:val="24"/>
      <w:szCs w:val="24"/>
    </w:rPr>
  </w:style>
  <w:style w:styleId="Heading4" w:type="paragraph">
    <w:name w:val="Heading 4"/>
    <w:basedOn w:val="Normal"/>
    <w:uiPriority w:val="1"/>
    <w:qFormat/>
    <w:pPr>
      <w:spacing w:before="35"/>
      <w:ind w:left="558"/>
      <w:outlineLvl w:val="4"/>
    </w:pPr>
    <w:rPr>
      <w:rFonts w:ascii="黑体" w:hAnsi="黑体" w:eastAsia="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dajie.song@holley.cn" TargetMode="External"/><Relationship Id="rId8" Type="http://schemas.openxmlformats.org/officeDocument/2006/relationships/hyperlink" Target="http://www.holleypharm.com/" TargetMode="External"/><Relationship Id="rId9" Type="http://schemas.openxmlformats.org/officeDocument/2006/relationships/hyperlink" Target="mailto:cq.holleypharm@holley.cn" TargetMode="External"/><Relationship Id="rId10" Type="http://schemas.openxmlformats.org/officeDocument/2006/relationships/hyperlink" Target="http://www.cninfo.com.cn/"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- 2009年正文.doc</dc:title>
  <dcterms:created xsi:type="dcterms:W3CDTF">2020-04-02T12:30:02Z</dcterms:created>
  <dcterms:modified xsi:type="dcterms:W3CDTF">2020-04-02T12:30:02Z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2010-03-19T00:00:00Z</vt:filetime>
  </property>
  <property fmtid="{D5CDD505-2E9C-101B-9397-08002B2CF9AE}" pid="3" name="Creator">
    <vt:lpwstr>PScript5.dll Version 5.2.2</vt:lpwstr>
  </property>
  <property fmtid="{D5CDD505-2E9C-101B-9397-08002B2CF9AE}" pid="4" name="LastSaved">
    <vt:filetime>2020-04-02T00:00:00Z</vt:filetime>
  </property>
</Properties>
</file>