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049988pt;margin-top:784.149719pt;width:101.25pt;height:57.75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820" w:lineRule="exact" w:before="0"/>
        <w:ind w:left="143" w:right="1303" w:firstLine="0"/>
        <w:jc w:val="center"/>
        <w:rPr>
          <w:rFonts w:ascii="宋体" w:hAnsi="宋体" w:cs="宋体" w:eastAsia="宋体" w:hint="default"/>
          <w:sz w:val="72"/>
          <w:szCs w:val="72"/>
        </w:rPr>
      </w:pPr>
      <w:r>
        <w:rPr>
          <w:rFonts w:ascii="宋体" w:hAnsi="宋体" w:cs="宋体" w:eastAsia="宋体" w:hint="default"/>
          <w:b/>
          <w:bCs/>
          <w:sz w:val="72"/>
          <w:szCs w:val="72"/>
        </w:rPr>
        <w:t>重庆华智控股股份有限公司</w:t>
      </w:r>
      <w:r>
        <w:rPr>
          <w:rFonts w:ascii="宋体" w:hAnsi="宋体" w:cs="宋体" w:eastAsia="宋体" w:hint="default"/>
          <w:sz w:val="72"/>
          <w:szCs w:val="72"/>
        </w:rPr>
      </w:r>
    </w:p>
    <w:p>
      <w:pPr>
        <w:spacing w:before="217"/>
        <w:ind w:left="143" w:right="1300" w:firstLine="0"/>
        <w:jc w:val="center"/>
        <w:rPr>
          <w:rFonts w:ascii="宋体" w:hAnsi="宋体" w:cs="宋体" w:eastAsia="宋体" w:hint="default"/>
          <w:sz w:val="44"/>
          <w:szCs w:val="44"/>
        </w:rPr>
      </w:pPr>
      <w:r>
        <w:rPr>
          <w:rFonts w:ascii="宋体"/>
          <w:b/>
          <w:sz w:val="44"/>
        </w:rPr>
        <w:t>Huazhi Holding (Chongqing) Co</w:t>
      </w:r>
      <w:r>
        <w:rPr>
          <w:rFonts w:ascii="宋体"/>
          <w:b/>
          <w:spacing w:val="-48"/>
          <w:sz w:val="44"/>
        </w:rPr>
        <w:t> </w:t>
      </w:r>
      <w:r>
        <w:rPr>
          <w:rFonts w:ascii="宋体"/>
          <w:b/>
          <w:sz w:val="44"/>
        </w:rPr>
        <w:t>Ltd</w:t>
      </w:r>
      <w:r>
        <w:rPr>
          <w:rFonts w:ascii="宋体"/>
          <w:sz w:val="44"/>
        </w:rPr>
      </w: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61"/>
          <w:szCs w:val="61"/>
        </w:rPr>
      </w:pPr>
    </w:p>
    <w:p>
      <w:pPr>
        <w:spacing w:before="0"/>
        <w:ind w:left="143" w:right="1302" w:firstLine="0"/>
        <w:jc w:val="center"/>
        <w:rPr>
          <w:rFonts w:ascii="宋体" w:hAnsi="宋体" w:cs="宋体" w:eastAsia="宋体" w:hint="default"/>
          <w:sz w:val="72"/>
          <w:szCs w:val="72"/>
        </w:rPr>
      </w:pPr>
      <w:r>
        <w:rPr>
          <w:rFonts w:ascii="宋体" w:hAnsi="宋体" w:cs="宋体" w:eastAsia="宋体" w:hint="default"/>
          <w:b/>
          <w:bCs/>
          <w:sz w:val="72"/>
          <w:szCs w:val="72"/>
        </w:rPr>
        <w:t>2010</w:t>
      </w:r>
      <w:r>
        <w:rPr>
          <w:rFonts w:ascii="宋体" w:hAnsi="宋体" w:cs="宋体" w:eastAsia="宋体" w:hint="default"/>
          <w:b/>
          <w:bCs/>
          <w:spacing w:val="-203"/>
          <w:sz w:val="72"/>
          <w:szCs w:val="72"/>
        </w:rPr>
        <w:t> </w:t>
      </w:r>
      <w:r>
        <w:rPr>
          <w:rFonts w:ascii="宋体" w:hAnsi="宋体" w:cs="宋体" w:eastAsia="宋体" w:hint="default"/>
          <w:b/>
          <w:bCs/>
          <w:sz w:val="72"/>
          <w:szCs w:val="72"/>
        </w:rPr>
        <w:t>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before="475"/>
        <w:ind w:left="3480" w:right="1326" w:firstLine="0"/>
        <w:jc w:val="left"/>
        <w:rPr>
          <w:rFonts w:ascii="宋体" w:hAnsi="宋体" w:cs="宋体" w:eastAsia="宋体" w:hint="default"/>
          <w:sz w:val="44"/>
          <w:szCs w:val="44"/>
        </w:rPr>
      </w:pPr>
      <w:r>
        <w:rPr>
          <w:rFonts w:ascii="宋体" w:hAnsi="宋体" w:cs="宋体" w:eastAsia="宋体" w:hint="default"/>
          <w:b/>
          <w:bCs/>
          <w:sz w:val="44"/>
          <w:szCs w:val="44"/>
        </w:rPr>
        <w:t>2011</w:t>
      </w:r>
      <w:r>
        <w:rPr>
          <w:rFonts w:ascii="宋体" w:hAnsi="宋体" w:cs="宋体" w:eastAsia="宋体" w:hint="default"/>
          <w:b/>
          <w:bCs/>
          <w:spacing w:val="-117"/>
          <w:sz w:val="44"/>
          <w:szCs w:val="44"/>
        </w:rPr>
        <w:t> </w:t>
      </w:r>
      <w:r>
        <w:rPr>
          <w:rFonts w:ascii="宋体" w:hAnsi="宋体" w:cs="宋体" w:eastAsia="宋体" w:hint="default"/>
          <w:b/>
          <w:bCs/>
          <w:sz w:val="44"/>
          <w:szCs w:val="44"/>
        </w:rPr>
        <w:t>年</w:t>
      </w:r>
      <w:r>
        <w:rPr>
          <w:rFonts w:ascii="宋体" w:hAnsi="宋体" w:cs="宋体" w:eastAsia="宋体" w:hint="default"/>
          <w:b/>
          <w:bCs/>
          <w:spacing w:val="-115"/>
          <w:sz w:val="44"/>
          <w:szCs w:val="44"/>
        </w:rPr>
        <w:t> </w:t>
      </w:r>
      <w:r>
        <w:rPr>
          <w:rFonts w:ascii="宋体" w:hAnsi="宋体" w:cs="宋体" w:eastAsia="宋体" w:hint="default"/>
          <w:b/>
          <w:bCs/>
          <w:sz w:val="44"/>
          <w:szCs w:val="44"/>
        </w:rPr>
        <w:t>4</w:t>
      </w:r>
      <w:r>
        <w:rPr>
          <w:rFonts w:ascii="宋体" w:hAnsi="宋体" w:cs="宋体" w:eastAsia="宋体" w:hint="default"/>
          <w:b/>
          <w:bCs/>
          <w:spacing w:val="-112"/>
          <w:sz w:val="44"/>
          <w:szCs w:val="44"/>
        </w:rPr>
        <w:t> </w:t>
      </w:r>
      <w:r>
        <w:rPr>
          <w:rFonts w:ascii="宋体" w:hAnsi="宋体" w:cs="宋体" w:eastAsia="宋体" w:hint="default"/>
          <w:b/>
          <w:bCs/>
          <w:sz w:val="44"/>
          <w:szCs w:val="44"/>
        </w:rPr>
        <w:t>月</w:t>
      </w:r>
      <w:r>
        <w:rPr>
          <w:rFonts w:ascii="宋体" w:hAnsi="宋体" w:cs="宋体" w:eastAsia="宋体" w:hint="default"/>
          <w:b/>
          <w:bCs/>
          <w:spacing w:val="-116"/>
          <w:sz w:val="44"/>
          <w:szCs w:val="44"/>
        </w:rPr>
        <w:t> </w:t>
      </w:r>
      <w:r>
        <w:rPr>
          <w:rFonts w:ascii="宋体" w:hAnsi="宋体" w:cs="宋体" w:eastAsia="宋体" w:hint="default"/>
          <w:b/>
          <w:bCs/>
          <w:sz w:val="44"/>
          <w:szCs w:val="44"/>
        </w:rPr>
        <w:t>13</w:t>
      </w:r>
      <w:r>
        <w:rPr>
          <w:rFonts w:ascii="宋体" w:hAnsi="宋体" w:cs="宋体" w:eastAsia="宋体" w:hint="default"/>
          <w:b/>
          <w:bCs/>
          <w:spacing w:val="-115"/>
          <w:sz w:val="44"/>
          <w:szCs w:val="44"/>
        </w:rPr>
        <w:t> </w:t>
      </w:r>
      <w:r>
        <w:rPr>
          <w:rFonts w:ascii="宋体" w:hAnsi="宋体" w:cs="宋体" w:eastAsia="宋体" w:hint="default"/>
          <w:b/>
          <w:bCs/>
          <w:sz w:val="44"/>
          <w:szCs w:val="44"/>
        </w:rPr>
        <w:t>日</w:t>
      </w:r>
      <w:r>
        <w:rPr>
          <w:rFonts w:ascii="宋体" w:hAnsi="宋体" w:cs="宋体" w:eastAsia="宋体" w:hint="default"/>
          <w:sz w:val="44"/>
          <w:szCs w:val="44"/>
        </w:rPr>
      </w:r>
    </w:p>
    <w:p>
      <w:pPr>
        <w:spacing w:after="0"/>
        <w:jc w:val="left"/>
        <w:rPr>
          <w:rFonts w:ascii="宋体" w:hAnsi="宋体" w:cs="宋体" w:eastAsia="宋体" w:hint="default"/>
          <w:sz w:val="44"/>
          <w:szCs w:val="44"/>
        </w:rPr>
        <w:sectPr>
          <w:headerReference w:type="default" r:id="rId5"/>
          <w:headerReference w:type="even" r:id="rId6"/>
          <w:type w:val="continuous"/>
          <w:pgSz w:w="11910" w:h="16840"/>
          <w:pgMar w:header="884" w:top="1140" w:bottom="0" w:left="12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3751" w:right="3789" w:firstLine="0"/>
        <w:jc w:val="center"/>
        <w:rPr>
          <w:rFonts w:ascii="宋体" w:hAnsi="宋体" w:cs="宋体" w:eastAsia="宋体" w:hint="default"/>
          <w:sz w:val="32"/>
          <w:szCs w:val="32"/>
        </w:rPr>
      </w:pPr>
      <w:r>
        <w:rPr>
          <w:rFonts w:ascii="宋体" w:hAnsi="宋体" w:cs="宋体" w:eastAsia="宋体" w:hint="default"/>
          <w:b/>
          <w:bCs/>
          <w:sz w:val="32"/>
          <w:szCs w:val="32"/>
        </w:rPr>
        <w:t>重 要 提</w:t>
      </w:r>
      <w:r>
        <w:rPr>
          <w:rFonts w:ascii="宋体" w:hAnsi="宋体" w:cs="宋体" w:eastAsia="宋体" w:hint="default"/>
          <w:b/>
          <w:bCs/>
          <w:spacing w:val="-10"/>
          <w:sz w:val="32"/>
          <w:szCs w:val="32"/>
        </w:rPr>
        <w:t> </w:t>
      </w:r>
      <w:r>
        <w:rPr>
          <w:rFonts w:ascii="宋体" w:hAnsi="宋体" w:cs="宋体" w:eastAsia="宋体" w:hint="default"/>
          <w:b/>
          <w:bCs/>
          <w:sz w:val="32"/>
          <w:szCs w:val="32"/>
        </w:rPr>
        <w:t>示</w:t>
      </w:r>
      <w:r>
        <w:rPr>
          <w:rFonts w:ascii="宋体" w:hAnsi="宋体" w:cs="宋体" w:eastAsia="宋体" w:hint="default"/>
          <w:sz w:val="32"/>
          <w:szCs w:val="32"/>
        </w:rPr>
      </w:r>
    </w:p>
    <w:p>
      <w:pPr>
        <w:spacing w:line="240" w:lineRule="auto" w:before="3"/>
        <w:rPr>
          <w:rFonts w:ascii="宋体" w:hAnsi="宋体" w:cs="宋体" w:eastAsia="宋体" w:hint="default"/>
          <w:b/>
          <w:bCs/>
          <w:sz w:val="30"/>
          <w:szCs w:val="30"/>
        </w:rPr>
      </w:pPr>
    </w:p>
    <w:p>
      <w:pPr>
        <w:pStyle w:val="Heading1"/>
        <w:spacing w:line="408" w:lineRule="auto" w:before="0"/>
        <w:ind w:right="119" w:firstLine="561"/>
        <w:jc w:val="both"/>
        <w:rPr>
          <w:b w:val="0"/>
          <w:bCs w:val="0"/>
        </w:rPr>
      </w:pPr>
      <w:r>
        <w:rPr>
          <w:spacing w:val="-3"/>
        </w:rPr>
        <w:t>本公司董事会、监事会及董事、监事、高级管理人员保证本报告所载资</w:t>
      </w:r>
      <w:r>
        <w:rPr>
          <w:w w:val="99"/>
        </w:rPr>
        <w:t> </w:t>
      </w:r>
      <w:r>
        <w:rPr>
          <w:spacing w:val="-1"/>
        </w:rPr>
        <w:t>料不存在任何虚假记载、误导性陈述或者重大遗漏，并对其内容的真实性、</w:t>
      </w:r>
      <w:r>
        <w:rPr>
          <w:w w:val="99"/>
        </w:rPr>
        <w:t> </w:t>
      </w:r>
      <w:r>
        <w:rPr/>
        <w:t>准确性和完整性承担个别及连带责任。</w:t>
      </w:r>
      <w:r>
        <w:rPr>
          <w:b w:val="0"/>
          <w:bCs w:val="0"/>
        </w:rPr>
      </w:r>
    </w:p>
    <w:p>
      <w:pPr>
        <w:spacing w:line="408" w:lineRule="auto" w:before="61"/>
        <w:ind w:left="138" w:right="384" w:firstLine="561"/>
        <w:jc w:val="left"/>
        <w:rPr>
          <w:rFonts w:ascii="宋体" w:hAnsi="宋体" w:cs="宋体" w:eastAsia="宋体" w:hint="default"/>
          <w:sz w:val="28"/>
          <w:szCs w:val="28"/>
        </w:rPr>
      </w:pPr>
      <w:r>
        <w:rPr>
          <w:rFonts w:ascii="宋体" w:hAnsi="宋体" w:cs="宋体" w:eastAsia="宋体" w:hint="default"/>
          <w:b/>
          <w:bCs/>
          <w:spacing w:val="-1"/>
          <w:sz w:val="28"/>
          <w:szCs w:val="28"/>
        </w:rPr>
        <w:t>天健正信会计师事务所有限公司为本公司出具了标准无保留意见的审</w:t>
      </w:r>
      <w:r>
        <w:rPr>
          <w:rFonts w:ascii="宋体" w:hAnsi="宋体" w:cs="宋体" w:eastAsia="宋体" w:hint="default"/>
          <w:b/>
          <w:bCs/>
          <w:w w:val="99"/>
          <w:sz w:val="28"/>
          <w:szCs w:val="28"/>
        </w:rPr>
        <w:t> </w:t>
      </w:r>
      <w:r>
        <w:rPr>
          <w:rFonts w:ascii="宋体" w:hAnsi="宋体" w:cs="宋体" w:eastAsia="宋体" w:hint="default"/>
          <w:b/>
          <w:bCs/>
          <w:sz w:val="28"/>
          <w:szCs w:val="28"/>
        </w:rPr>
        <w:t>计报告。</w:t>
      </w:r>
      <w:r>
        <w:rPr>
          <w:rFonts w:ascii="宋体" w:hAnsi="宋体" w:cs="宋体" w:eastAsia="宋体" w:hint="default"/>
          <w:sz w:val="28"/>
          <w:szCs w:val="28"/>
        </w:rPr>
      </w:r>
    </w:p>
    <w:p>
      <w:pPr>
        <w:spacing w:line="408" w:lineRule="auto" w:before="62"/>
        <w:ind w:left="138" w:right="104" w:firstLine="561"/>
        <w:jc w:val="left"/>
        <w:rPr>
          <w:rFonts w:ascii="宋体" w:hAnsi="宋体" w:cs="宋体" w:eastAsia="宋体" w:hint="default"/>
          <w:sz w:val="28"/>
          <w:szCs w:val="28"/>
        </w:rPr>
      </w:pPr>
      <w:r>
        <w:rPr>
          <w:rFonts w:ascii="宋体" w:hAnsi="宋体" w:cs="宋体" w:eastAsia="宋体" w:hint="default"/>
          <w:b/>
          <w:bCs/>
          <w:spacing w:val="-1"/>
          <w:sz w:val="28"/>
          <w:szCs w:val="28"/>
        </w:rPr>
        <w:t>公司董事长刘浩军先生、总裁郭峻峰先生及财务总监余晓利女士声明：</w:t>
      </w:r>
      <w:r>
        <w:rPr>
          <w:rFonts w:ascii="宋体" w:hAnsi="宋体" w:cs="宋体" w:eastAsia="宋体" w:hint="default"/>
          <w:b/>
          <w:bCs/>
          <w:w w:val="99"/>
          <w:sz w:val="28"/>
          <w:szCs w:val="28"/>
        </w:rPr>
        <w:t> </w:t>
      </w:r>
      <w:r>
        <w:rPr>
          <w:rFonts w:ascii="宋体" w:hAnsi="宋体" w:cs="宋体" w:eastAsia="宋体" w:hint="default"/>
          <w:b/>
          <w:bCs/>
          <w:sz w:val="28"/>
          <w:szCs w:val="28"/>
        </w:rPr>
        <w:t>保证年度报告中财务报告的真实、完整。</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0"/>
          <w:szCs w:val="30"/>
        </w:rPr>
      </w:pPr>
    </w:p>
    <w:p>
      <w:pPr>
        <w:spacing w:before="0"/>
        <w:ind w:left="3834" w:right="3232" w:firstLine="0"/>
        <w:jc w:val="center"/>
        <w:rPr>
          <w:rFonts w:ascii="宋体" w:hAnsi="宋体" w:cs="宋体" w:eastAsia="宋体" w:hint="default"/>
          <w:sz w:val="32"/>
          <w:szCs w:val="32"/>
        </w:rPr>
      </w:pPr>
      <w:r>
        <w:rPr>
          <w:rFonts w:ascii="宋体" w:hAnsi="宋体" w:cs="宋体" w:eastAsia="宋体" w:hint="default"/>
          <w:b/>
          <w:bCs/>
          <w:sz w:val="32"/>
          <w:szCs w:val="32"/>
        </w:rPr>
        <w:t>报告目录</w:t>
      </w:r>
      <w:r>
        <w:rPr>
          <w:rFonts w:ascii="宋体" w:hAnsi="宋体" w:cs="宋体" w:eastAsia="宋体" w:hint="default"/>
          <w:sz w:val="32"/>
          <w:szCs w:val="32"/>
        </w:rPr>
      </w:r>
    </w:p>
    <w:p>
      <w:pPr>
        <w:spacing w:line="240" w:lineRule="auto" w:before="1"/>
        <w:rPr>
          <w:rFonts w:ascii="宋体" w:hAnsi="宋体" w:cs="宋体" w:eastAsia="宋体" w:hint="default"/>
          <w:b/>
          <w:bCs/>
          <w:sz w:val="33"/>
          <w:szCs w:val="33"/>
        </w:rPr>
      </w:pPr>
    </w:p>
    <w:p>
      <w:pPr>
        <w:pStyle w:val="Heading2"/>
        <w:spacing w:line="240" w:lineRule="auto" w:before="0"/>
        <w:ind w:right="384"/>
        <w:jc w:val="left"/>
        <w:rPr>
          <w:rFonts w:ascii="宋体" w:hAnsi="宋体" w:cs="宋体" w:eastAsia="宋体" w:hint="default"/>
          <w:b w:val="0"/>
          <w:bCs w:val="0"/>
        </w:rPr>
      </w:pPr>
      <w:r>
        <w:rPr>
          <w:w w:val="160"/>
        </w:rPr>
        <w:t>一、公司基本情况简介„„„„„„„„„„„„„„„„„„„„„„</w:t>
      </w:r>
      <w:r>
        <w:rPr>
          <w:rFonts w:ascii="宋体" w:hAnsi="宋体" w:cs="宋体" w:eastAsia="宋体" w:hint="default"/>
          <w:w w:val="160"/>
        </w:rPr>
        <w:t>3</w:t>
      </w:r>
      <w:r>
        <w:rPr>
          <w:rFonts w:ascii="宋体" w:hAnsi="宋体" w:cs="宋体" w:eastAsia="宋体" w:hint="default"/>
          <w:b w:val="0"/>
          <w:bCs w:val="0"/>
        </w:rPr>
      </w:r>
    </w:p>
    <w:p>
      <w:pPr>
        <w:spacing w:before="154"/>
        <w:ind w:left="618" w:right="384" w:firstLine="0"/>
        <w:jc w:val="left"/>
        <w:rPr>
          <w:rFonts w:ascii="宋体" w:hAnsi="宋体" w:cs="宋体" w:eastAsia="宋体" w:hint="default"/>
          <w:sz w:val="24"/>
          <w:szCs w:val="24"/>
        </w:rPr>
      </w:pPr>
      <w:r>
        <w:rPr>
          <w:rFonts w:ascii="宋体" w:hAnsi="宋体" w:cs="宋体" w:eastAsia="宋体" w:hint="default"/>
          <w:b/>
          <w:bCs/>
          <w:w w:val="150"/>
          <w:sz w:val="24"/>
          <w:szCs w:val="24"/>
        </w:rPr>
        <w:t>二、会计数据和业务数据摘要„„„„„„„„„„„„„„„„„„„</w:t>
      </w:r>
      <w:r>
        <w:rPr>
          <w:rFonts w:ascii="宋体" w:hAnsi="宋体" w:cs="宋体" w:eastAsia="宋体" w:hint="default"/>
          <w:b/>
          <w:bCs/>
          <w:w w:val="150"/>
          <w:sz w:val="24"/>
          <w:szCs w:val="24"/>
        </w:rPr>
        <w:t>4</w:t>
      </w:r>
      <w:r>
        <w:rPr>
          <w:rFonts w:ascii="宋体" w:hAnsi="宋体" w:cs="宋体" w:eastAsia="宋体" w:hint="default"/>
          <w:sz w:val="24"/>
          <w:szCs w:val="24"/>
        </w:rPr>
      </w:r>
    </w:p>
    <w:p>
      <w:pPr>
        <w:spacing w:line="357" w:lineRule="auto" w:before="154"/>
        <w:ind w:left="618" w:right="384" w:firstLine="0"/>
        <w:jc w:val="left"/>
        <w:rPr>
          <w:rFonts w:ascii="宋体" w:hAnsi="宋体" w:cs="宋体" w:eastAsia="宋体" w:hint="default"/>
          <w:sz w:val="24"/>
          <w:szCs w:val="24"/>
        </w:rPr>
      </w:pPr>
      <w:r>
        <w:rPr>
          <w:rFonts w:ascii="宋体" w:hAnsi="宋体" w:cs="宋体" w:eastAsia="宋体" w:hint="default"/>
          <w:b/>
          <w:bCs/>
          <w:w w:val="145"/>
          <w:sz w:val="24"/>
          <w:szCs w:val="24"/>
        </w:rPr>
        <w:t>三、股本变动及股东情况„„„„„„„„„„„„„„„„„„„„„</w:t>
      </w:r>
      <w:r>
        <w:rPr>
          <w:rFonts w:ascii="宋体" w:hAnsi="宋体" w:cs="宋体" w:eastAsia="宋体" w:hint="default"/>
          <w:b/>
          <w:bCs/>
          <w:w w:val="145"/>
          <w:sz w:val="24"/>
          <w:szCs w:val="24"/>
        </w:rPr>
        <w:t>7</w:t>
      </w:r>
      <w:r>
        <w:rPr>
          <w:rFonts w:ascii="宋体" w:hAnsi="宋体" w:cs="宋体" w:eastAsia="宋体" w:hint="default"/>
          <w:b/>
          <w:bCs/>
          <w:spacing w:val="-70"/>
          <w:w w:val="145"/>
          <w:sz w:val="24"/>
          <w:szCs w:val="24"/>
        </w:rPr>
        <w:t> </w:t>
      </w:r>
      <w:r>
        <w:rPr>
          <w:rFonts w:ascii="宋体" w:hAnsi="宋体" w:cs="宋体" w:eastAsia="宋体" w:hint="default"/>
          <w:b/>
          <w:bCs/>
          <w:w w:val="120"/>
          <w:sz w:val="24"/>
          <w:szCs w:val="24"/>
        </w:rPr>
        <w:t>四、董事、监事、高级管理人员和员工情况„„„„„„„„„„„„„</w:t>
      </w:r>
      <w:r>
        <w:rPr>
          <w:rFonts w:ascii="宋体" w:hAnsi="宋体" w:cs="宋体" w:eastAsia="宋体" w:hint="default"/>
          <w:b/>
          <w:bCs/>
          <w:w w:val="120"/>
          <w:sz w:val="24"/>
          <w:szCs w:val="24"/>
        </w:rPr>
        <w:t>10</w:t>
      </w:r>
      <w:r>
        <w:rPr>
          <w:rFonts w:ascii="宋体" w:hAnsi="宋体" w:cs="宋体" w:eastAsia="宋体" w:hint="default"/>
          <w:b/>
          <w:bCs/>
          <w:spacing w:val="111"/>
          <w:w w:val="120"/>
          <w:sz w:val="24"/>
          <w:szCs w:val="24"/>
        </w:rPr>
        <w:t> </w:t>
      </w:r>
      <w:r>
        <w:rPr>
          <w:rFonts w:ascii="宋体" w:hAnsi="宋体" w:cs="宋体" w:eastAsia="宋体" w:hint="default"/>
          <w:b/>
          <w:bCs/>
          <w:w w:val="155"/>
          <w:sz w:val="24"/>
          <w:szCs w:val="24"/>
        </w:rPr>
        <w:t>五、公司治理结构„„„„„„„„„„„„„„„„„„„„„„„„</w:t>
      </w:r>
      <w:r>
        <w:rPr>
          <w:rFonts w:ascii="宋体" w:hAnsi="宋体" w:cs="宋体" w:eastAsia="宋体" w:hint="default"/>
          <w:b/>
          <w:bCs/>
          <w:w w:val="155"/>
          <w:sz w:val="24"/>
          <w:szCs w:val="24"/>
        </w:rPr>
        <w:t>14</w:t>
      </w:r>
      <w:r>
        <w:rPr>
          <w:rFonts w:ascii="宋体" w:hAnsi="宋体" w:cs="宋体" w:eastAsia="宋体" w:hint="default"/>
          <w:sz w:val="24"/>
          <w:szCs w:val="24"/>
        </w:rPr>
      </w:r>
    </w:p>
    <w:p>
      <w:pPr>
        <w:spacing w:before="36"/>
        <w:ind w:left="618" w:right="104" w:firstLine="0"/>
        <w:jc w:val="left"/>
        <w:rPr>
          <w:rFonts w:ascii="宋体" w:hAnsi="宋体" w:cs="宋体" w:eastAsia="宋体" w:hint="default"/>
          <w:sz w:val="24"/>
          <w:szCs w:val="24"/>
        </w:rPr>
      </w:pPr>
      <w:r>
        <w:rPr>
          <w:rFonts w:ascii="宋体" w:hAnsi="宋体" w:cs="宋体" w:eastAsia="宋体" w:hint="default"/>
          <w:b/>
          <w:bCs/>
          <w:w w:val="160"/>
          <w:sz w:val="24"/>
          <w:szCs w:val="24"/>
        </w:rPr>
        <w:t>六、股东大会情况简介„„„„„„„„„„„„„„„„„„„„„„</w:t>
      </w:r>
      <w:r>
        <w:rPr>
          <w:rFonts w:ascii="宋体" w:hAnsi="宋体" w:cs="宋体" w:eastAsia="宋体" w:hint="default"/>
          <w:b/>
          <w:bCs/>
          <w:w w:val="160"/>
          <w:sz w:val="24"/>
          <w:szCs w:val="24"/>
        </w:rPr>
        <w:t>18</w:t>
      </w:r>
      <w:r>
        <w:rPr>
          <w:rFonts w:ascii="宋体" w:hAnsi="宋体" w:cs="宋体" w:eastAsia="宋体" w:hint="default"/>
          <w:sz w:val="24"/>
          <w:szCs w:val="24"/>
        </w:rPr>
      </w:r>
    </w:p>
    <w:p>
      <w:pPr>
        <w:spacing w:before="154"/>
        <w:ind w:left="618" w:right="384" w:firstLine="0"/>
        <w:jc w:val="left"/>
        <w:rPr>
          <w:rFonts w:ascii="宋体" w:hAnsi="宋体" w:cs="宋体" w:eastAsia="宋体" w:hint="default"/>
          <w:sz w:val="24"/>
          <w:szCs w:val="24"/>
        </w:rPr>
      </w:pPr>
      <w:r>
        <w:rPr>
          <w:rFonts w:ascii="宋体" w:hAnsi="宋体" w:cs="宋体" w:eastAsia="宋体" w:hint="default"/>
          <w:b/>
          <w:bCs/>
          <w:w w:val="170"/>
          <w:sz w:val="24"/>
          <w:szCs w:val="24"/>
        </w:rPr>
        <w:t>七、董事会报告„„„„„„„„„„„„„„„„„„„„„„„„„</w:t>
      </w:r>
      <w:r>
        <w:rPr>
          <w:rFonts w:ascii="宋体" w:hAnsi="宋体" w:cs="宋体" w:eastAsia="宋体" w:hint="default"/>
          <w:b/>
          <w:bCs/>
          <w:w w:val="170"/>
          <w:sz w:val="24"/>
          <w:szCs w:val="24"/>
        </w:rPr>
        <w:t>21</w:t>
      </w:r>
      <w:r>
        <w:rPr>
          <w:rFonts w:ascii="宋体" w:hAnsi="宋体" w:cs="宋体" w:eastAsia="宋体" w:hint="default"/>
          <w:sz w:val="24"/>
          <w:szCs w:val="24"/>
        </w:rPr>
      </w:r>
    </w:p>
    <w:p>
      <w:pPr>
        <w:spacing w:before="154"/>
        <w:ind w:left="618" w:right="384" w:firstLine="0"/>
        <w:jc w:val="left"/>
        <w:rPr>
          <w:rFonts w:ascii="宋体" w:hAnsi="宋体" w:cs="宋体" w:eastAsia="宋体" w:hint="default"/>
          <w:sz w:val="24"/>
          <w:szCs w:val="24"/>
        </w:rPr>
      </w:pPr>
      <w:r>
        <w:rPr>
          <w:rFonts w:ascii="宋体" w:hAnsi="宋体" w:cs="宋体" w:eastAsia="宋体" w:hint="default"/>
          <w:b/>
          <w:bCs/>
          <w:w w:val="170"/>
          <w:sz w:val="24"/>
          <w:szCs w:val="24"/>
        </w:rPr>
        <w:t>八、监事会报告„„„„„„„„„„„„„„„„„„„„„„„„„</w:t>
      </w:r>
      <w:r>
        <w:rPr>
          <w:rFonts w:ascii="宋体" w:hAnsi="宋体" w:cs="宋体" w:eastAsia="宋体" w:hint="default"/>
          <w:b/>
          <w:bCs/>
          <w:w w:val="170"/>
          <w:sz w:val="24"/>
          <w:szCs w:val="24"/>
        </w:rPr>
        <w:t>31</w:t>
      </w:r>
      <w:r>
        <w:rPr>
          <w:rFonts w:ascii="宋体" w:hAnsi="宋体" w:cs="宋体" w:eastAsia="宋体" w:hint="default"/>
          <w:sz w:val="24"/>
          <w:szCs w:val="24"/>
        </w:rPr>
      </w:r>
    </w:p>
    <w:p>
      <w:pPr>
        <w:spacing w:before="154"/>
        <w:ind w:left="618" w:right="384" w:firstLine="0"/>
        <w:jc w:val="left"/>
        <w:rPr>
          <w:rFonts w:ascii="宋体" w:hAnsi="宋体" w:cs="宋体" w:eastAsia="宋体" w:hint="default"/>
          <w:sz w:val="24"/>
          <w:szCs w:val="24"/>
        </w:rPr>
      </w:pPr>
      <w:r>
        <w:rPr>
          <w:rFonts w:ascii="宋体" w:hAnsi="宋体" w:cs="宋体" w:eastAsia="宋体" w:hint="default"/>
          <w:b/>
          <w:bCs/>
          <w:w w:val="175"/>
          <w:sz w:val="24"/>
          <w:szCs w:val="24"/>
        </w:rPr>
        <w:t>九、重要事项„„„„„„„„„„„„„„„„„„„„„„„„„„</w:t>
      </w:r>
      <w:r>
        <w:rPr>
          <w:rFonts w:ascii="宋体" w:hAnsi="宋体" w:cs="宋体" w:eastAsia="宋体" w:hint="default"/>
          <w:b/>
          <w:bCs/>
          <w:w w:val="175"/>
          <w:sz w:val="24"/>
          <w:szCs w:val="24"/>
        </w:rPr>
        <w:t>33</w:t>
      </w:r>
      <w:r>
        <w:rPr>
          <w:rFonts w:ascii="宋体" w:hAnsi="宋体" w:cs="宋体" w:eastAsia="宋体" w:hint="default"/>
          <w:sz w:val="24"/>
          <w:szCs w:val="24"/>
        </w:rPr>
      </w:r>
    </w:p>
    <w:p>
      <w:pPr>
        <w:spacing w:before="154"/>
        <w:ind w:left="618" w:right="384" w:firstLine="0"/>
        <w:jc w:val="left"/>
        <w:rPr>
          <w:rFonts w:ascii="宋体" w:hAnsi="宋体" w:cs="宋体" w:eastAsia="宋体" w:hint="default"/>
          <w:sz w:val="24"/>
          <w:szCs w:val="24"/>
        </w:rPr>
      </w:pPr>
      <w:r>
        <w:rPr>
          <w:rFonts w:ascii="宋体" w:hAnsi="宋体" w:cs="宋体" w:eastAsia="宋体" w:hint="default"/>
          <w:b/>
          <w:bCs/>
          <w:w w:val="175"/>
          <w:sz w:val="24"/>
          <w:szCs w:val="24"/>
        </w:rPr>
        <w:t>十、财务报告„„„„„„„„„„„„„„„„„„„„„„„„„„</w:t>
      </w:r>
      <w:r>
        <w:rPr>
          <w:rFonts w:ascii="宋体" w:hAnsi="宋体" w:cs="宋体" w:eastAsia="宋体" w:hint="default"/>
          <w:b/>
          <w:bCs/>
          <w:w w:val="175"/>
          <w:sz w:val="24"/>
          <w:szCs w:val="24"/>
        </w:rPr>
        <w:t>39</w:t>
      </w:r>
      <w:r>
        <w:rPr>
          <w:rFonts w:ascii="宋体" w:hAnsi="宋体" w:cs="宋体" w:eastAsia="宋体" w:hint="default"/>
          <w:sz w:val="24"/>
          <w:szCs w:val="24"/>
        </w:rPr>
      </w:r>
    </w:p>
    <w:p>
      <w:pPr>
        <w:spacing w:before="154"/>
        <w:ind w:left="618" w:right="104" w:firstLine="0"/>
        <w:jc w:val="left"/>
        <w:rPr>
          <w:rFonts w:ascii="宋体" w:hAnsi="宋体" w:cs="宋体" w:eastAsia="宋体" w:hint="default"/>
          <w:sz w:val="24"/>
          <w:szCs w:val="24"/>
        </w:rPr>
      </w:pPr>
      <w:r>
        <w:rPr>
          <w:rFonts w:ascii="宋体" w:hAnsi="宋体" w:cs="宋体" w:eastAsia="宋体" w:hint="default"/>
          <w:b/>
          <w:bCs/>
          <w:w w:val="160"/>
          <w:sz w:val="24"/>
          <w:szCs w:val="24"/>
        </w:rPr>
        <w:t>十一、备查文件目录„„„„„„„„„„„„„„„„„„„„„„„</w:t>
      </w:r>
      <w:r>
        <w:rPr>
          <w:rFonts w:ascii="宋体" w:hAnsi="宋体" w:cs="宋体" w:eastAsia="宋体" w:hint="default"/>
          <w:b/>
          <w:bCs/>
          <w:w w:val="160"/>
          <w:sz w:val="24"/>
          <w:szCs w:val="24"/>
        </w:rPr>
        <w:t>109</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even" r:id="rId8"/>
          <w:pgSz w:w="11910" w:h="16840"/>
          <w:pgMar w:footer="977" w:header="884" w:top="1140" w:bottom="1160" w:left="1160" w:right="1240"/>
          <w:pgNumType w:start="2"/>
        </w:sectPr>
      </w:pPr>
    </w:p>
    <w:p>
      <w:pPr>
        <w:spacing w:line="240" w:lineRule="auto" w:before="12"/>
        <w:rPr>
          <w:rFonts w:ascii="宋体" w:hAnsi="宋体" w:cs="宋体" w:eastAsia="宋体" w:hint="default"/>
          <w:b/>
          <w:bCs/>
          <w:sz w:val="26"/>
          <w:szCs w:val="26"/>
        </w:rPr>
      </w:pPr>
    </w:p>
    <w:p>
      <w:pPr>
        <w:spacing w:before="14"/>
        <w:ind w:left="618" w:right="1588" w:firstLine="0"/>
        <w:jc w:val="left"/>
        <w:rPr>
          <w:rFonts w:ascii="宋体" w:hAnsi="宋体" w:cs="宋体" w:eastAsia="宋体" w:hint="default"/>
          <w:sz w:val="28"/>
          <w:szCs w:val="28"/>
        </w:rPr>
      </w:pPr>
      <w:r>
        <w:rPr>
          <w:rFonts w:ascii="宋体" w:hAnsi="宋体" w:cs="宋体" w:eastAsia="宋体" w:hint="default"/>
          <w:b/>
          <w:bCs/>
          <w:sz w:val="28"/>
          <w:szCs w:val="28"/>
        </w:rPr>
        <w:t>一、公司基本情况简介</w:t>
      </w:r>
      <w:r>
        <w:rPr>
          <w:rFonts w:ascii="宋体" w:hAnsi="宋体" w:cs="宋体" w:eastAsia="宋体" w:hint="default"/>
          <w:sz w:val="28"/>
          <w:szCs w:val="28"/>
        </w:rPr>
      </w:r>
    </w:p>
    <w:p>
      <w:pPr>
        <w:pStyle w:val="Heading3"/>
        <w:spacing w:line="336" w:lineRule="auto" w:before="244"/>
        <w:ind w:left="1338" w:right="1588" w:hanging="720"/>
        <w:jc w:val="left"/>
        <w:rPr>
          <w:rFonts w:ascii="宋体" w:hAnsi="宋体" w:cs="宋体" w:eastAsia="宋体" w:hint="default"/>
        </w:rPr>
      </w:pPr>
      <w:r>
        <w:rPr/>
        <w:t>（一）公司的法定中文名称：重庆华智控股股份有限公司 公司的法定英文名称：</w:t>
      </w:r>
      <w:r>
        <w:rPr>
          <w:rFonts w:ascii="宋体" w:hAnsi="宋体" w:cs="宋体" w:eastAsia="宋体" w:hint="default"/>
        </w:rPr>
        <w:t>Huazhi Holding (Chongqing) Co Ltd</w:t>
      </w:r>
    </w:p>
    <w:p>
      <w:pPr>
        <w:spacing w:before="31"/>
        <w:ind w:left="2118" w:right="1588" w:firstLine="0"/>
        <w:jc w:val="left"/>
        <w:rPr>
          <w:rFonts w:ascii="宋体" w:hAnsi="宋体" w:cs="宋体" w:eastAsia="宋体" w:hint="default"/>
          <w:sz w:val="24"/>
          <w:szCs w:val="24"/>
        </w:rPr>
      </w:pPr>
      <w:r>
        <w:rPr>
          <w:rFonts w:ascii="宋体" w:hAnsi="宋体" w:cs="宋体" w:eastAsia="宋体" w:hint="default"/>
          <w:sz w:val="24"/>
          <w:szCs w:val="24"/>
        </w:rPr>
        <w:t>英文名称缩写：</w:t>
      </w:r>
      <w:r>
        <w:rPr>
          <w:rFonts w:ascii="宋体" w:hAnsi="宋体" w:cs="宋体" w:eastAsia="宋体" w:hint="default"/>
          <w:sz w:val="24"/>
          <w:szCs w:val="24"/>
        </w:rPr>
        <w:t>Huazhi Holding</w:t>
      </w:r>
    </w:p>
    <w:p>
      <w:pPr>
        <w:spacing w:before="125"/>
        <w:ind w:left="618" w:right="1588" w:firstLine="0"/>
        <w:jc w:val="left"/>
        <w:rPr>
          <w:rFonts w:ascii="宋体" w:hAnsi="宋体" w:cs="宋体" w:eastAsia="宋体" w:hint="default"/>
          <w:sz w:val="24"/>
          <w:szCs w:val="24"/>
        </w:rPr>
      </w:pPr>
      <w:r>
        <w:rPr>
          <w:rFonts w:ascii="宋体" w:hAnsi="宋体" w:cs="宋体" w:eastAsia="宋体" w:hint="default"/>
          <w:sz w:val="24"/>
          <w:szCs w:val="24"/>
        </w:rPr>
        <w:t>（二）公司法定代表人：刘浩军</w:t>
      </w:r>
    </w:p>
    <w:p>
      <w:pPr>
        <w:tabs>
          <w:tab w:pos="3739" w:val="left" w:leader="none"/>
        </w:tabs>
        <w:spacing w:before="125"/>
        <w:ind w:left="618" w:right="1588" w:firstLine="0"/>
        <w:jc w:val="left"/>
        <w:rPr>
          <w:rFonts w:ascii="宋体" w:hAnsi="宋体" w:cs="宋体" w:eastAsia="宋体" w:hint="default"/>
          <w:sz w:val="24"/>
          <w:szCs w:val="24"/>
        </w:rPr>
      </w:pPr>
      <w:r>
        <w:rPr>
          <w:rFonts w:ascii="宋体" w:hAnsi="宋体" w:cs="宋体" w:eastAsia="宋体" w:hint="default"/>
          <w:sz w:val="24"/>
          <w:szCs w:val="24"/>
        </w:rPr>
        <w:t>（三）公司董事会秘书：熊</w:t>
        <w:tab/>
        <w:t>波</w:t>
      </w:r>
    </w:p>
    <w:p>
      <w:pPr>
        <w:tabs>
          <w:tab w:pos="2719" w:val="left" w:leader="none"/>
        </w:tabs>
        <w:spacing w:line="336" w:lineRule="auto" w:before="127"/>
        <w:ind w:left="1998" w:right="4545" w:firstLine="0"/>
        <w:jc w:val="left"/>
        <w:rPr>
          <w:rFonts w:ascii="宋体" w:hAnsi="宋体" w:cs="宋体" w:eastAsia="宋体" w:hint="default"/>
          <w:sz w:val="24"/>
          <w:szCs w:val="24"/>
        </w:rPr>
      </w:pPr>
      <w:r>
        <w:rPr>
          <w:rFonts w:ascii="宋体" w:hAnsi="宋体" w:cs="宋体" w:eastAsia="宋体" w:hint="default"/>
          <w:sz w:val="24"/>
          <w:szCs w:val="24"/>
        </w:rPr>
        <w:t>联系电话：</w:t>
      </w:r>
      <w:r>
        <w:rPr>
          <w:rFonts w:ascii="宋体" w:hAnsi="宋体" w:cs="宋体" w:eastAsia="宋体" w:hint="default"/>
          <w:sz w:val="24"/>
          <w:szCs w:val="24"/>
        </w:rPr>
        <w:t>023</w:t>
      </w:r>
      <w:r>
        <w:rPr>
          <w:rFonts w:ascii="宋体" w:hAnsi="宋体" w:cs="宋体" w:eastAsia="宋体" w:hint="default"/>
          <w:sz w:val="24"/>
          <w:szCs w:val="24"/>
        </w:rPr>
        <w:t>－</w:t>
      </w:r>
      <w:r>
        <w:rPr>
          <w:rFonts w:ascii="宋体" w:hAnsi="宋体" w:cs="宋体" w:eastAsia="宋体" w:hint="default"/>
          <w:sz w:val="24"/>
          <w:szCs w:val="24"/>
        </w:rPr>
        <w:t>68269911 </w:t>
      </w:r>
      <w:r>
        <w:rPr>
          <w:rFonts w:ascii="宋体" w:hAnsi="宋体" w:cs="宋体" w:eastAsia="宋体" w:hint="default"/>
          <w:sz w:val="24"/>
          <w:szCs w:val="24"/>
        </w:rPr>
        <w:t>传</w:t>
        <w:tab/>
        <w:t>真：</w:t>
      </w:r>
      <w:r>
        <w:rPr>
          <w:rFonts w:ascii="宋体" w:hAnsi="宋体" w:cs="宋体" w:eastAsia="宋体" w:hint="default"/>
          <w:sz w:val="24"/>
          <w:szCs w:val="24"/>
        </w:rPr>
        <w:t>023</w:t>
      </w:r>
      <w:r>
        <w:rPr>
          <w:rFonts w:ascii="宋体" w:hAnsi="宋体" w:cs="宋体" w:eastAsia="宋体" w:hint="default"/>
          <w:sz w:val="24"/>
          <w:szCs w:val="24"/>
        </w:rPr>
        <w:t>－</w:t>
      </w:r>
      <w:r>
        <w:rPr>
          <w:rFonts w:ascii="宋体" w:hAnsi="宋体" w:cs="宋体" w:eastAsia="宋体" w:hint="default"/>
          <w:sz w:val="24"/>
          <w:szCs w:val="24"/>
        </w:rPr>
        <w:t>68269900</w:t>
      </w:r>
    </w:p>
    <w:p>
      <w:pPr>
        <w:spacing w:line="338" w:lineRule="auto" w:before="29"/>
        <w:ind w:left="1998" w:right="1168" w:firstLine="0"/>
        <w:jc w:val="left"/>
        <w:rPr>
          <w:rFonts w:ascii="宋体" w:hAnsi="宋体" w:cs="宋体" w:eastAsia="宋体" w:hint="default"/>
          <w:sz w:val="24"/>
          <w:szCs w:val="24"/>
        </w:rPr>
      </w:pPr>
      <w:r>
        <w:rPr>
          <w:rFonts w:ascii="宋体" w:hAnsi="宋体" w:cs="宋体" w:eastAsia="宋体" w:hint="default"/>
          <w:sz w:val="24"/>
          <w:szCs w:val="24"/>
        </w:rPr>
        <w:t>联系地址：重庆市渝北区红锦大道</w:t>
      </w:r>
      <w:r>
        <w:rPr>
          <w:rFonts w:ascii="宋体" w:hAnsi="宋体" w:cs="宋体" w:eastAsia="宋体" w:hint="default"/>
          <w:sz w:val="24"/>
          <w:szCs w:val="24"/>
        </w:rPr>
        <w:t>32</w:t>
      </w:r>
      <w:r>
        <w:rPr>
          <w:rFonts w:ascii="宋体" w:hAnsi="宋体" w:cs="宋体" w:eastAsia="宋体" w:hint="default"/>
          <w:sz w:val="24"/>
          <w:szCs w:val="24"/>
        </w:rPr>
        <w:t>号总商会大厦</w:t>
      </w:r>
      <w:r>
        <w:rPr>
          <w:rFonts w:ascii="宋体" w:hAnsi="宋体" w:cs="宋体" w:eastAsia="宋体" w:hint="default"/>
          <w:sz w:val="24"/>
          <w:szCs w:val="24"/>
        </w:rPr>
        <w:t>21</w:t>
      </w:r>
      <w:r>
        <w:rPr>
          <w:rFonts w:ascii="宋体" w:hAnsi="宋体" w:cs="宋体" w:eastAsia="宋体" w:hint="default"/>
          <w:sz w:val="24"/>
          <w:szCs w:val="24"/>
        </w:rPr>
        <w:t>楼</w:t>
      </w:r>
      <w:r>
        <w:rPr>
          <w:rFonts w:ascii="宋体" w:hAnsi="宋体" w:cs="宋体" w:eastAsia="宋体" w:hint="default"/>
          <w:sz w:val="24"/>
          <w:szCs w:val="24"/>
        </w:rPr>
        <w:t>8</w:t>
      </w:r>
      <w:r>
        <w:rPr>
          <w:rFonts w:ascii="宋体" w:hAnsi="宋体" w:cs="宋体" w:eastAsia="宋体" w:hint="default"/>
          <w:sz w:val="24"/>
          <w:szCs w:val="24"/>
        </w:rPr>
        <w:t>号 邮政编码：</w:t>
      </w:r>
      <w:r>
        <w:rPr>
          <w:rFonts w:ascii="宋体" w:hAnsi="宋体" w:cs="宋体" w:eastAsia="宋体" w:hint="default"/>
          <w:sz w:val="24"/>
          <w:szCs w:val="24"/>
        </w:rPr>
        <w:t>401147</w:t>
      </w:r>
    </w:p>
    <w:p>
      <w:pPr>
        <w:spacing w:before="26"/>
        <w:ind w:left="1998" w:right="1588" w:firstLine="0"/>
        <w:jc w:val="left"/>
        <w:rPr>
          <w:rFonts w:ascii="宋体" w:hAnsi="宋体" w:cs="宋体" w:eastAsia="宋体" w:hint="default"/>
          <w:sz w:val="24"/>
          <w:szCs w:val="24"/>
        </w:rPr>
      </w:pPr>
      <w:r>
        <w:rPr>
          <w:rFonts w:ascii="宋体" w:hAnsi="宋体" w:cs="宋体" w:eastAsia="宋体" w:hint="default"/>
          <w:sz w:val="24"/>
          <w:szCs w:val="24"/>
        </w:rPr>
        <w:t>电子信箱：</w:t>
      </w:r>
      <w:hyperlink r:id="rId10">
        <w:r>
          <w:rPr>
            <w:rFonts w:ascii="宋体" w:hAnsi="宋体" w:cs="宋体" w:eastAsia="宋体" w:hint="default"/>
            <w:sz w:val="24"/>
            <w:szCs w:val="24"/>
          </w:rPr>
          <w:t>bo.xiong@holley.cn</w:t>
        </w:r>
      </w:hyperlink>
    </w:p>
    <w:p>
      <w:pPr>
        <w:spacing w:line="336" w:lineRule="auto" w:before="125"/>
        <w:ind w:left="1818" w:right="1348" w:hanging="1200"/>
        <w:jc w:val="left"/>
        <w:rPr>
          <w:rFonts w:ascii="宋体" w:hAnsi="宋体" w:cs="宋体" w:eastAsia="宋体" w:hint="default"/>
          <w:sz w:val="24"/>
          <w:szCs w:val="24"/>
        </w:rPr>
      </w:pPr>
      <w:r>
        <w:rPr>
          <w:rFonts w:ascii="宋体" w:hAnsi="宋体" w:cs="宋体" w:eastAsia="宋体" w:hint="default"/>
          <w:sz w:val="24"/>
          <w:szCs w:val="24"/>
        </w:rPr>
        <w:t>（四）公司注册地址：重庆市北碚区童家溪镇同兴园区一路</w:t>
      </w:r>
      <w:r>
        <w:rPr>
          <w:rFonts w:ascii="宋体" w:hAnsi="宋体" w:cs="宋体" w:eastAsia="宋体" w:hint="default"/>
          <w:sz w:val="24"/>
          <w:szCs w:val="24"/>
        </w:rPr>
        <w:t>8</w:t>
      </w:r>
      <w:r>
        <w:rPr>
          <w:rFonts w:ascii="宋体" w:hAnsi="宋体" w:cs="宋体" w:eastAsia="宋体" w:hint="default"/>
          <w:sz w:val="24"/>
          <w:szCs w:val="24"/>
        </w:rPr>
        <w:t>号 邮政编码：</w:t>
      </w:r>
      <w:r>
        <w:rPr>
          <w:rFonts w:ascii="宋体" w:hAnsi="宋体" w:cs="宋体" w:eastAsia="宋体" w:hint="default"/>
          <w:sz w:val="24"/>
          <w:szCs w:val="24"/>
        </w:rPr>
        <w:t>400709 </w:t>
      </w:r>
      <w:r>
        <w:rPr>
          <w:rFonts w:ascii="宋体" w:hAnsi="宋体" w:cs="宋体" w:eastAsia="宋体" w:hint="default"/>
          <w:sz w:val="24"/>
          <w:szCs w:val="24"/>
        </w:rPr>
        <w:t>办公地址：重庆市渝北区红锦大道</w:t>
      </w:r>
      <w:r>
        <w:rPr>
          <w:rFonts w:ascii="宋体" w:hAnsi="宋体" w:cs="宋体" w:eastAsia="宋体" w:hint="default"/>
          <w:sz w:val="24"/>
          <w:szCs w:val="24"/>
        </w:rPr>
        <w:t>32</w:t>
      </w:r>
      <w:r>
        <w:rPr>
          <w:rFonts w:ascii="宋体" w:hAnsi="宋体" w:cs="宋体" w:eastAsia="宋体" w:hint="default"/>
          <w:sz w:val="24"/>
          <w:szCs w:val="24"/>
        </w:rPr>
        <w:t>号总商会大厦</w:t>
      </w:r>
      <w:r>
        <w:rPr>
          <w:rFonts w:ascii="宋体" w:hAnsi="宋体" w:cs="宋体" w:eastAsia="宋体" w:hint="default"/>
          <w:sz w:val="24"/>
          <w:szCs w:val="24"/>
        </w:rPr>
        <w:t>21</w:t>
      </w:r>
      <w:r>
        <w:rPr>
          <w:rFonts w:ascii="宋体" w:hAnsi="宋体" w:cs="宋体" w:eastAsia="宋体" w:hint="default"/>
          <w:sz w:val="24"/>
          <w:szCs w:val="24"/>
        </w:rPr>
        <w:t>楼</w:t>
      </w:r>
      <w:r>
        <w:rPr>
          <w:rFonts w:ascii="宋体" w:hAnsi="宋体" w:cs="宋体" w:eastAsia="宋体" w:hint="default"/>
          <w:sz w:val="24"/>
          <w:szCs w:val="24"/>
        </w:rPr>
        <w:t>8</w:t>
      </w:r>
      <w:r>
        <w:rPr>
          <w:rFonts w:ascii="宋体" w:hAnsi="宋体" w:cs="宋体" w:eastAsia="宋体" w:hint="default"/>
          <w:sz w:val="24"/>
          <w:szCs w:val="24"/>
        </w:rPr>
        <w:t>号</w:t>
      </w:r>
    </w:p>
    <w:p>
      <w:pPr>
        <w:spacing w:line="338" w:lineRule="auto" w:before="29"/>
        <w:ind w:left="1398" w:right="2368" w:firstLine="0"/>
        <w:jc w:val="left"/>
        <w:rPr>
          <w:rFonts w:ascii="宋体" w:hAnsi="宋体" w:cs="宋体" w:eastAsia="宋体" w:hint="default"/>
          <w:sz w:val="24"/>
          <w:szCs w:val="24"/>
        </w:rPr>
      </w:pPr>
      <w:r>
        <w:rPr>
          <w:rFonts w:ascii="宋体" w:hAnsi="宋体" w:cs="宋体" w:eastAsia="宋体" w:hint="default"/>
          <w:sz w:val="24"/>
          <w:szCs w:val="24"/>
        </w:rPr>
        <w:t>公司国际互联网网址：</w:t>
      </w:r>
      <w:hyperlink r:id="rId11">
        <w:r>
          <w:rPr>
            <w:rFonts w:ascii="宋体" w:hAnsi="宋体" w:cs="宋体" w:eastAsia="宋体" w:hint="default"/>
            <w:sz w:val="24"/>
            <w:szCs w:val="24"/>
          </w:rPr>
          <w:t>HTTP://www.holleypharm.com</w:t>
        </w:r>
      </w:hyperlink>
      <w:r>
        <w:rPr>
          <w:rFonts w:ascii="宋体" w:hAnsi="宋体" w:cs="宋体" w:eastAsia="宋体" w:hint="default"/>
          <w:sz w:val="24"/>
          <w:szCs w:val="24"/>
        </w:rPr>
        <w:t> </w:t>
      </w:r>
      <w:r>
        <w:rPr>
          <w:rFonts w:ascii="宋体" w:hAnsi="宋体" w:cs="宋体" w:eastAsia="宋体" w:hint="default"/>
          <w:sz w:val="24"/>
          <w:szCs w:val="24"/>
        </w:rPr>
        <w:t>公司电子信箱：</w:t>
      </w:r>
      <w:hyperlink r:id="rId12">
        <w:r>
          <w:rPr>
            <w:rFonts w:ascii="宋体" w:hAnsi="宋体" w:cs="宋体" w:eastAsia="宋体" w:hint="default"/>
            <w:sz w:val="24"/>
            <w:szCs w:val="24"/>
          </w:rPr>
          <w:t>cq.huazhiholding@holley.cn</w:t>
        </w:r>
      </w:hyperlink>
    </w:p>
    <w:p>
      <w:pPr>
        <w:spacing w:line="336" w:lineRule="auto" w:before="27"/>
        <w:ind w:left="1278" w:right="328" w:hanging="660"/>
        <w:jc w:val="left"/>
        <w:rPr>
          <w:rFonts w:ascii="宋体" w:hAnsi="宋体" w:cs="宋体" w:eastAsia="宋体" w:hint="default"/>
          <w:sz w:val="24"/>
          <w:szCs w:val="24"/>
        </w:rPr>
      </w:pPr>
      <w:r>
        <w:rPr>
          <w:rFonts w:ascii="宋体" w:hAnsi="宋体" w:cs="宋体" w:eastAsia="宋体" w:hint="default"/>
          <w:spacing w:val="-12"/>
          <w:sz w:val="24"/>
          <w:szCs w:val="24"/>
        </w:rPr>
        <w:t>（五）公司选定的信息披露报纸名称：《中国证券报》、《证券时报》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登载年度报告的中国证监会指定网站的网址：</w:t>
      </w:r>
      <w:hyperlink r:id="rId13">
        <w:r>
          <w:rPr>
            <w:rFonts w:ascii="宋体" w:hAnsi="宋体" w:cs="宋体" w:eastAsia="宋体" w:hint="default"/>
            <w:sz w:val="24"/>
            <w:szCs w:val="24"/>
          </w:rPr>
          <w:t>HTTP://www.cninfo.com.cn</w:t>
        </w:r>
      </w:hyperlink>
      <w:r>
        <w:rPr>
          <w:rFonts w:ascii="宋体" w:hAnsi="宋体" w:cs="宋体" w:eastAsia="宋体" w:hint="default"/>
          <w:sz w:val="24"/>
          <w:szCs w:val="24"/>
        </w:rPr>
        <w:t> </w:t>
      </w:r>
      <w:r>
        <w:rPr>
          <w:rFonts w:ascii="宋体" w:hAnsi="宋体" w:cs="宋体" w:eastAsia="宋体" w:hint="default"/>
          <w:sz w:val="24"/>
          <w:szCs w:val="24"/>
        </w:rPr>
        <w:t>公司年度报告备置地点：公司证券管理部</w:t>
      </w:r>
    </w:p>
    <w:p>
      <w:pPr>
        <w:spacing w:before="29"/>
        <w:ind w:left="618" w:right="1588" w:firstLine="0"/>
        <w:jc w:val="left"/>
        <w:rPr>
          <w:rFonts w:ascii="宋体" w:hAnsi="宋体" w:cs="宋体" w:eastAsia="宋体" w:hint="default"/>
          <w:sz w:val="24"/>
          <w:szCs w:val="24"/>
        </w:rPr>
      </w:pPr>
      <w:r>
        <w:rPr>
          <w:rFonts w:ascii="宋体" w:hAnsi="宋体" w:cs="宋体" w:eastAsia="宋体" w:hint="default"/>
          <w:sz w:val="24"/>
          <w:szCs w:val="24"/>
        </w:rPr>
        <w:t>（六）公司股票上市交易所：深圳证券交易所</w:t>
      </w:r>
    </w:p>
    <w:p>
      <w:pPr>
        <w:tabs>
          <w:tab w:pos="5119" w:val="left" w:leader="none"/>
        </w:tabs>
        <w:spacing w:before="125"/>
        <w:ind w:left="2478" w:right="1588" w:firstLine="0"/>
        <w:jc w:val="left"/>
        <w:rPr>
          <w:rFonts w:ascii="宋体" w:hAnsi="宋体" w:cs="宋体" w:eastAsia="宋体" w:hint="default"/>
          <w:sz w:val="24"/>
          <w:szCs w:val="24"/>
        </w:rPr>
      </w:pPr>
      <w:r>
        <w:rPr>
          <w:rFonts w:ascii="宋体" w:hAnsi="宋体" w:cs="宋体" w:eastAsia="宋体" w:hint="default"/>
          <w:sz w:val="24"/>
          <w:szCs w:val="24"/>
        </w:rPr>
        <w:t>证券简称：华智控股</w:t>
        <w:tab/>
        <w:t>证券代码：</w:t>
      </w:r>
      <w:r>
        <w:rPr>
          <w:rFonts w:ascii="宋体" w:hAnsi="宋体" w:cs="宋体" w:eastAsia="宋体" w:hint="default"/>
          <w:sz w:val="24"/>
          <w:szCs w:val="24"/>
        </w:rPr>
        <w:t>000607</w:t>
      </w:r>
    </w:p>
    <w:p>
      <w:pPr>
        <w:spacing w:before="127"/>
        <w:ind w:left="618" w:right="1588" w:firstLine="0"/>
        <w:jc w:val="left"/>
        <w:rPr>
          <w:rFonts w:ascii="宋体" w:hAnsi="宋体" w:cs="宋体" w:eastAsia="宋体" w:hint="default"/>
          <w:sz w:val="24"/>
          <w:szCs w:val="24"/>
        </w:rPr>
      </w:pPr>
      <w:r>
        <w:rPr>
          <w:rFonts w:ascii="宋体" w:hAnsi="宋体" w:cs="宋体" w:eastAsia="宋体" w:hint="default"/>
          <w:sz w:val="24"/>
          <w:szCs w:val="24"/>
        </w:rPr>
        <w:t>（七）其他有关资料</w:t>
      </w:r>
    </w:p>
    <w:p>
      <w:pPr>
        <w:spacing w:line="336" w:lineRule="auto" w:before="125"/>
        <w:ind w:left="1278" w:right="88"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、公司首次注册登记日期、地点： 公司于</w:t>
      </w:r>
      <w:r>
        <w:rPr>
          <w:rFonts w:ascii="宋体" w:hAnsi="宋体" w:cs="宋体" w:eastAsia="宋体" w:hint="default"/>
          <w:sz w:val="24"/>
          <w:szCs w:val="24"/>
        </w:rPr>
        <w:t>1996</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18</w:t>
      </w:r>
      <w:r>
        <w:rPr>
          <w:rFonts w:ascii="宋体" w:hAnsi="宋体" w:cs="宋体" w:eastAsia="宋体" w:hint="default"/>
          <w:sz w:val="24"/>
          <w:szCs w:val="24"/>
        </w:rPr>
        <w:t>日在重庆市工商行政管理局办理了首次注册登记。 </w:t>
      </w:r>
      <w:r>
        <w:rPr>
          <w:rFonts w:ascii="宋体" w:hAnsi="宋体" w:cs="宋体" w:eastAsia="宋体" w:hint="default"/>
          <w:sz w:val="24"/>
          <w:szCs w:val="24"/>
        </w:rPr>
        <w:t>2</w:t>
      </w:r>
      <w:r>
        <w:rPr>
          <w:rFonts w:ascii="宋体" w:hAnsi="宋体" w:cs="宋体" w:eastAsia="宋体" w:hint="default"/>
          <w:sz w:val="24"/>
          <w:szCs w:val="24"/>
        </w:rPr>
        <w:t>、公司最近一次变更注册登记日期、地点： 公司于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13</w:t>
      </w:r>
      <w:r>
        <w:rPr>
          <w:rFonts w:ascii="宋体" w:hAnsi="宋体" w:cs="宋体" w:eastAsia="宋体" w:hint="default"/>
          <w:sz w:val="24"/>
          <w:szCs w:val="24"/>
        </w:rPr>
        <w:t>日在重庆市工商行政管理局办理了公司变更注册登记。 </w:t>
      </w:r>
      <w:r>
        <w:rPr>
          <w:rFonts w:ascii="宋体" w:hAnsi="宋体" w:cs="宋体" w:eastAsia="宋体" w:hint="default"/>
          <w:sz w:val="24"/>
          <w:szCs w:val="24"/>
        </w:rPr>
        <w:t>3</w:t>
      </w:r>
      <w:r>
        <w:rPr>
          <w:rFonts w:ascii="宋体" w:hAnsi="宋体" w:cs="宋体" w:eastAsia="宋体" w:hint="default"/>
          <w:sz w:val="24"/>
          <w:szCs w:val="24"/>
        </w:rPr>
        <w:t>、公司企业法人营业执照注册号：</w:t>
      </w:r>
      <w:r>
        <w:rPr>
          <w:rFonts w:ascii="宋体" w:hAnsi="宋体" w:cs="宋体" w:eastAsia="宋体" w:hint="default"/>
          <w:sz w:val="24"/>
          <w:szCs w:val="24"/>
        </w:rPr>
        <w:t>500000000005123</w:t>
      </w:r>
    </w:p>
    <w:p>
      <w:pPr>
        <w:spacing w:before="31"/>
        <w:ind w:left="1293" w:right="1588"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、公司税务登记号码：</w:t>
      </w:r>
      <w:r>
        <w:rPr>
          <w:rFonts w:ascii="宋体" w:hAnsi="宋体" w:cs="宋体" w:eastAsia="宋体" w:hint="default"/>
          <w:sz w:val="24"/>
          <w:szCs w:val="24"/>
        </w:rPr>
        <w:t>500109202823494</w:t>
      </w:r>
    </w:p>
    <w:p>
      <w:pPr>
        <w:spacing w:before="125"/>
        <w:ind w:left="1293" w:right="1588"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、组织机构代码：</w:t>
      </w:r>
      <w:r>
        <w:rPr>
          <w:rFonts w:ascii="宋体" w:hAnsi="宋体" w:cs="宋体" w:eastAsia="宋体" w:hint="default"/>
          <w:sz w:val="24"/>
          <w:szCs w:val="24"/>
        </w:rPr>
        <w:t>20282349-4</w:t>
      </w:r>
    </w:p>
    <w:p>
      <w:pPr>
        <w:spacing w:line="338" w:lineRule="auto" w:before="125"/>
        <w:ind w:left="1638" w:right="528" w:hanging="36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、公司聘请的会计师事务所名称：天健正信会计师事务所有限公司 办公地址：重庆市北部新区财富大道</w:t>
      </w:r>
      <w:r>
        <w:rPr>
          <w:rFonts w:ascii="Times New Roman" w:hAnsi="Times New Roman" w:cs="Times New Roman" w:eastAsia="Times New Roman" w:hint="default"/>
          <w:sz w:val="24"/>
          <w:szCs w:val="24"/>
        </w:rPr>
        <w:t>13</w:t>
      </w:r>
      <w:r>
        <w:rPr>
          <w:rFonts w:ascii="宋体" w:hAnsi="宋体" w:cs="宋体" w:eastAsia="宋体" w:hint="default"/>
          <w:sz w:val="24"/>
          <w:szCs w:val="24"/>
        </w:rPr>
        <w:t>号财富中心财富园</w:t>
      </w:r>
      <w:r>
        <w:rPr>
          <w:rFonts w:ascii="Times New Roman" w:hAnsi="Times New Roman" w:cs="Times New Roman" w:eastAsia="Times New Roman" w:hint="default"/>
          <w:sz w:val="24"/>
          <w:szCs w:val="24"/>
        </w:rPr>
        <w:t>2</w:t>
      </w:r>
      <w:r>
        <w:rPr>
          <w:rFonts w:ascii="宋体" w:hAnsi="宋体" w:cs="宋体" w:eastAsia="宋体" w:hint="default"/>
          <w:sz w:val="24"/>
          <w:szCs w:val="24"/>
        </w:rPr>
        <w:t>号</w:t>
      </w:r>
      <w:r>
        <w:rPr>
          <w:rFonts w:ascii="Times New Roman" w:hAnsi="Times New Roman" w:cs="Times New Roman" w:eastAsia="Times New Roman" w:hint="default"/>
          <w:sz w:val="24"/>
          <w:szCs w:val="24"/>
        </w:rPr>
        <w:t>B</w:t>
      </w:r>
      <w:r>
        <w:rPr>
          <w:rFonts w:ascii="宋体" w:hAnsi="宋体" w:cs="宋体" w:eastAsia="宋体" w:hint="default"/>
          <w:sz w:val="24"/>
          <w:szCs w:val="24"/>
        </w:rPr>
        <w:t>幢</w:t>
      </w:r>
      <w:r>
        <w:rPr>
          <w:rFonts w:ascii="Times New Roman" w:hAnsi="Times New Roman" w:cs="Times New Roman" w:eastAsia="Times New Roman" w:hint="default"/>
          <w:sz w:val="24"/>
          <w:szCs w:val="24"/>
        </w:rPr>
        <w:t>4</w:t>
      </w:r>
      <w:r>
        <w:rPr>
          <w:rFonts w:ascii="宋体" w:hAnsi="宋体" w:cs="宋体" w:eastAsia="宋体" w:hint="default"/>
          <w:sz w:val="24"/>
          <w:szCs w:val="24"/>
        </w:rPr>
        <w:t>层</w:t>
      </w:r>
    </w:p>
    <w:p>
      <w:pPr>
        <w:spacing w:line="240" w:lineRule="auto" w:before="11"/>
        <w:rPr>
          <w:rFonts w:ascii="宋体" w:hAnsi="宋体" w:cs="宋体" w:eastAsia="宋体" w:hint="default"/>
          <w:sz w:val="16"/>
          <w:szCs w:val="16"/>
        </w:rPr>
      </w:pPr>
    </w:p>
    <w:p>
      <w:pPr>
        <w:spacing w:before="76"/>
        <w:ind w:left="4669" w:right="4506" w:firstLine="0"/>
        <w:jc w:val="center"/>
        <w:rPr>
          <w:rFonts w:ascii="Times New Roman" w:hAnsi="Times New Roman" w:cs="Times New Roman" w:eastAsia="Times New Roman" w:hint="default"/>
          <w:sz w:val="18"/>
          <w:szCs w:val="18"/>
        </w:rPr>
      </w:pPr>
      <w:r>
        <w:rPr>
          <w:rFonts w:ascii="Times New Roman"/>
          <w:sz w:val="18"/>
        </w:rPr>
        <w:t>3</w:t>
      </w:r>
    </w:p>
    <w:p>
      <w:pPr>
        <w:spacing w:after="0"/>
        <w:jc w:val="center"/>
        <w:rPr>
          <w:rFonts w:ascii="Times New Roman" w:hAnsi="Times New Roman" w:cs="Times New Roman" w:eastAsia="Times New Roman" w:hint="default"/>
          <w:sz w:val="18"/>
          <w:szCs w:val="18"/>
        </w:rPr>
        <w:sectPr>
          <w:footerReference w:type="default" r:id="rId9"/>
          <w:pgSz w:w="11910" w:h="16840"/>
          <w:pgMar w:footer="0" w:header="884" w:top="1140" w:bottom="280" w:left="1280" w:right="1320"/>
        </w:sectPr>
      </w:pPr>
    </w:p>
    <w:p>
      <w:pPr>
        <w:spacing w:line="240" w:lineRule="auto" w:before="5"/>
        <w:rPr>
          <w:rFonts w:ascii="Times New Roman" w:hAnsi="Times New Roman" w:cs="Times New Roman" w:eastAsia="Times New Roman" w:hint="default"/>
          <w:sz w:val="25"/>
          <w:szCs w:val="25"/>
        </w:rPr>
      </w:pPr>
    </w:p>
    <w:p>
      <w:pPr>
        <w:pStyle w:val="Heading1"/>
        <w:spacing w:line="240" w:lineRule="auto"/>
        <w:ind w:left="618" w:right="0"/>
        <w:jc w:val="left"/>
        <w:rPr>
          <w:b w:val="0"/>
          <w:bCs w:val="0"/>
        </w:rPr>
      </w:pPr>
      <w:r>
        <w:rPr/>
        <w:t>二、会计数据和业务数据摘要</w:t>
      </w:r>
      <w:r>
        <w:rPr>
          <w:b w:val="0"/>
          <w:bCs w:val="0"/>
        </w:rPr>
      </w:r>
    </w:p>
    <w:p>
      <w:pPr>
        <w:pStyle w:val="Heading3"/>
        <w:spacing w:line="240" w:lineRule="auto" w:before="165"/>
        <w:ind w:left="618" w:right="0"/>
        <w:jc w:val="left"/>
      </w:pPr>
      <w:r>
        <w:rPr/>
        <w:t>（一）</w:t>
      </w:r>
      <w:r>
        <w:rPr>
          <w:rFonts w:ascii="宋体" w:hAnsi="宋体" w:cs="宋体" w:eastAsia="宋体" w:hint="default"/>
        </w:rPr>
        <w:t>2010</w:t>
      </w:r>
      <w:r>
        <w:rPr/>
        <w:t>年度主要会计数据</w:t>
      </w:r>
    </w:p>
    <w:p>
      <w:pPr>
        <w:spacing w:line="240" w:lineRule="auto" w:before="9"/>
        <w:rPr>
          <w:rFonts w:ascii="宋体" w:hAnsi="宋体" w:cs="宋体" w:eastAsia="宋体" w:hint="default"/>
          <w:sz w:val="15"/>
          <w:szCs w:val="15"/>
        </w:rPr>
      </w:pPr>
    </w:p>
    <w:p>
      <w:pPr>
        <w:spacing w:before="26"/>
        <w:ind w:left="0" w:right="340"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pacing w:val="-123"/>
          <w:sz w:val="24"/>
          <w:szCs w:val="24"/>
        </w:rPr>
        <w:t>：</w:t>
      </w:r>
      <w:r>
        <w:rPr>
          <w:rFonts w:ascii="宋体" w:hAnsi="宋体" w:cs="宋体" w:eastAsia="宋体" w:hint="default"/>
          <w:sz w:val="24"/>
          <w:szCs w:val="24"/>
        </w:rPr>
        <w:t>（人民币）元</w:t>
      </w:r>
    </w:p>
    <w:p>
      <w:pPr>
        <w:spacing w:line="240" w:lineRule="auto" w:before="9"/>
        <w:rPr>
          <w:rFonts w:ascii="宋体" w:hAnsi="宋体" w:cs="宋体" w:eastAsia="宋体" w:hint="default"/>
          <w:sz w:val="20"/>
          <w:szCs w:val="20"/>
        </w:rPr>
      </w:pPr>
    </w:p>
    <w:tbl>
      <w:tblPr>
        <w:tblW w:w="0" w:type="auto"/>
        <w:jc w:val="left"/>
        <w:tblInd w:w="554" w:type="dxa"/>
        <w:tblLayout w:type="fixed"/>
        <w:tblCellMar>
          <w:top w:w="0" w:type="dxa"/>
          <w:left w:w="0" w:type="dxa"/>
          <w:bottom w:w="0" w:type="dxa"/>
          <w:right w:w="0" w:type="dxa"/>
        </w:tblCellMar>
        <w:tblLook w:val="01E0"/>
      </w:tblPr>
      <w:tblGrid>
        <w:gridCol w:w="6092"/>
        <w:gridCol w:w="2415"/>
      </w:tblGrid>
      <w:tr>
        <w:trPr>
          <w:trHeight w:val="511"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55"/>
              <w:ind w:right="2"/>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1380" w:val="left" w:leader="none"/>
              </w:tabs>
              <w:spacing w:line="240" w:lineRule="auto" w:before="55"/>
              <w:ind w:left="780"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509"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4"/>
                <w:szCs w:val="24"/>
              </w:rPr>
            </w:pPr>
            <w:r>
              <w:rPr>
                <w:rFonts w:ascii="宋体"/>
                <w:sz w:val="24"/>
              </w:rPr>
              <w:t>-194,340,762.22</w:t>
            </w:r>
          </w:p>
        </w:tc>
      </w:tr>
      <w:tr>
        <w:trPr>
          <w:trHeight w:val="511"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宋体" w:hAnsi="宋体" w:cs="宋体" w:eastAsia="宋体" w:hint="default"/>
                <w:sz w:val="24"/>
                <w:szCs w:val="24"/>
              </w:rPr>
            </w:pPr>
            <w:r>
              <w:rPr>
                <w:rFonts w:ascii="宋体"/>
                <w:sz w:val="24"/>
              </w:rPr>
              <w:t>-180,637,243.28</w:t>
            </w:r>
          </w:p>
        </w:tc>
      </w:tr>
      <w:tr>
        <w:trPr>
          <w:trHeight w:val="509"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4"/>
                <w:szCs w:val="24"/>
              </w:rPr>
            </w:pPr>
            <w:r>
              <w:rPr>
                <w:rFonts w:ascii="宋体"/>
                <w:sz w:val="24"/>
              </w:rPr>
              <w:t>-166,308,328.16</w:t>
            </w:r>
          </w:p>
        </w:tc>
      </w:tr>
      <w:tr>
        <w:trPr>
          <w:trHeight w:val="512"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归属于上市公司股东的扣除非经营性损益后的净利润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24"/>
                <w:szCs w:val="24"/>
              </w:rPr>
            </w:pPr>
            <w:r>
              <w:rPr>
                <w:rFonts w:ascii="宋体"/>
                <w:sz w:val="24"/>
              </w:rPr>
              <w:t>-164,304,196.33</w:t>
            </w:r>
          </w:p>
        </w:tc>
      </w:tr>
      <w:tr>
        <w:trPr>
          <w:trHeight w:val="509"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4"/>
                <w:szCs w:val="24"/>
              </w:rPr>
            </w:pPr>
            <w:r>
              <w:rPr>
                <w:rFonts w:ascii="宋体"/>
                <w:sz w:val="24"/>
              </w:rPr>
              <w:t>-6,218,297.24</w:t>
            </w:r>
          </w:p>
        </w:tc>
      </w:tr>
      <w:tr>
        <w:trPr>
          <w:trHeight w:val="511"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宋体" w:hAnsi="宋体" w:cs="宋体" w:eastAsia="宋体" w:hint="default"/>
                <w:sz w:val="24"/>
                <w:szCs w:val="24"/>
              </w:rPr>
            </w:pPr>
            <w:r>
              <w:rPr>
                <w:rFonts w:ascii="宋体"/>
                <w:sz w:val="24"/>
              </w:rPr>
              <w:t>105,193,292.98</w:t>
            </w:r>
          </w:p>
        </w:tc>
      </w:tr>
      <w:tr>
        <w:trPr>
          <w:trHeight w:val="509"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4"/>
                <w:szCs w:val="24"/>
              </w:rPr>
            </w:pPr>
            <w:r>
              <w:rPr>
                <w:rFonts w:ascii="宋体"/>
                <w:sz w:val="24"/>
              </w:rPr>
              <w:t>-81,575,360.56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z w:val="24"/>
          <w:szCs w:val="24"/>
        </w:rPr>
        <w:t>注：扣除非经常性损益的项目及所涉及的金额：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26"/>
        <w:ind w:left="0" w:right="98" w:firstLine="0"/>
        <w:jc w:val="right"/>
        <w:rPr>
          <w:rFonts w:ascii="宋体" w:hAnsi="宋体" w:cs="宋体" w:eastAsia="宋体" w:hint="default"/>
          <w:sz w:val="24"/>
          <w:szCs w:val="24"/>
        </w:rPr>
      </w:pPr>
      <w:r>
        <w:rPr/>
        <w:pict>
          <v:shape style="position:absolute;margin-left:85.704002pt;margin-top:-140.824402pt;width:431.4pt;height:253.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2"/>
                    <w:gridCol w:w="1889"/>
                    <w:gridCol w:w="1892"/>
                  </w:tblGrid>
                  <w:tr>
                    <w:trPr>
                      <w:trHeight w:val="579"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47"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8" w:right="0"/>
                          <w:jc w:val="left"/>
                          <w:rPr>
                            <w:rFonts w:ascii="宋体" w:hAnsi="宋体" w:cs="宋体" w:eastAsia="宋体" w:hint="default"/>
                            <w:sz w:val="24"/>
                            <w:szCs w:val="24"/>
                          </w:rPr>
                        </w:pPr>
                        <w:r>
                          <w:rPr>
                            <w:rFonts w:ascii="宋体" w:hAnsi="宋体" w:cs="宋体" w:eastAsia="宋体" w:hint="default"/>
                            <w:sz w:val="24"/>
                            <w:szCs w:val="24"/>
                          </w:rPr>
                          <w:t>附注（如适用）</w:t>
                        </w:r>
                      </w:p>
                    </w:tc>
                  </w:tr>
                  <w:tr>
                    <w:trPr>
                      <w:trHeight w:val="576"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24"/>
                            <w:szCs w:val="24"/>
                          </w:rPr>
                        </w:pPr>
                        <w:r>
                          <w:rPr>
                            <w:rFonts w:ascii="宋体"/>
                            <w:sz w:val="24"/>
                          </w:rPr>
                          <w:t>-1,139,939.30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1013"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2"/>
                          <w:ind w:left="21" w:right="23"/>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切相关，符合国家政策规定、按照一定标准定额或定</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量持续享受的政府补助除外</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9,064,888.40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24"/>
                            <w:szCs w:val="24"/>
                          </w:rPr>
                        </w:pPr>
                        <w:r>
                          <w:rPr>
                            <w:rFonts w:ascii="宋体"/>
                            <w:sz w:val="24"/>
                          </w:rPr>
                          <w:t>884,167.05</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24"/>
                            <w:szCs w:val="24"/>
                          </w:rPr>
                        </w:pPr>
                        <w:r>
                          <w:rPr>
                            <w:rFonts w:ascii="宋体"/>
                            <w:sz w:val="24"/>
                          </w:rPr>
                          <w:t>-10,101,838.03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系股权转让收益</w:t>
                        </w:r>
                      </w:p>
                    </w:tc>
                  </w:tr>
                  <w:tr>
                    <w:trPr>
                      <w:trHeight w:val="578"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24"/>
                            <w:szCs w:val="24"/>
                          </w:rPr>
                        </w:pPr>
                        <w:r>
                          <w:rPr>
                            <w:rFonts w:ascii="宋体"/>
                            <w:sz w:val="24"/>
                          </w:rPr>
                          <w:t>-731,577.82</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24"/>
                            <w:szCs w:val="24"/>
                          </w:rPr>
                        </w:pPr>
                        <w:r>
                          <w:rPr>
                            <w:rFonts w:ascii="宋体"/>
                            <w:sz w:val="24"/>
                          </w:rPr>
                          <w:t>20,167.87</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tabs>
                            <w:tab w:pos="840" w:val="left" w:leader="none"/>
                          </w:tabs>
                          <w:spacing w:line="240" w:lineRule="auto" w:before="87"/>
                          <w:ind w:right="5"/>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24"/>
                            <w:szCs w:val="24"/>
                          </w:rPr>
                        </w:pPr>
                        <w:r>
                          <w:rPr>
                            <w:rFonts w:ascii="宋体"/>
                            <w:sz w:val="24"/>
                          </w:rPr>
                          <w:t>-2,004,131.83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24"/>
                            <w:szCs w:val="24"/>
                          </w:rPr>
                        </w:pPr>
                        <w:r>
                          <w:rPr>
                            <w:rFonts w:ascii="宋体"/>
                            <w:sz w:val="24"/>
                          </w:rPr>
                          <w:t>-</w:t>
                        </w:r>
                      </w:p>
                    </w:tc>
                  </w:tr>
                </w:tbl>
                <w:p>
                  <w:pPr/>
                </w:p>
              </w:txbxContent>
            </v:textbox>
            <w10:wrap type="none"/>
          </v:shape>
        </w:pict>
      </w:r>
      <w:r>
        <w:rPr>
          <w:rFonts w:ascii="宋体" w:hAnsi="宋体" w:cs="宋体" w:eastAsia="宋体" w:hint="default"/>
          <w:sz w:val="24"/>
          <w:szCs w:val="24"/>
        </w:rPr>
        <w:t>。</w:t>
      </w:r>
    </w:p>
    <w:p>
      <w:pPr>
        <w:spacing w:after="0"/>
        <w:jc w:val="right"/>
        <w:rPr>
          <w:rFonts w:ascii="宋体" w:hAnsi="宋体" w:cs="宋体" w:eastAsia="宋体" w:hint="default"/>
          <w:sz w:val="24"/>
          <w:szCs w:val="24"/>
        </w:rPr>
        <w:sectPr>
          <w:headerReference w:type="even" r:id="rId14"/>
          <w:headerReference w:type="default" r:id="rId15"/>
          <w:footerReference w:type="even" r:id="rId16"/>
          <w:pgSz w:w="11910" w:h="16840"/>
          <w:pgMar w:header="884" w:footer="977" w:top="1140" w:bottom="1160" w:left="1160" w:right="1420"/>
          <w:pgNumType w:start="4"/>
        </w:sectPr>
      </w:pPr>
    </w:p>
    <w:p>
      <w:pPr>
        <w:spacing w:line="240" w:lineRule="auto" w:before="1"/>
        <w:rPr>
          <w:rFonts w:ascii="宋体" w:hAnsi="宋体" w:cs="宋体" w:eastAsia="宋体" w:hint="default"/>
          <w:sz w:val="29"/>
          <w:szCs w:val="29"/>
        </w:rPr>
      </w:pPr>
      <w:r>
        <w:rPr/>
        <w:pict>
          <v:shape style="position:absolute;margin-left:494.049988pt;margin-top:784.149719pt;width:101.25pt;height:57.75pt;mso-position-horizontal-relative:page;mso-position-vertical-relative:page;z-index:1072" type="#_x0000_t75" stroked="false">
            <v:imagedata r:id="rId7" o:title=""/>
          </v:shape>
        </w:pict>
      </w:r>
    </w:p>
    <w:p>
      <w:pPr>
        <w:spacing w:line="357" w:lineRule="auto" w:before="26"/>
        <w:ind w:left="1117" w:right="1729" w:firstLine="0"/>
        <w:jc w:val="left"/>
        <w:rPr>
          <w:rFonts w:ascii="宋体" w:hAnsi="宋体" w:cs="宋体" w:eastAsia="宋体" w:hint="default"/>
          <w:sz w:val="24"/>
          <w:szCs w:val="24"/>
        </w:rPr>
      </w:pPr>
      <w:r>
        <w:rPr>
          <w:rFonts w:ascii="宋体" w:hAnsi="宋体" w:cs="宋体" w:eastAsia="宋体" w:hint="default"/>
          <w:sz w:val="24"/>
          <w:szCs w:val="24"/>
        </w:rPr>
        <w:t>（二）截止报告期末，公司前三年的主要会计数据和财务指标（单位：元） </w:t>
      </w:r>
      <w:r>
        <w:rPr>
          <w:rFonts w:ascii="宋体" w:hAnsi="宋体" w:cs="宋体" w:eastAsia="宋体" w:hint="default"/>
          <w:sz w:val="24"/>
          <w:szCs w:val="24"/>
        </w:rPr>
        <w:t>1</w:t>
      </w:r>
      <w:r>
        <w:rPr>
          <w:rFonts w:ascii="宋体" w:hAnsi="宋体" w:cs="宋体" w:eastAsia="宋体" w:hint="default"/>
          <w:sz w:val="24"/>
          <w:szCs w:val="24"/>
        </w:rPr>
        <w:t>、主要会计数据</w:t>
      </w:r>
    </w:p>
    <w:p>
      <w:pPr>
        <w:spacing w:line="240" w:lineRule="auto" w:before="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786"/>
        <w:gridCol w:w="1681"/>
        <w:gridCol w:w="1574"/>
        <w:gridCol w:w="106"/>
        <w:gridCol w:w="1574"/>
        <w:gridCol w:w="1337"/>
        <w:gridCol w:w="1786"/>
      </w:tblGrid>
      <w:tr>
        <w:trPr>
          <w:trHeight w:val="57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14"/>
              <w:ind w:right="4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9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2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2" w:right="29" w:hanging="209"/>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4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68" w:hRule="exact"/>
        </w:trPr>
        <w:tc>
          <w:tcPr>
            <w:tcW w:w="178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pacing w:val="-1"/>
                <w:sz w:val="18"/>
              </w:rPr>
              <w:t>1,194,860,445.99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1,955,611,259.51</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9" w:right="0"/>
              <w:jc w:val="left"/>
              <w:rPr>
                <w:rFonts w:ascii="宋体" w:hAnsi="宋体" w:cs="宋体" w:eastAsia="宋体" w:hint="default"/>
                <w:sz w:val="18"/>
                <w:szCs w:val="18"/>
              </w:rPr>
            </w:pPr>
            <w:r>
              <w:rPr>
                <w:rFonts w:ascii="宋体"/>
                <w:sz w:val="18"/>
              </w:rPr>
              <w:t>1,955,611,259.51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-38.90%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2,862,342,584.17</w:t>
            </w:r>
          </w:p>
        </w:tc>
      </w:tr>
      <w:tr>
        <w:trPr>
          <w:trHeight w:val="40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-180,637,243.28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-50,741,507.06</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宋体" w:hAnsi="宋体" w:cs="宋体" w:eastAsia="宋体" w:hint="default"/>
                <w:sz w:val="18"/>
                <w:szCs w:val="18"/>
              </w:rPr>
            </w:pPr>
            <w:r>
              <w:rPr>
                <w:rFonts w:ascii="宋体"/>
                <w:sz w:val="18"/>
              </w:rPr>
              <w:t>-50,741,507.06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42,622,406.83</w:t>
            </w:r>
          </w:p>
        </w:tc>
      </w:tr>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-166,308,328.16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-82,890,070.59</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89" w:right="0"/>
              <w:jc w:val="left"/>
              <w:rPr>
                <w:rFonts w:ascii="宋体" w:hAnsi="宋体" w:cs="宋体" w:eastAsia="宋体" w:hint="default"/>
                <w:sz w:val="18"/>
                <w:szCs w:val="18"/>
              </w:rPr>
            </w:pPr>
            <w:r>
              <w:rPr>
                <w:rFonts w:ascii="宋体"/>
                <w:sz w:val="18"/>
              </w:rPr>
              <w:t>-80,191,690.96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107.39%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4,717,562.55</w:t>
            </w:r>
          </w:p>
        </w:tc>
      </w:tr>
      <w:tr>
        <w:trPr>
          <w:trHeight w:val="83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257" w:right="43" w:hanging="209"/>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-164,304,196.33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-79,335,752.78</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9" w:right="0"/>
              <w:jc w:val="left"/>
              <w:rPr>
                <w:rFonts w:ascii="宋体" w:hAnsi="宋体" w:cs="宋体" w:eastAsia="宋体" w:hint="default"/>
                <w:sz w:val="18"/>
                <w:szCs w:val="18"/>
              </w:rPr>
            </w:pPr>
            <w:r>
              <w:rPr>
                <w:rFonts w:ascii="宋体"/>
                <w:sz w:val="18"/>
              </w:rPr>
              <w:t>-76,637,373.15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114.39%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-13,798,454.34</w:t>
            </w:r>
          </w:p>
        </w:tc>
      </w:tr>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105,193,292.98</w:t>
            </w:r>
            <w:r>
              <w:rPr>
                <w:rFonts w:ascii="宋体"/>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79,483,655.65</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8" w:right="0"/>
              <w:jc w:val="left"/>
              <w:rPr>
                <w:rFonts w:ascii="宋体" w:hAnsi="宋体" w:cs="宋体" w:eastAsia="宋体" w:hint="default"/>
                <w:sz w:val="18"/>
                <w:szCs w:val="18"/>
              </w:rPr>
            </w:pPr>
            <w:r>
              <w:rPr>
                <w:rFonts w:ascii="宋体"/>
                <w:sz w:val="18"/>
              </w:rPr>
              <w:t>79,483,655.65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32.35%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138,819,042.56</w:t>
            </w:r>
          </w:p>
        </w:tc>
      </w:tr>
      <w:tr>
        <w:trPr>
          <w:trHeight w:val="57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8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32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3" w:right="29"/>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406" w:hRule="exact"/>
        </w:trPr>
        <w:tc>
          <w:tcPr>
            <w:tcW w:w="178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1,611,256,634.65</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宋体"/>
                <w:sz w:val="18"/>
              </w:rPr>
              <w:t>2,105,755,477.68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2,105,755,477.68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-23.48%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2,772,874,472.31</w:t>
            </w:r>
          </w:p>
        </w:tc>
      </w:tr>
      <w:tr>
        <w:trPr>
          <w:trHeight w:val="55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309,981,946.71</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88" w:right="0"/>
              <w:jc w:val="left"/>
              <w:rPr>
                <w:rFonts w:ascii="宋体" w:hAnsi="宋体" w:cs="宋体" w:eastAsia="宋体" w:hint="default"/>
                <w:sz w:val="18"/>
                <w:szCs w:val="18"/>
              </w:rPr>
            </w:pPr>
            <w:r>
              <w:rPr>
                <w:rFonts w:ascii="宋体"/>
                <w:sz w:val="18"/>
              </w:rPr>
              <w:t>490,643,242.89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495,752,360.13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z w:val="18"/>
              </w:rPr>
              <w:t>-37.47%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573,700,424.14</w:t>
            </w:r>
          </w:p>
        </w:tc>
      </w:tr>
      <w:tr>
        <w:trPr>
          <w:trHeight w:val="40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487,731,995.00</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sz w:val="18"/>
              </w:rPr>
              <w:t>487,731,995.00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487,731,995.00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487,731,995.00</w:t>
            </w:r>
          </w:p>
        </w:tc>
      </w:tr>
    </w:tbl>
    <w:p>
      <w:pPr>
        <w:spacing w:before="80"/>
        <w:ind w:left="1117" w:right="1729"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、财务指标</w:t>
      </w: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732"/>
        <w:gridCol w:w="1366"/>
        <w:gridCol w:w="1402"/>
        <w:gridCol w:w="1433"/>
        <w:gridCol w:w="1366"/>
        <w:gridCol w:w="1260"/>
      </w:tblGrid>
      <w:tr>
        <w:trPr>
          <w:trHeight w:val="57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3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56" w:right="44" w:hanging="209"/>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2" w:hRule="exact"/>
        </w:trPr>
        <w:tc>
          <w:tcPr>
            <w:tcW w:w="273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7"/>
              <w:jc w:val="right"/>
              <w:rPr>
                <w:rFonts w:ascii="宋体" w:hAnsi="宋体" w:cs="宋体" w:eastAsia="宋体" w:hint="default"/>
                <w:sz w:val="21"/>
                <w:szCs w:val="21"/>
              </w:rPr>
            </w:pPr>
            <w:r>
              <w:rPr>
                <w:rFonts w:ascii="宋体"/>
                <w:sz w:val="21"/>
              </w:rPr>
              <w:t>-0.16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112.50%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0.01</w:t>
            </w:r>
          </w:p>
        </w:tc>
      </w:tr>
      <w:tr>
        <w:trPr>
          <w:trHeight w:val="46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7"/>
              <w:jc w:val="right"/>
              <w:rPr>
                <w:rFonts w:ascii="宋体" w:hAnsi="宋体" w:cs="宋体" w:eastAsia="宋体" w:hint="default"/>
                <w:sz w:val="21"/>
                <w:szCs w:val="21"/>
              </w:rPr>
            </w:pPr>
            <w:r>
              <w:rPr>
                <w:rFonts w:ascii="宋体"/>
                <w:sz w:val="21"/>
              </w:rPr>
              <w:t>-0.16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pacing w:val="-1"/>
                <w:sz w:val="21"/>
              </w:rPr>
              <w:t>112.50%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21"/>
                <w:szCs w:val="21"/>
              </w:rPr>
            </w:pPr>
            <w:r>
              <w:rPr>
                <w:rFonts w:ascii="宋体"/>
                <w:sz w:val="21"/>
              </w:rPr>
              <w:t>0.01</w:t>
            </w:r>
          </w:p>
        </w:tc>
      </w:tr>
      <w:tr>
        <w:trPr>
          <w:trHeight w:val="57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7"/>
              <w:jc w:val="right"/>
              <w:rPr>
                <w:rFonts w:ascii="宋体" w:hAnsi="宋体" w:cs="宋体" w:eastAsia="宋体" w:hint="default"/>
                <w:sz w:val="21"/>
                <w:szCs w:val="21"/>
              </w:rPr>
            </w:pPr>
            <w:r>
              <w:rPr>
                <w:rFonts w:ascii="宋体"/>
                <w:sz w:val="21"/>
              </w:rPr>
              <w:t>-0.16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112.50%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z w:val="21"/>
              </w:rPr>
              <w:t>-0.03</w:t>
            </w:r>
          </w:p>
        </w:tc>
      </w:tr>
      <w:tr>
        <w:trPr>
          <w:trHeight w:val="5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21"/>
                <w:szCs w:val="21"/>
              </w:rPr>
            </w:pPr>
            <w:r>
              <w:rPr>
                <w:rFonts w:ascii="宋体"/>
                <w:spacing w:val="-1"/>
                <w:sz w:val="21"/>
              </w:rPr>
              <w:t>-40.83%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5"/>
              <w:jc w:val="right"/>
              <w:rPr>
                <w:rFonts w:ascii="宋体" w:hAnsi="宋体" w:cs="宋体" w:eastAsia="宋体" w:hint="default"/>
                <w:sz w:val="21"/>
                <w:szCs w:val="21"/>
              </w:rPr>
            </w:pPr>
            <w:r>
              <w:rPr>
                <w:rFonts w:ascii="宋体"/>
                <w:spacing w:val="-1"/>
                <w:sz w:val="21"/>
              </w:rPr>
              <w:t>-15.58%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21"/>
                <w:szCs w:val="21"/>
              </w:rPr>
            </w:pPr>
            <w:r>
              <w:rPr>
                <w:rFonts w:ascii="宋体"/>
                <w:spacing w:val="-1"/>
                <w:sz w:val="21"/>
              </w:rPr>
              <w:t>-15.58%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21"/>
                <w:szCs w:val="21"/>
              </w:rPr>
            </w:pPr>
            <w:r>
              <w:rPr>
                <w:rFonts w:ascii="宋体"/>
                <w:spacing w:val="-1"/>
                <w:sz w:val="21"/>
              </w:rPr>
              <w:t>-25.25%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宋体" w:hAnsi="宋体" w:cs="宋体" w:eastAsia="宋体" w:hint="default"/>
                <w:sz w:val="21"/>
                <w:szCs w:val="21"/>
              </w:rPr>
            </w:pPr>
            <w:r>
              <w:rPr>
                <w:rFonts w:ascii="宋体"/>
                <w:sz w:val="21"/>
              </w:rPr>
              <w:t>0.83%</w:t>
            </w:r>
          </w:p>
        </w:tc>
      </w:tr>
      <w:tr>
        <w:trPr>
          <w:trHeight w:val="557"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-40.34%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5"/>
              <w:jc w:val="right"/>
              <w:rPr>
                <w:rFonts w:ascii="宋体" w:hAnsi="宋体" w:cs="宋体" w:eastAsia="宋体" w:hint="default"/>
                <w:sz w:val="21"/>
                <w:szCs w:val="21"/>
              </w:rPr>
            </w:pPr>
            <w:r>
              <w:rPr>
                <w:rFonts w:ascii="宋体"/>
                <w:spacing w:val="-1"/>
                <w:sz w:val="21"/>
              </w:rPr>
              <w:t>-14.91%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-25.43%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-2.42%</w:t>
            </w:r>
          </w:p>
        </w:tc>
      </w:tr>
      <w:tr>
        <w:trPr>
          <w:trHeight w:val="69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173"/>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0.22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7"/>
              <w:jc w:val="right"/>
              <w:rPr>
                <w:rFonts w:ascii="宋体" w:hAnsi="宋体" w:cs="宋体" w:eastAsia="宋体" w:hint="default"/>
                <w:sz w:val="21"/>
                <w:szCs w:val="21"/>
              </w:rPr>
            </w:pPr>
            <w:r>
              <w:rPr>
                <w:rFonts w:ascii="宋体"/>
                <w:sz w:val="21"/>
              </w:rPr>
              <w:t>0.16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37.50%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7"/>
              <w:jc w:val="right"/>
              <w:rPr>
                <w:rFonts w:ascii="宋体" w:hAnsi="宋体" w:cs="宋体" w:eastAsia="宋体" w:hint="default"/>
                <w:sz w:val="21"/>
                <w:szCs w:val="21"/>
              </w:rPr>
            </w:pPr>
            <w:r>
              <w:rPr>
                <w:rFonts w:ascii="宋体"/>
                <w:sz w:val="21"/>
              </w:rPr>
              <w:t>0.28</w:t>
            </w:r>
          </w:p>
        </w:tc>
      </w:tr>
      <w:tr>
        <w:trPr>
          <w:trHeight w:val="57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47" w:right="44"/>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7"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0.64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1.18</w:t>
            </w:r>
          </w:p>
        </w:tc>
      </w:tr>
    </w:tbl>
    <w:p>
      <w:pPr>
        <w:spacing w:after="0" w:line="240" w:lineRule="auto"/>
        <w:jc w:val="right"/>
        <w:rPr>
          <w:rFonts w:ascii="宋体" w:hAnsi="宋体" w:cs="宋体" w:eastAsia="宋体" w:hint="default"/>
          <w:sz w:val="21"/>
          <w:szCs w:val="21"/>
        </w:rPr>
        <w:sectPr>
          <w:footerReference w:type="default" r:id="rId17"/>
          <w:pgSz w:w="11910" w:h="16840"/>
          <w:pgMar w:footer="0" w:header="752" w:top="1020" w:bottom="0" w:left="11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3"/>
        <w:spacing w:line="357" w:lineRule="auto" w:before="26"/>
        <w:ind w:right="1755" w:firstLine="480"/>
        <w:jc w:val="both"/>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6"/>
        </w:rPr>
        <w:t> </w:t>
      </w:r>
      <w:r>
        <w:rPr/>
        <w:t>根据中国证监会关于发布《公开发行证券公司信息披露编报规则》第</w:t>
      </w:r>
      <w:r>
        <w:rPr>
          <w:rFonts w:ascii="宋体" w:hAnsi="宋体" w:cs="宋体" w:eastAsia="宋体" w:hint="default"/>
        </w:rPr>
        <w:t>9</w:t>
      </w:r>
      <w:r>
        <w:rPr/>
        <w:t>号通 </w:t>
      </w:r>
      <w:r>
        <w:rPr>
          <w:spacing w:val="-1"/>
        </w:rPr>
        <w:t>知精神，公司</w:t>
      </w:r>
      <w:r>
        <w:rPr>
          <w:rFonts w:ascii="宋体" w:hAnsi="宋体" w:cs="宋体" w:eastAsia="宋体" w:hint="default"/>
          <w:spacing w:val="-1"/>
        </w:rPr>
        <w:t>2010</w:t>
      </w:r>
      <w:r>
        <w:rPr>
          <w:spacing w:val="-1"/>
        </w:rPr>
        <w:t>年按全面摊薄和加权平均法计算的净资产收益率和每股收益计算如</w:t>
      </w:r>
      <w:r>
        <w:rPr>
          <w:spacing w:val="-118"/>
        </w:rPr>
        <w:t> </w:t>
      </w:r>
      <w:r>
        <w:rPr/>
        <w:t>下：</w:t>
      </w:r>
    </w:p>
    <w:p>
      <w:pPr>
        <w:spacing w:line="240" w:lineRule="auto" w:before="3"/>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3361"/>
        <w:gridCol w:w="1829"/>
        <w:gridCol w:w="1673"/>
        <w:gridCol w:w="1678"/>
      </w:tblGrid>
      <w:tr>
        <w:trPr>
          <w:trHeight w:val="578" w:hRule="exact"/>
        </w:trPr>
        <w:tc>
          <w:tcPr>
            <w:tcW w:w="3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5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本年数</w:t>
            </w:r>
          </w:p>
        </w:tc>
      </w:tr>
      <w:tr>
        <w:trPr>
          <w:trHeight w:val="576" w:hRule="exact"/>
        </w:trPr>
        <w:tc>
          <w:tcPr>
            <w:tcW w:w="3361" w:type="dxa"/>
            <w:vMerge/>
            <w:tcBorders>
              <w:left w:val="single" w:sz="4" w:space="0" w:color="000000"/>
              <w:right w:val="single" w:sz="4" w:space="0" w:color="000000"/>
            </w:tcBorders>
          </w:tcPr>
          <w:p>
            <w:pP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8" w:right="144" w:firstLine="2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pacing w:val="-54"/>
                <w:sz w:val="21"/>
                <w:szCs w:val="21"/>
              </w:rPr>
              <w:t> </w:t>
            </w:r>
            <w:r>
              <w:rPr>
                <w:rFonts w:ascii="宋体" w:hAnsi="宋体" w:cs="宋体" w:eastAsia="宋体" w:hint="default"/>
                <w:sz w:val="21"/>
                <w:szCs w:val="21"/>
              </w:rPr>
              <w:t>ROE</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5"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pacing w:val="-54"/>
                <w:sz w:val="21"/>
                <w:szCs w:val="21"/>
              </w:rPr>
              <w:t> </w:t>
            </w:r>
            <w:r>
              <w:rPr>
                <w:rFonts w:ascii="宋体" w:hAnsi="宋体" w:cs="宋体" w:eastAsia="宋体" w:hint="default"/>
                <w:sz w:val="21"/>
                <w:szCs w:val="21"/>
              </w:rPr>
              <w:t>EPS</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576" w:hRule="exact"/>
        </w:trPr>
        <w:tc>
          <w:tcPr>
            <w:tcW w:w="3361"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515" w:right="511"/>
              <w:jc w:val="left"/>
              <w:rPr>
                <w:rFonts w:ascii="宋体" w:hAnsi="宋体" w:cs="宋体" w:eastAsia="宋体" w:hint="default"/>
                <w:sz w:val="21"/>
                <w:szCs w:val="21"/>
              </w:rPr>
            </w:pPr>
            <w:r>
              <w:rPr>
                <w:rFonts w:ascii="宋体" w:hAnsi="宋体" w:cs="宋体" w:eastAsia="宋体" w:hint="default"/>
                <w:sz w:val="21"/>
                <w:szCs w:val="21"/>
              </w:rPr>
              <w:t>基本每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518" w:right="515"/>
              <w:jc w:val="left"/>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r>
      <w:tr>
        <w:trPr>
          <w:trHeight w:val="579"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4"/>
                <w:szCs w:val="24"/>
              </w:rPr>
            </w:pPr>
            <w:r>
              <w:rPr>
                <w:rFonts w:ascii="宋体"/>
                <w:sz w:val="24"/>
              </w:rPr>
              <w:t>-40.83%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4"/>
                <w:szCs w:val="24"/>
              </w:rPr>
            </w:pPr>
            <w:r>
              <w:rPr>
                <w:rFonts w:ascii="宋体"/>
                <w:sz w:val="24"/>
              </w:rPr>
              <w:t>-0.34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4"/>
                <w:szCs w:val="24"/>
              </w:rPr>
            </w:pPr>
            <w:r>
              <w:rPr>
                <w:rFonts w:ascii="宋体"/>
                <w:sz w:val="24"/>
              </w:rPr>
              <w:t>-0.34</w:t>
            </w:r>
          </w:p>
        </w:tc>
      </w:tr>
      <w:tr>
        <w:trPr>
          <w:trHeight w:val="7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9" w:right="199" w:hanging="52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4"/>
                <w:szCs w:val="24"/>
              </w:rPr>
            </w:pPr>
            <w:r>
              <w:rPr>
                <w:rFonts w:ascii="宋体"/>
                <w:sz w:val="24"/>
              </w:rPr>
              <w:t>-40.34%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4"/>
                <w:szCs w:val="24"/>
              </w:rPr>
            </w:pPr>
            <w:r>
              <w:rPr>
                <w:rFonts w:ascii="宋体"/>
                <w:sz w:val="24"/>
              </w:rPr>
              <w:t>-0.34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4"/>
                <w:szCs w:val="24"/>
              </w:rPr>
            </w:pPr>
            <w:r>
              <w:rPr>
                <w:rFonts w:ascii="宋体"/>
                <w:sz w:val="24"/>
              </w:rPr>
              <w:t>-0.34</w:t>
            </w:r>
          </w:p>
        </w:tc>
      </w:tr>
    </w:tbl>
    <w:p>
      <w:pPr>
        <w:spacing w:line="240" w:lineRule="auto" w:before="11"/>
        <w:rPr>
          <w:rFonts w:ascii="宋体" w:hAnsi="宋体" w:cs="宋体" w:eastAsia="宋体" w:hint="default"/>
          <w:sz w:val="23"/>
          <w:szCs w:val="23"/>
        </w:rPr>
      </w:pPr>
    </w:p>
    <w:tbl>
      <w:tblPr>
        <w:tblW w:w="0" w:type="auto"/>
        <w:jc w:val="left"/>
        <w:tblInd w:w="222" w:type="dxa"/>
        <w:tblLayout w:type="fixed"/>
        <w:tblCellMar>
          <w:top w:w="0" w:type="dxa"/>
          <w:left w:w="0" w:type="dxa"/>
          <w:bottom w:w="0" w:type="dxa"/>
          <w:right w:w="0" w:type="dxa"/>
        </w:tblCellMar>
        <w:tblLook w:val="01E0"/>
      </w:tblPr>
      <w:tblGrid>
        <w:gridCol w:w="3488"/>
        <w:gridCol w:w="1889"/>
        <w:gridCol w:w="1819"/>
        <w:gridCol w:w="1479"/>
      </w:tblGrid>
      <w:tr>
        <w:trPr>
          <w:trHeight w:val="566" w:hRule="exact"/>
        </w:trPr>
        <w:tc>
          <w:tcPr>
            <w:tcW w:w="34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51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69" w:hRule="exact"/>
        </w:trPr>
        <w:tc>
          <w:tcPr>
            <w:tcW w:w="3488" w:type="dxa"/>
            <w:vMerge/>
            <w:tcBorders>
              <w:left w:val="single" w:sz="4" w:space="0" w:color="000000"/>
              <w:right w:val="single" w:sz="4" w:space="0" w:color="000000"/>
            </w:tcBorders>
          </w:tcPr>
          <w:p>
            <w:pP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7" w:right="175" w:firstLine="2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pacing w:val="-53"/>
                <w:sz w:val="21"/>
                <w:szCs w:val="21"/>
              </w:rPr>
              <w:t> </w:t>
            </w:r>
            <w:r>
              <w:rPr>
                <w:rFonts w:ascii="宋体" w:hAnsi="宋体" w:cs="宋体" w:eastAsia="宋体" w:hint="default"/>
                <w:sz w:val="21"/>
                <w:szCs w:val="21"/>
              </w:rPr>
              <w:t>ROE</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66"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pacing w:val="-54"/>
                <w:sz w:val="21"/>
                <w:szCs w:val="21"/>
              </w:rPr>
              <w:t> </w:t>
            </w:r>
            <w:r>
              <w:rPr>
                <w:rFonts w:ascii="宋体" w:hAnsi="宋体" w:cs="宋体" w:eastAsia="宋体" w:hint="default"/>
                <w:sz w:val="21"/>
                <w:szCs w:val="21"/>
              </w:rPr>
              <w:t>EPS</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734" w:hRule="exact"/>
        </w:trPr>
        <w:tc>
          <w:tcPr>
            <w:tcW w:w="3488"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87" w:right="587"/>
              <w:jc w:val="left"/>
              <w:rPr>
                <w:rFonts w:ascii="宋体" w:hAnsi="宋体" w:cs="宋体" w:eastAsia="宋体" w:hint="default"/>
                <w:sz w:val="21"/>
                <w:szCs w:val="21"/>
              </w:rPr>
            </w:pPr>
            <w:r>
              <w:rPr>
                <w:rFonts w:ascii="宋体" w:hAnsi="宋体" w:cs="宋体" w:eastAsia="宋体" w:hint="default"/>
                <w:sz w:val="21"/>
                <w:szCs w:val="21"/>
              </w:rPr>
              <w:t>基本每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20" w:right="413"/>
              <w:jc w:val="left"/>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r>
      <w:tr>
        <w:trPr>
          <w:trHeight w:val="56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8" w:right="0"/>
              <w:jc w:val="left"/>
              <w:rPr>
                <w:rFonts w:ascii="宋体" w:hAnsi="宋体" w:cs="宋体" w:eastAsia="宋体" w:hint="default"/>
                <w:sz w:val="24"/>
                <w:szCs w:val="24"/>
              </w:rPr>
            </w:pPr>
            <w:r>
              <w:rPr>
                <w:rFonts w:ascii="宋体"/>
                <w:sz w:val="24"/>
              </w:rPr>
              <w:t>-15.58%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sz w:val="24"/>
              </w:rPr>
              <w:t>-0.16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sz w:val="24"/>
              </w:rPr>
              <w:t>-0.16</w:t>
            </w:r>
          </w:p>
        </w:tc>
      </w:tr>
      <w:tr>
        <w:trPr>
          <w:trHeight w:val="83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2"/>
              <w:ind w:left="899" w:right="158" w:hanging="73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18" w:right="0"/>
              <w:jc w:val="left"/>
              <w:rPr>
                <w:rFonts w:ascii="宋体" w:hAnsi="宋体" w:cs="宋体" w:eastAsia="宋体" w:hint="default"/>
                <w:sz w:val="24"/>
                <w:szCs w:val="24"/>
              </w:rPr>
            </w:pPr>
            <w:r>
              <w:rPr>
                <w:rFonts w:ascii="宋体"/>
                <w:sz w:val="24"/>
              </w:rPr>
              <w:t>-14.91%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4"/>
                <w:szCs w:val="24"/>
              </w:rPr>
            </w:pPr>
            <w:r>
              <w:rPr>
                <w:rFonts w:ascii="宋体"/>
                <w:sz w:val="24"/>
              </w:rPr>
              <w:t>-0.16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4"/>
                <w:szCs w:val="24"/>
              </w:rPr>
            </w:pPr>
            <w:r>
              <w:rPr>
                <w:rFonts w:ascii="宋体"/>
                <w:sz w:val="24"/>
              </w:rPr>
              <w:t>-0.16</w:t>
            </w:r>
          </w:p>
        </w:tc>
      </w:tr>
    </w:tbl>
    <w:p>
      <w:pPr>
        <w:spacing w:after="0" w:line="240" w:lineRule="auto"/>
        <w:jc w:val="center"/>
        <w:rPr>
          <w:rFonts w:ascii="宋体" w:hAnsi="宋体" w:cs="宋体" w:eastAsia="宋体" w:hint="default"/>
          <w:sz w:val="24"/>
          <w:szCs w:val="24"/>
        </w:rPr>
        <w:sectPr>
          <w:headerReference w:type="even" r:id="rId18"/>
          <w:headerReference w:type="default" r:id="rId19"/>
          <w:footerReference w:type="even" r:id="rId20"/>
          <w:footerReference w:type="default" r:id="rId21"/>
          <w:pgSz w:w="11910" w:h="16840"/>
          <w:pgMar w:header="752" w:footer="955" w:top="1020" w:bottom="1140" w:left="1160" w:right="0"/>
          <w:pgNumType w:start="6"/>
        </w:sectPr>
      </w:pPr>
    </w:p>
    <w:p>
      <w:pPr>
        <w:spacing w:line="240" w:lineRule="auto" w:before="6"/>
        <w:rPr>
          <w:rFonts w:ascii="宋体" w:hAnsi="宋体" w:cs="宋体" w:eastAsia="宋体" w:hint="default"/>
          <w:sz w:val="29"/>
          <w:szCs w:val="29"/>
        </w:rPr>
      </w:pPr>
    </w:p>
    <w:p>
      <w:pPr>
        <w:spacing w:before="14"/>
        <w:ind w:left="1738" w:right="1286" w:firstLine="0"/>
        <w:jc w:val="left"/>
        <w:rPr>
          <w:rFonts w:ascii="宋体" w:hAnsi="宋体" w:cs="宋体" w:eastAsia="宋体" w:hint="default"/>
          <w:sz w:val="28"/>
          <w:szCs w:val="28"/>
        </w:rPr>
      </w:pPr>
      <w:r>
        <w:rPr>
          <w:rFonts w:ascii="宋体" w:hAnsi="宋体" w:cs="宋体" w:eastAsia="宋体" w:hint="default"/>
          <w:b/>
          <w:bCs/>
          <w:sz w:val="28"/>
          <w:szCs w:val="28"/>
        </w:rPr>
        <w:t>三、股本变动及股东情况</w:t>
      </w:r>
      <w:r>
        <w:rPr>
          <w:rFonts w:ascii="宋体" w:hAnsi="宋体" w:cs="宋体" w:eastAsia="宋体" w:hint="default"/>
          <w:sz w:val="28"/>
          <w:szCs w:val="28"/>
        </w:rPr>
      </w:r>
    </w:p>
    <w:p>
      <w:pPr>
        <w:spacing w:before="187"/>
        <w:ind w:left="1657" w:right="1286" w:firstLine="0"/>
        <w:jc w:val="left"/>
        <w:rPr>
          <w:rFonts w:ascii="宋体" w:hAnsi="宋体" w:cs="宋体" w:eastAsia="宋体" w:hint="default"/>
          <w:sz w:val="24"/>
          <w:szCs w:val="24"/>
        </w:rPr>
      </w:pPr>
      <w:r>
        <w:rPr>
          <w:rFonts w:ascii="宋体" w:hAnsi="宋体" w:cs="宋体" w:eastAsia="宋体" w:hint="default"/>
          <w:sz w:val="24"/>
          <w:szCs w:val="24"/>
        </w:rPr>
        <w:t>（一）公司股本变动情况</w:t>
      </w:r>
    </w:p>
    <w:p>
      <w:pPr>
        <w:tabs>
          <w:tab w:pos="7658" w:val="left" w:leader="none"/>
        </w:tabs>
        <w:spacing w:before="154"/>
        <w:ind w:left="1657" w:right="1286" w:firstLine="0"/>
        <w:jc w:val="left"/>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z w:val="24"/>
          <w:szCs w:val="24"/>
        </w:rPr>
        <w:t>、股份变动情况表</w:t>
        <w:tab/>
      </w:r>
      <w:r>
        <w:rPr>
          <w:rFonts w:ascii="宋体" w:hAnsi="宋体" w:cs="宋体" w:eastAsia="宋体" w:hint="default"/>
          <w:sz w:val="21"/>
          <w:szCs w:val="21"/>
        </w:rPr>
        <w:t>数量单位：股</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992"/>
        <w:gridCol w:w="1253"/>
        <w:gridCol w:w="864"/>
        <w:gridCol w:w="722"/>
        <w:gridCol w:w="420"/>
        <w:gridCol w:w="944"/>
        <w:gridCol w:w="946"/>
        <w:gridCol w:w="946"/>
        <w:gridCol w:w="1261"/>
        <w:gridCol w:w="946"/>
      </w:tblGrid>
      <w:tr>
        <w:trPr>
          <w:trHeight w:val="540" w:hRule="exact"/>
        </w:trPr>
        <w:tc>
          <w:tcPr>
            <w:tcW w:w="199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tabs>
                <w:tab w:pos="1202"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2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77"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left="82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06"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90"/>
              <w:ind w:left="57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9" w:hRule="exact"/>
        </w:trPr>
        <w:tc>
          <w:tcPr>
            <w:tcW w:w="1992" w:type="dxa"/>
            <w:vMerge/>
            <w:tcBorders>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58,680</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0.01%</w:t>
            </w: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-58,680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58,680</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0.01%</w:t>
            </w: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-58,680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487,673,315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99.99%</w:t>
            </w: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58,680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100.00%</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487,673,315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99.99%</w:t>
            </w: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58,680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100.00%</w:t>
            </w:r>
          </w:p>
        </w:tc>
      </w:tr>
      <w:tr>
        <w:trPr>
          <w:trHeight w:val="41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487,731,995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100%</w:t>
            </w:r>
          </w:p>
        </w:tc>
        <w:tc>
          <w:tcPr>
            <w:tcW w:w="722"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100.00%</w:t>
            </w:r>
          </w:p>
        </w:tc>
      </w:tr>
    </w:tbl>
    <w:p>
      <w:pPr>
        <w:pStyle w:val="Heading3"/>
        <w:spacing w:line="240" w:lineRule="auto" w:before="79"/>
        <w:ind w:left="1657" w:right="1286"/>
        <w:jc w:val="left"/>
      </w:pPr>
      <w:r>
        <w:rPr>
          <w:rFonts w:ascii="宋体" w:hAnsi="宋体" w:cs="宋体" w:eastAsia="宋体" w:hint="default"/>
        </w:rPr>
        <w:t>2</w:t>
      </w:r>
      <w:r>
        <w:rPr/>
        <w:t>、限售股份变动情况表（单位：股）</w:t>
      </w:r>
    </w:p>
    <w:p>
      <w:pPr>
        <w:spacing w:line="240" w:lineRule="auto" w:before="11"/>
        <w:rPr>
          <w:rFonts w:ascii="宋体" w:hAnsi="宋体" w:cs="宋体" w:eastAsia="宋体" w:hint="default"/>
          <w:sz w:val="14"/>
          <w:szCs w:val="14"/>
        </w:rPr>
      </w:pPr>
    </w:p>
    <w:tbl>
      <w:tblPr>
        <w:tblW w:w="0" w:type="auto"/>
        <w:jc w:val="left"/>
        <w:tblInd w:w="1172" w:type="dxa"/>
        <w:tblLayout w:type="fixed"/>
        <w:tblCellMar>
          <w:top w:w="0" w:type="dxa"/>
          <w:left w:w="0" w:type="dxa"/>
          <w:bottom w:w="0" w:type="dxa"/>
          <w:right w:w="0" w:type="dxa"/>
        </w:tblCellMar>
        <w:tblLook w:val="01E0"/>
      </w:tblPr>
      <w:tblGrid>
        <w:gridCol w:w="1289"/>
        <w:gridCol w:w="1232"/>
        <w:gridCol w:w="1260"/>
        <w:gridCol w:w="1260"/>
        <w:gridCol w:w="1409"/>
        <w:gridCol w:w="1289"/>
        <w:gridCol w:w="1502"/>
      </w:tblGrid>
      <w:tr>
        <w:trPr>
          <w:trHeight w:val="61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295" w:right="291"/>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206" w:right="199"/>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309" w:right="94"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5"/>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9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张中平</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z w:val="21"/>
              </w:rPr>
              <w:t>10,560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z w:val="21"/>
              </w:rPr>
              <w:t>10,560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w w:val="100"/>
                <w:sz w:val="21"/>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2010.09.30</w:t>
            </w:r>
          </w:p>
        </w:tc>
      </w:tr>
      <w:tr>
        <w:trPr>
          <w:trHeight w:val="29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周和平</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z w:val="21"/>
              </w:rPr>
              <w:t>47,520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z w:val="21"/>
              </w:rPr>
              <w:t>47,520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w w:val="100"/>
                <w:sz w:val="21"/>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2010.07.29</w:t>
            </w:r>
          </w:p>
        </w:tc>
      </w:tr>
      <w:tr>
        <w:trPr>
          <w:trHeight w:val="29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余晓利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z w:val="21"/>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z w:val="21"/>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w w:val="100"/>
                <w:sz w:val="21"/>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2010.01.05</w:t>
            </w:r>
          </w:p>
        </w:tc>
      </w:tr>
      <w:tr>
        <w:trPr>
          <w:trHeight w:val="29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z w:val="21"/>
              </w:rPr>
              <w:t>58,680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z w:val="21"/>
              </w:rPr>
              <w:t>58,680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w w:val="100"/>
                <w:sz w:val="21"/>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3"/>
        <w:rPr>
          <w:rFonts w:ascii="宋体" w:hAnsi="宋体" w:cs="宋体" w:eastAsia="宋体" w:hint="default"/>
          <w:sz w:val="5"/>
          <w:szCs w:val="5"/>
        </w:rPr>
      </w:pPr>
    </w:p>
    <w:p>
      <w:pPr>
        <w:spacing w:before="26"/>
        <w:ind w:left="1657" w:right="128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、证券发行与上市情况</w:t>
      </w:r>
    </w:p>
    <w:p>
      <w:pPr>
        <w:spacing w:line="367" w:lineRule="auto" w:before="166"/>
        <w:ind w:left="1777" w:right="3049" w:hanging="1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）前三年历次证券发行情况 截止报告期末，公司近三年没有发生股票发行及上市的情况。</w:t>
      </w:r>
    </w:p>
    <w:p>
      <w:pPr>
        <w:spacing w:line="367" w:lineRule="auto" w:before="38"/>
        <w:ind w:left="1177" w:right="1286" w:firstLine="479"/>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2</w:t>
      </w:r>
      <w:r>
        <w:rPr>
          <w:rFonts w:ascii="宋体" w:hAnsi="宋体" w:cs="宋体" w:eastAsia="宋体" w:hint="default"/>
          <w:spacing w:val="2"/>
          <w:sz w:val="24"/>
          <w:szCs w:val="24"/>
        </w:rPr>
        <w:t>）报告期内公司没有因送股、转增股本、配股、增发新股、吸收合并、可转 </w:t>
      </w:r>
      <w:r>
        <w:rPr>
          <w:rFonts w:ascii="宋体" w:hAnsi="宋体" w:cs="宋体" w:eastAsia="宋体" w:hint="default"/>
          <w:spacing w:val="-1"/>
          <w:sz w:val="24"/>
          <w:szCs w:val="24"/>
        </w:rPr>
        <w:t>换公司债券转股、减资、内部职工股或公司职工股上市或其它原因引起公司股份总数</w:t>
      </w:r>
    </w:p>
    <w:p>
      <w:pPr>
        <w:spacing w:after="0" w:line="367" w:lineRule="auto"/>
        <w:jc w:val="left"/>
        <w:rPr>
          <w:rFonts w:ascii="宋体" w:hAnsi="宋体" w:cs="宋体" w:eastAsia="宋体" w:hint="default"/>
          <w:sz w:val="24"/>
          <w:szCs w:val="24"/>
        </w:rPr>
        <w:sectPr>
          <w:pgSz w:w="11910" w:h="16840"/>
          <w:pgMar w:header="752" w:footer="955" w:top="1020" w:bottom="1140" w:left="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26"/>
        <w:ind w:left="223" w:right="1740" w:firstLine="0"/>
        <w:jc w:val="left"/>
        <w:rPr>
          <w:rFonts w:ascii="宋体" w:hAnsi="宋体" w:cs="宋体" w:eastAsia="宋体" w:hint="default"/>
          <w:sz w:val="24"/>
          <w:szCs w:val="24"/>
        </w:rPr>
      </w:pPr>
      <w:r>
        <w:rPr>
          <w:rFonts w:ascii="宋体" w:hAnsi="宋体" w:cs="宋体" w:eastAsia="宋体" w:hint="default"/>
          <w:sz w:val="24"/>
          <w:szCs w:val="24"/>
        </w:rPr>
        <w:t>变动。</w:t>
      </w:r>
    </w:p>
    <w:p>
      <w:pPr>
        <w:spacing w:before="166"/>
        <w:ind w:left="703" w:right="174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）公司无内部职工股。</w:t>
      </w:r>
    </w:p>
    <w:p>
      <w:pPr>
        <w:spacing w:line="367" w:lineRule="auto" w:before="166"/>
        <w:ind w:left="703" w:right="7583" w:hanging="240"/>
        <w:jc w:val="left"/>
        <w:rPr>
          <w:rFonts w:ascii="宋体" w:hAnsi="宋体" w:cs="宋体" w:eastAsia="宋体" w:hint="default"/>
          <w:sz w:val="24"/>
          <w:szCs w:val="24"/>
        </w:rPr>
      </w:pPr>
      <w:r>
        <w:rPr/>
        <w:pict>
          <v:shape style="position:absolute;margin-left:59.639999pt;margin-top:51.115635pt;width:473.4pt;height:559.5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1680"/>
                    <w:gridCol w:w="286"/>
                    <w:gridCol w:w="735"/>
                    <w:gridCol w:w="1260"/>
                    <w:gridCol w:w="841"/>
                    <w:gridCol w:w="554"/>
                    <w:gridCol w:w="1260"/>
                  </w:tblGrid>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6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z w:val="21"/>
                            <w:szCs w:val="21"/>
                          </w:rPr>
                          <w:t>56,359</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406" w:hRule="exact"/>
                    </w:trPr>
                    <w:tc>
                      <w:tcPr>
                        <w:tcW w:w="94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55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5" w:right="0"/>
                          <w:jc w:val="left"/>
                          <w:rPr>
                            <w:rFonts w:ascii="宋体" w:hAnsi="宋体" w:cs="宋体" w:eastAsia="宋体" w:hint="default"/>
                            <w:sz w:val="21"/>
                            <w:szCs w:val="21"/>
                          </w:rPr>
                        </w:pPr>
                        <w:r>
                          <w:rPr>
                            <w:rFonts w:ascii="宋体"/>
                            <w:sz w:val="21"/>
                          </w:rPr>
                          <w:t>23.52%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114,690,754</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55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中国工商银行－诺安平衡证券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0" w:right="0"/>
                          <w:jc w:val="left"/>
                          <w:rPr>
                            <w:rFonts w:ascii="宋体" w:hAnsi="宋体" w:cs="宋体" w:eastAsia="宋体" w:hint="default"/>
                            <w:sz w:val="21"/>
                            <w:szCs w:val="21"/>
                          </w:rPr>
                        </w:pPr>
                        <w:r>
                          <w:rPr>
                            <w:rFonts w:ascii="宋体"/>
                            <w:sz w:val="21"/>
                          </w:rPr>
                          <w:t>3.14%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15,300,784</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1,702,249</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1,558,420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任碧芳</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1,308,880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1,200,000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顾群</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1,195,700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上官建国</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1,120,900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55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厦门国际信托有限公司</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凯瑞</w:t>
                        </w:r>
                        <w:r>
                          <w:rPr>
                            <w:rFonts w:ascii="宋体" w:hAnsi="宋体" w:cs="宋体" w:eastAsia="宋体" w:hint="default"/>
                            <w:sz w:val="21"/>
                            <w:szCs w:val="21"/>
                          </w:rPr>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投资二号集合资金信托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sz w:val="21"/>
                          </w:rPr>
                          <w:t>0.23%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1,100,000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1,060,000</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94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名无限售条件股东持股情况</w:t>
                        </w:r>
                      </w:p>
                    </w:tc>
                  </w:tr>
                  <w:tr>
                    <w:trPr>
                      <w:trHeight w:val="406"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9" w:right="0"/>
                          <w:jc w:val="left"/>
                          <w:rPr>
                            <w:rFonts w:ascii="宋体" w:hAnsi="宋体" w:cs="宋体" w:eastAsia="宋体" w:hint="default"/>
                            <w:sz w:val="21"/>
                            <w:szCs w:val="21"/>
                          </w:rPr>
                        </w:pPr>
                        <w:r>
                          <w:rPr>
                            <w:rFonts w:ascii="宋体"/>
                            <w:sz w:val="21"/>
                          </w:rPr>
                          <w:t>114,690,754</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中国工商银行－诺安平衡证券投资基金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52" w:right="0"/>
                          <w:jc w:val="left"/>
                          <w:rPr>
                            <w:rFonts w:ascii="宋体" w:hAnsi="宋体" w:cs="宋体" w:eastAsia="宋体" w:hint="default"/>
                            <w:sz w:val="21"/>
                            <w:szCs w:val="21"/>
                          </w:rPr>
                        </w:pPr>
                        <w:r>
                          <w:rPr>
                            <w:rFonts w:ascii="宋体"/>
                            <w:sz w:val="21"/>
                          </w:rPr>
                          <w:t>15,300,784</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1,702,249</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张春</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1,558,420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任碧芳</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1,308,880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1,200,000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顾群</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58" w:right="0"/>
                          <w:jc w:val="left"/>
                          <w:rPr>
                            <w:rFonts w:ascii="宋体" w:hAnsi="宋体" w:cs="宋体" w:eastAsia="宋体" w:hint="default"/>
                            <w:sz w:val="21"/>
                            <w:szCs w:val="21"/>
                          </w:rPr>
                        </w:pPr>
                        <w:r>
                          <w:rPr>
                            <w:rFonts w:ascii="宋体"/>
                            <w:sz w:val="21"/>
                          </w:rPr>
                          <w:t>1,195,700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上官建国</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1,120,900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厦门国际信托有限公司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凯瑞投资二号集合资金信托</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1,100,000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丁杰</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58" w:right="0"/>
                          <w:jc w:val="left"/>
                          <w:rPr>
                            <w:rFonts w:ascii="宋体" w:hAnsi="宋体" w:cs="宋体" w:eastAsia="宋体" w:hint="default"/>
                            <w:sz w:val="21"/>
                            <w:szCs w:val="21"/>
                          </w:rPr>
                        </w:pPr>
                        <w:r>
                          <w:rPr>
                            <w:rFonts w:ascii="宋体"/>
                            <w:sz w:val="21"/>
                          </w:rPr>
                          <w:t>1,060,000</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574"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6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公司未知上述股东之间是否存在关联关系或属于《上市公司股东持股变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p>
              </w:txbxContent>
            </v:textbox>
            <w10:wrap type="none"/>
          </v:shape>
        </w:pict>
      </w:r>
      <w:r>
        <w:rPr>
          <w:rFonts w:ascii="宋体" w:hAnsi="宋体" w:cs="宋体" w:eastAsia="宋体" w:hint="default"/>
          <w:sz w:val="24"/>
          <w:szCs w:val="24"/>
        </w:rPr>
        <w:t>（二）公司股东情况 </w:t>
      </w:r>
      <w:r>
        <w:rPr>
          <w:rFonts w:ascii="宋体" w:hAnsi="宋体" w:cs="宋体" w:eastAsia="宋体" w:hint="default"/>
          <w:sz w:val="24"/>
          <w:szCs w:val="24"/>
        </w:rPr>
        <w:t>1</w:t>
      </w:r>
      <w:r>
        <w:rPr>
          <w:rFonts w:ascii="宋体" w:hAnsi="宋体" w:cs="宋体" w:eastAsia="宋体" w:hint="default"/>
          <w:sz w:val="24"/>
          <w:szCs w:val="24"/>
        </w:rPr>
        <w:t>、公司股东和持股情况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26"/>
        <w:ind w:left="746" w:right="174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、公司控股股东及实际控制人介绍</w:t>
      </w:r>
    </w:p>
    <w:p>
      <w:pPr>
        <w:spacing w:after="0"/>
        <w:jc w:val="left"/>
        <w:rPr>
          <w:rFonts w:ascii="宋体" w:hAnsi="宋体" w:cs="宋体" w:eastAsia="宋体" w:hint="default"/>
          <w:sz w:val="24"/>
          <w:szCs w:val="24"/>
        </w:rPr>
        <w:sectPr>
          <w:pgSz w:w="11910" w:h="16840"/>
          <w:pgMar w:header="752" w:footer="955" w:top="1020" w:bottom="1140" w:left="1080" w:right="0"/>
        </w:sectPr>
      </w:pPr>
    </w:p>
    <w:p>
      <w:pPr>
        <w:spacing w:line="240" w:lineRule="auto" w:before="1"/>
        <w:rPr>
          <w:rFonts w:ascii="宋体" w:hAnsi="宋体" w:cs="宋体" w:eastAsia="宋体" w:hint="default"/>
          <w:sz w:val="29"/>
          <w:szCs w:val="29"/>
        </w:rPr>
      </w:pPr>
    </w:p>
    <w:p>
      <w:pPr>
        <w:spacing w:before="2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）报告期内公司控股股东、公司实际控制人未发生变更。</w:t>
      </w:r>
    </w:p>
    <w:p>
      <w:pPr>
        <w:spacing w:line="357" w:lineRule="auto" w:before="154"/>
        <w:ind w:left="1217" w:right="4489" w:hanging="60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）公司控股股东情况 控股股东公司名称：华立集团股份有限公司 法人代表：汪力成 注册资本：叁亿零叁佰叁拾捌万元人民币 成立日期：</w:t>
      </w:r>
      <w:r>
        <w:rPr>
          <w:rFonts w:ascii="宋体" w:hAnsi="宋体" w:cs="宋体" w:eastAsia="宋体" w:hint="default"/>
          <w:sz w:val="24"/>
          <w:szCs w:val="24"/>
        </w:rPr>
        <w:t>1999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w:t>
      </w:r>
    </w:p>
    <w:p>
      <w:pPr>
        <w:spacing w:line="357" w:lineRule="auto" w:before="36"/>
        <w:ind w:left="137" w:right="1166" w:firstLine="1079"/>
        <w:jc w:val="left"/>
        <w:rPr>
          <w:rFonts w:ascii="宋体" w:hAnsi="宋体" w:cs="宋体" w:eastAsia="宋体" w:hint="default"/>
          <w:sz w:val="24"/>
          <w:szCs w:val="24"/>
        </w:rPr>
      </w:pPr>
      <w:r>
        <w:rPr>
          <w:rFonts w:ascii="宋体" w:hAnsi="宋体" w:cs="宋体" w:eastAsia="宋体" w:hint="default"/>
          <w:spacing w:val="-2"/>
          <w:sz w:val="24"/>
          <w:szCs w:val="24"/>
        </w:rPr>
        <w:t>经营范围：实业投资，资产管理，国内和国际贸易，技术服务，管理咨询，</w:t>
      </w:r>
      <w:r>
        <w:rPr>
          <w:rFonts w:ascii="宋体" w:hAnsi="宋体" w:cs="宋体" w:eastAsia="宋体" w:hint="default"/>
          <w:sz w:val="24"/>
          <w:szCs w:val="24"/>
        </w:rPr>
        <w:t> 设备租赁，燃料油（不含成品油）的销售。</w:t>
      </w:r>
    </w:p>
    <w:p>
      <w:pPr>
        <w:spacing w:line="357" w:lineRule="auto" w:before="37"/>
        <w:ind w:left="1094" w:right="5452" w:hanging="47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）实际控制人情况 实际控制人姓名：汪力成 国籍：中国 是否取得其他国家或地区居留权</w:t>
      </w:r>
      <w:r>
        <w:rPr>
          <w:rFonts w:ascii="宋体" w:hAnsi="宋体" w:cs="宋体" w:eastAsia="宋体" w:hint="default"/>
          <w:sz w:val="24"/>
          <w:szCs w:val="24"/>
        </w:rPr>
        <w:t>:</w:t>
      </w:r>
      <w:r>
        <w:rPr>
          <w:rFonts w:ascii="宋体" w:hAnsi="宋体" w:cs="宋体" w:eastAsia="宋体" w:hint="default"/>
          <w:sz w:val="24"/>
          <w:szCs w:val="24"/>
        </w:rPr>
        <w:t>否 最近五年内职业：企业经营管理</w:t>
      </w:r>
    </w:p>
    <w:p>
      <w:pPr>
        <w:spacing w:before="36"/>
        <w:ind w:left="1094" w:right="1166" w:firstLine="0"/>
        <w:jc w:val="left"/>
        <w:rPr>
          <w:rFonts w:ascii="宋体" w:hAnsi="宋体" w:cs="宋体" w:eastAsia="宋体" w:hint="default"/>
          <w:sz w:val="24"/>
          <w:szCs w:val="24"/>
        </w:rPr>
      </w:pPr>
      <w:r>
        <w:rPr>
          <w:rFonts w:ascii="宋体" w:hAnsi="宋体" w:cs="宋体" w:eastAsia="宋体" w:hint="default"/>
          <w:sz w:val="24"/>
          <w:szCs w:val="24"/>
        </w:rPr>
        <w:t>最近五年内职务：华立集团股份公司董事局主席</w:t>
      </w:r>
    </w:p>
    <w:p>
      <w:pPr>
        <w:spacing w:before="154"/>
        <w:ind w:left="619"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）公司与实际控制人之间的产权及控制关系方框图</w:t>
      </w:r>
    </w:p>
    <w:p>
      <w:pPr>
        <w:spacing w:line="240" w:lineRule="auto" w:before="9"/>
        <w:rPr>
          <w:rFonts w:ascii="宋体" w:hAnsi="宋体" w:cs="宋体" w:eastAsia="宋体" w:hint="default"/>
          <w:sz w:val="26"/>
          <w:szCs w:val="26"/>
        </w:rPr>
      </w:pPr>
    </w:p>
    <w:p>
      <w:pPr>
        <w:spacing w:line="468" w:lineRule="exact"/>
        <w:ind w:left="76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10.25pt;height:23.4pt;mso-position-horizontal-relative:char;mso-position-vertical-relative:line" type="#_x0000_t202" filled="false" stroked="true" strokeweight=".75pt" strokecolor="#000000">
            <w10:anchorlock/>
            <v:textbox inset="0,0,0,0">
              <w:txbxContent>
                <w:p>
                  <w:pPr>
                    <w:spacing w:before="44"/>
                    <w:ind w:left="1" w:right="0" w:firstLine="0"/>
                    <w:jc w:val="center"/>
                    <w:rPr>
                      <w:rFonts w:ascii="宋体" w:hAnsi="宋体" w:cs="宋体" w:eastAsia="宋体" w:hint="default"/>
                      <w:sz w:val="18"/>
                      <w:szCs w:val="18"/>
                    </w:rPr>
                  </w:pPr>
                  <w:r>
                    <w:rPr>
                      <w:rFonts w:ascii="宋体" w:hAnsi="宋体" w:cs="宋体" w:eastAsia="宋体" w:hint="default"/>
                      <w:sz w:val="18"/>
                      <w:szCs w:val="18"/>
                    </w:rPr>
                    <w:t>汪力成</w:t>
                  </w:r>
                </w:p>
              </w:txbxContent>
            </v:textbox>
          </v:shape>
        </w:pict>
      </w:r>
      <w:r>
        <w:rPr>
          <w:rFonts w:ascii="宋体" w:hAnsi="宋体" w:cs="宋体" w:eastAsia="宋体" w:hint="default"/>
          <w:position w:val="-8"/>
          <w:sz w:val="20"/>
          <w:szCs w:val="20"/>
        </w:rPr>
      </w:r>
    </w:p>
    <w:p>
      <w:pPr>
        <w:spacing w:line="240" w:lineRule="auto" w:before="7"/>
        <w:rPr>
          <w:rFonts w:ascii="宋体" w:hAnsi="宋体" w:cs="宋体" w:eastAsia="宋体" w:hint="default"/>
          <w:sz w:val="9"/>
          <w:szCs w:val="9"/>
        </w:rPr>
      </w:pPr>
    </w:p>
    <w:p>
      <w:pPr>
        <w:pStyle w:val="BodyText"/>
        <w:spacing w:line="240" w:lineRule="auto" w:before="36"/>
        <w:ind w:left="1963" w:right="1166"/>
        <w:jc w:val="left"/>
        <w:rPr>
          <w:rFonts w:ascii="宋体" w:hAnsi="宋体" w:cs="宋体" w:eastAsia="宋体" w:hint="default"/>
        </w:rPr>
      </w:pPr>
      <w:r>
        <w:rPr/>
        <w:pict>
          <v:group style="position:absolute;margin-left:208.649994pt;margin-top:24.558674pt;width:231pt;height:92.2pt;mso-position-horizontal-relative:page;mso-position-vertical-relative:paragraph;z-index:-636568" coordorigin="4173,491" coordsize="4620,1844">
            <v:group style="position:absolute;left:6318;top:957;width:120;height:946" coordorigin="6318,957" coordsize="120,946">
              <v:shape style="position:absolute;left:6318;top:957;width:120;height:946" coordorigin="6318,957" coordsize="120,946" path="m6368,1783l6318,1783,6378,1903,6423,1813,6372,1813,6368,1808,6368,1783xe" filled="true" fillcolor="#000000" stroked="false">
                <v:path arrowok="t"/>
                <v:fill type="solid"/>
              </v:shape>
              <v:shape style="position:absolute;left:6318;top:957;width:120;height:946" coordorigin="6318,957" coordsize="120,946" path="m6384,957l6372,957,6368,961,6368,1808,6372,1813,6384,1813,6388,1808,6388,961,6384,957xe" filled="true" fillcolor="#000000" stroked="false">
                <v:path arrowok="t"/>
                <v:fill type="solid"/>
              </v:shape>
              <v:shape style="position:absolute;left:6318;top:957;width:120;height:946" coordorigin="6318,957" coordsize="120,946" path="m6438,1783l6388,1783,6388,1808,6384,1813,6423,1813,6438,1783xe" filled="true" fillcolor="#000000" stroked="false">
                <v:path arrowok="t"/>
                <v:fill type="solid"/>
              </v:shape>
            </v:group>
            <v:group style="position:absolute;left:5958;top:499;width:1260;height:468" coordorigin="5958,499" coordsize="1260,468">
              <v:shape style="position:absolute;left:5958;top:499;width:1260;height:468" coordorigin="5958,499" coordsize="1260,468" path="m5958,967l7218,967,7218,499,5958,499,5958,967xe" filled="false" stroked="true" strokeweight=".75pt" strokecolor="#000000">
                <v:path arrowok="t"/>
              </v:shape>
              <v:shape style="position:absolute;left:4173;top:1867;width:4620;height:468" type="#_x0000_t202" filled="false" stroked="true" strokeweight=".75pt" strokecolor="#000000">
                <v:textbox inset="0,0,0,0">
                  <w:txbxContent>
                    <w:p>
                      <w:pPr>
                        <w:spacing w:before="34"/>
                        <w:ind w:left="1102" w:right="0" w:firstLine="0"/>
                        <w:jc w:val="left"/>
                        <w:rPr>
                          <w:rFonts w:ascii="宋体" w:hAnsi="宋体" w:cs="宋体" w:eastAsia="宋体" w:hint="default"/>
                          <w:sz w:val="24"/>
                          <w:szCs w:val="24"/>
                        </w:rPr>
                      </w:pPr>
                      <w:r>
                        <w:rPr>
                          <w:rFonts w:ascii="宋体" w:hAnsi="宋体" w:cs="宋体" w:eastAsia="宋体" w:hint="default"/>
                          <w:sz w:val="24"/>
                          <w:szCs w:val="24"/>
                        </w:rPr>
                        <w:t>华立集团股份有限公司</w:t>
                      </w:r>
                    </w:p>
                  </w:txbxContent>
                </v:textbox>
                <w10:wrap type="none"/>
              </v:shape>
            </v:group>
            <w10:wrap type="none"/>
          </v:group>
        </w:pict>
      </w:r>
      <w:r>
        <w:rPr/>
        <w:pict>
          <v:group style="position:absolute;margin-left:168.899994pt;margin-top:-6.766325pt;width:6pt;height:29.9pt;mso-position-horizontal-relative:page;mso-position-vertical-relative:paragraph;z-index:-636544" coordorigin="3378,-135" coordsize="120,598">
            <v:shape style="position:absolute;left:3378;top:-135;width:120;height:598" coordorigin="3378,-135" coordsize="120,598" path="m3428,343l3378,343,3438,463,3483,373,3432,373,3428,368,3428,343xe" filled="true" fillcolor="#000000" stroked="false">
              <v:path arrowok="t"/>
              <v:fill type="solid"/>
            </v:shape>
            <v:shape style="position:absolute;left:3378;top:-135;width:120;height:598" coordorigin="3378,-135" coordsize="120,598" path="m3444,-135l3432,-135,3428,-131,3428,368,3432,373,3444,373,3448,368,3448,-131,3444,-135xe" filled="true" fillcolor="#000000" stroked="false">
              <v:path arrowok="t"/>
              <v:fill type="solid"/>
            </v:shape>
            <v:shape style="position:absolute;left:3378;top:-135;width:120;height:598" coordorigin="3378,-135" coordsize="120,598" path="m3498,343l3448,343,3448,368,3444,373,3483,373,3498,343xe" filled="true" fillcolor="#000000" stroked="false">
              <v:path arrowok="t"/>
              <v:fill type="solid"/>
            </v:shape>
            <w10:wrap type="none"/>
          </v:group>
        </w:pict>
      </w:r>
      <w:r>
        <w:rPr>
          <w:rFonts w:ascii="宋体"/>
        </w:rPr>
        <w:t>100%</w:t>
      </w:r>
    </w:p>
    <w:p>
      <w:pPr>
        <w:spacing w:line="240" w:lineRule="auto" w:before="0"/>
        <w:rPr>
          <w:rFonts w:ascii="宋体" w:hAnsi="宋体" w:cs="宋体" w:eastAsia="宋体" w:hint="default"/>
          <w:sz w:val="11"/>
          <w:szCs w:val="11"/>
        </w:rPr>
      </w:pPr>
    </w:p>
    <w:tbl>
      <w:tblPr>
        <w:tblW w:w="0" w:type="auto"/>
        <w:jc w:val="left"/>
        <w:tblInd w:w="760" w:type="dxa"/>
        <w:tblLayout w:type="fixed"/>
        <w:tblCellMar>
          <w:top w:w="0" w:type="dxa"/>
          <w:left w:w="0" w:type="dxa"/>
          <w:bottom w:w="0" w:type="dxa"/>
          <w:right w:w="0" w:type="dxa"/>
        </w:tblCellMar>
        <w:tblLook w:val="01E0"/>
      </w:tblPr>
      <w:tblGrid>
        <w:gridCol w:w="1050"/>
        <w:gridCol w:w="1365"/>
        <w:gridCol w:w="3360"/>
        <w:gridCol w:w="1365"/>
        <w:gridCol w:w="1155"/>
      </w:tblGrid>
      <w:tr>
        <w:trPr>
          <w:trHeight w:val="468" w:hRule="exact"/>
        </w:trPr>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浙江立成实业有限公司</w:t>
            </w:r>
          </w:p>
        </w:tc>
        <w:tc>
          <w:tcPr>
            <w:tcW w:w="336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15" w:right="0"/>
              <w:jc w:val="center"/>
              <w:rPr>
                <w:rFonts w:ascii="宋体" w:hAnsi="宋体" w:cs="宋体" w:eastAsia="宋体" w:hint="default"/>
                <w:sz w:val="18"/>
                <w:szCs w:val="18"/>
              </w:rPr>
            </w:pPr>
            <w:r>
              <w:rPr>
                <w:rFonts w:ascii="宋体" w:hAnsi="宋体" w:cs="宋体" w:eastAsia="宋体" w:hint="default"/>
                <w:sz w:val="18"/>
                <w:szCs w:val="18"/>
              </w:rPr>
              <w:t>汪力成</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5"/>
                <w:sz w:val="18"/>
                <w:szCs w:val="18"/>
              </w:rPr>
              <w:t> </w:t>
            </w:r>
            <w:r>
              <w:rPr>
                <w:rFonts w:ascii="宋体" w:hAnsi="宋体" w:cs="宋体" w:eastAsia="宋体" w:hint="default"/>
                <w:sz w:val="18"/>
                <w:szCs w:val="18"/>
              </w:rPr>
              <w:t>126</w:t>
            </w:r>
            <w:r>
              <w:rPr>
                <w:rFonts w:ascii="宋体" w:hAnsi="宋体" w:cs="宋体" w:eastAsia="宋体" w:hint="default"/>
                <w:spacing w:val="-45"/>
                <w:sz w:val="18"/>
                <w:szCs w:val="18"/>
              </w:rPr>
              <w:t> </w:t>
            </w:r>
            <w:r>
              <w:rPr>
                <w:rFonts w:ascii="宋体" w:hAnsi="宋体" w:cs="宋体" w:eastAsia="宋体" w:hint="default"/>
                <w:sz w:val="18"/>
                <w:szCs w:val="18"/>
              </w:rPr>
              <w:t>名自然人股东</w:t>
            </w:r>
          </w:p>
        </w:tc>
      </w:tr>
      <w:tr>
        <w:trPr>
          <w:trHeight w:val="504" w:hRule="exact"/>
        </w:trPr>
        <w:tc>
          <w:tcPr>
            <w:tcW w:w="1050" w:type="dxa"/>
            <w:tcBorders>
              <w:top w:val="single" w:sz="6" w:space="0" w:color="000000"/>
              <w:left w:val="nil" w:sz="6" w:space="0" w:color="auto"/>
              <w:bottom w:val="nil" w:sz="6" w:space="0" w:color="auto"/>
              <w:right w:val="single" w:sz="6" w:space="0" w:color="000000"/>
            </w:tcBorders>
          </w:tcPr>
          <w:p>
            <w:pP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973" w:val="left" w:leader="none"/>
                <w:tab w:pos="5073" w:val="left" w:leader="none"/>
              </w:tabs>
              <w:spacing w:line="240" w:lineRule="auto" w:before="30"/>
              <w:ind w:left="32" w:right="0"/>
              <w:jc w:val="left"/>
              <w:rPr>
                <w:rFonts w:ascii="宋体" w:hAnsi="宋体" w:cs="宋体" w:eastAsia="宋体" w:hint="default"/>
                <w:sz w:val="21"/>
                <w:szCs w:val="21"/>
              </w:rPr>
            </w:pPr>
            <w:r>
              <w:rPr>
                <w:rFonts w:ascii="宋体"/>
                <w:spacing w:val="-1"/>
                <w:position w:val="4"/>
                <w:sz w:val="21"/>
              </w:rPr>
              <w:t>48.0266%</w:t>
              <w:tab/>
            </w:r>
            <w:r>
              <w:rPr>
                <w:rFonts w:ascii="宋体"/>
                <w:sz w:val="21"/>
              </w:rPr>
              <w:t>5.549%</w:t>
              <w:tab/>
            </w:r>
            <w:r>
              <w:rPr>
                <w:rFonts w:ascii="宋体"/>
                <w:spacing w:val="-1"/>
                <w:sz w:val="21"/>
              </w:rPr>
              <w:t>46.4244%</w:t>
            </w:r>
          </w:p>
        </w:tc>
        <w:tc>
          <w:tcPr>
            <w:tcW w:w="1155" w:type="dxa"/>
            <w:tcBorders>
              <w:top w:val="single" w:sz="6" w:space="0" w:color="000000"/>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3839" w:right="3683"/>
        <w:jc w:val="center"/>
        <w:rPr>
          <w:rFonts w:ascii="宋体" w:hAnsi="宋体" w:cs="宋体" w:eastAsia="宋体" w:hint="default"/>
        </w:rPr>
      </w:pPr>
      <w:r>
        <w:rPr/>
        <w:pict>
          <v:group style="position:absolute;margin-left:320.399994pt;margin-top:-2.446334pt;width:6pt;height:23.9pt;mso-position-horizontal-relative:page;mso-position-vertical-relative:paragraph;z-index:-636616" coordorigin="6408,-49" coordsize="120,478">
            <v:shape style="position:absolute;left:6408;top:-49;width:120;height:478" coordorigin="6408,-49" coordsize="120,478" path="m6458,309l6408,309,6468,429,6513,339,6462,339,6458,335,6458,309xe" filled="true" fillcolor="#000000" stroked="false">
              <v:path arrowok="t"/>
              <v:fill type="solid"/>
            </v:shape>
            <v:shape style="position:absolute;left:6408;top:-49;width:120;height:478" coordorigin="6408,-49" coordsize="120,478" path="m6474,-49l6462,-49,6458,-45,6458,335,6462,339,6474,339,6478,335,6478,-45,6474,-49xe" filled="true" fillcolor="#000000" stroked="false">
              <v:path arrowok="t"/>
              <v:fill type="solid"/>
            </v:shape>
            <v:shape style="position:absolute;left:6408;top:-49;width:120;height:478" coordorigin="6408,-49" coordsize="120,478" path="m6528,309l6478,309,6478,335,6474,339,6513,339,6528,309xe" filled="true" fillcolor="#000000" stroked="false">
              <v:path arrowok="t"/>
              <v:fill type="solid"/>
            </v:shape>
            <w10:wrap type="none"/>
          </v:group>
        </w:pict>
      </w:r>
      <w:r>
        <w:rPr>
          <w:rFonts w:ascii="宋体"/>
        </w:rPr>
        <w:t>23.52%</w:t>
      </w:r>
    </w:p>
    <w:p>
      <w:pPr>
        <w:spacing w:line="240" w:lineRule="auto" w:before="13"/>
        <w:rPr>
          <w:rFonts w:ascii="宋体" w:hAnsi="宋体" w:cs="宋体" w:eastAsia="宋体" w:hint="default"/>
          <w:sz w:val="8"/>
          <w:szCs w:val="8"/>
        </w:rPr>
      </w:pPr>
    </w:p>
    <w:p>
      <w:pPr>
        <w:spacing w:line="468" w:lineRule="exact"/>
        <w:ind w:left="2553"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31pt;height:23.4pt;mso-position-horizontal-relative:char;mso-position-vertical-relative:line" type="#_x0000_t202" filled="false" stroked="true" strokeweight=".75pt" strokecolor="#000000">
            <w10:anchorlock/>
            <v:textbox inset="0,0,0,0">
              <w:txbxContent>
                <w:p>
                  <w:pPr>
                    <w:spacing w:before="33"/>
                    <w:ind w:left="382" w:right="0" w:firstLine="0"/>
                    <w:jc w:val="left"/>
                    <w:rPr>
                      <w:rFonts w:ascii="宋体" w:hAnsi="宋体" w:cs="宋体" w:eastAsia="宋体" w:hint="default"/>
                      <w:sz w:val="24"/>
                      <w:szCs w:val="24"/>
                    </w:rPr>
                  </w:pPr>
                  <w:r>
                    <w:rPr>
                      <w:rFonts w:ascii="宋体" w:hAnsi="宋体" w:cs="宋体" w:eastAsia="宋体" w:hint="default"/>
                      <w:sz w:val="24"/>
                      <w:szCs w:val="24"/>
                    </w:rPr>
                    <w:t>重庆华智控股股份有限公司</w:t>
                  </w:r>
                  <w:r>
                    <w:rPr>
                      <w:rFonts w:ascii="宋体" w:hAnsi="宋体" w:cs="宋体" w:eastAsia="宋体" w:hint="default"/>
                      <w:sz w:val="24"/>
                      <w:szCs w:val="24"/>
                    </w:rPr>
                    <w:t>(000607)</w:t>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sz w:val="15"/>
          <w:szCs w:val="15"/>
        </w:rPr>
      </w:pPr>
    </w:p>
    <w:p>
      <w:pPr>
        <w:spacing w:before="26"/>
        <w:ind w:left="617" w:right="116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、无其他持股比例在</w:t>
      </w:r>
      <w:r>
        <w:rPr>
          <w:rFonts w:ascii="宋体" w:hAnsi="宋体" w:cs="宋体" w:eastAsia="宋体" w:hint="default"/>
          <w:sz w:val="24"/>
          <w:szCs w:val="24"/>
        </w:rPr>
        <w:t>10%</w:t>
      </w:r>
      <w:r>
        <w:rPr>
          <w:rFonts w:ascii="宋体" w:hAnsi="宋体" w:cs="宋体" w:eastAsia="宋体" w:hint="default"/>
          <w:sz w:val="24"/>
          <w:szCs w:val="24"/>
        </w:rPr>
        <w:t>以上的法人股东</w:t>
      </w:r>
    </w:p>
    <w:p>
      <w:pPr>
        <w:spacing w:after="0"/>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14"/>
        <w:ind w:left="785" w:right="1740" w:firstLine="0"/>
        <w:jc w:val="left"/>
        <w:rPr>
          <w:rFonts w:ascii="宋体" w:hAnsi="宋体" w:cs="宋体" w:eastAsia="宋体" w:hint="default"/>
          <w:sz w:val="28"/>
          <w:szCs w:val="28"/>
        </w:rPr>
      </w:pPr>
      <w:r>
        <w:rPr>
          <w:rFonts w:ascii="宋体" w:hAnsi="宋体" w:cs="宋体" w:eastAsia="宋体" w:hint="default"/>
          <w:b/>
          <w:bCs/>
          <w:sz w:val="28"/>
          <w:szCs w:val="28"/>
        </w:rPr>
        <w:t>四、董事、监事、高级管理人员和员工情况</w:t>
      </w:r>
      <w:r>
        <w:rPr>
          <w:rFonts w:ascii="宋体" w:hAnsi="宋体" w:cs="宋体" w:eastAsia="宋体" w:hint="default"/>
          <w:sz w:val="28"/>
          <w:szCs w:val="28"/>
        </w:rPr>
      </w:r>
    </w:p>
    <w:p>
      <w:pPr>
        <w:spacing w:line="338" w:lineRule="auto" w:before="119"/>
        <w:ind w:left="706" w:right="4940" w:hanging="120"/>
        <w:jc w:val="left"/>
        <w:rPr>
          <w:rFonts w:ascii="宋体" w:hAnsi="宋体" w:cs="宋体" w:eastAsia="宋体" w:hint="default"/>
          <w:sz w:val="24"/>
          <w:szCs w:val="24"/>
        </w:rPr>
      </w:pPr>
      <w:r>
        <w:rPr>
          <w:rFonts w:ascii="宋体" w:hAnsi="宋体" w:cs="宋体" w:eastAsia="宋体" w:hint="default"/>
          <w:sz w:val="24"/>
          <w:szCs w:val="24"/>
        </w:rPr>
        <w:t>（一）公司董事、监事、高级管理人员 </w:t>
      </w:r>
      <w:r>
        <w:rPr>
          <w:rFonts w:ascii="宋体" w:hAnsi="宋体" w:cs="宋体" w:eastAsia="宋体" w:hint="default"/>
          <w:sz w:val="24"/>
          <w:szCs w:val="24"/>
        </w:rPr>
        <w:t>1</w:t>
      </w:r>
      <w:r>
        <w:rPr>
          <w:rFonts w:ascii="宋体" w:hAnsi="宋体" w:cs="宋体" w:eastAsia="宋体" w:hint="default"/>
          <w:sz w:val="24"/>
          <w:szCs w:val="24"/>
        </w:rPr>
        <w:t>、公司现任董事、监事、高级管理人员基本情况</w:t>
      </w:r>
    </w:p>
    <w:p>
      <w:pPr>
        <w:spacing w:line="240" w:lineRule="auto" w:before="9"/>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052"/>
        <w:gridCol w:w="523"/>
        <w:gridCol w:w="631"/>
        <w:gridCol w:w="1366"/>
        <w:gridCol w:w="1889"/>
        <w:gridCol w:w="948"/>
        <w:gridCol w:w="946"/>
        <w:gridCol w:w="841"/>
        <w:gridCol w:w="1469"/>
      </w:tblGrid>
      <w:tr>
        <w:trPr>
          <w:trHeight w:val="454" w:hRule="exact"/>
        </w:trPr>
        <w:tc>
          <w:tcPr>
            <w:tcW w:w="1052" w:type="dxa"/>
            <w:vMerge w:val="restart"/>
            <w:tcBorders>
              <w:top w:val="single" w:sz="6" w:space="0" w:color="000000"/>
              <w:left w:val="single" w:sz="6" w:space="0" w:color="000000"/>
              <w:right w:val="single" w:sz="6" w:space="0" w:color="000000"/>
            </w:tcBorders>
          </w:tcPr>
          <w:p>
            <w:pPr>
              <w:pStyle w:val="TableParagraph"/>
              <w:spacing w:line="240" w:lineRule="auto" w:before="150"/>
              <w:ind w:left="30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23" w:type="dxa"/>
            <w:vMerge w:val="restart"/>
            <w:tcBorders>
              <w:top w:val="single" w:sz="6" w:space="0" w:color="000000"/>
              <w:left w:val="single" w:sz="6" w:space="0" w:color="000000"/>
              <w:right w:val="single" w:sz="6" w:space="0" w:color="000000"/>
            </w:tcBorders>
          </w:tcPr>
          <w:p>
            <w:pPr>
              <w:pStyle w:val="TableParagraph"/>
              <w:spacing w:line="240" w:lineRule="auto" w:before="83"/>
              <w:ind w:left="148" w:right="146"/>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31" w:type="dxa"/>
            <w:vMerge w:val="restart"/>
            <w:tcBorders>
              <w:top w:val="single" w:sz="6" w:space="0" w:color="000000"/>
              <w:left w:val="single" w:sz="6" w:space="0" w:color="000000"/>
              <w:right w:val="single" w:sz="6" w:space="0" w:color="000000"/>
            </w:tcBorders>
          </w:tcPr>
          <w:p>
            <w:pPr>
              <w:pStyle w:val="TableParagraph"/>
              <w:spacing w:line="240" w:lineRule="auto" w:before="83"/>
              <w:ind w:left="203" w:right="19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50"/>
              <w:ind w:left="3"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89" w:type="dxa"/>
            <w:vMerge w:val="restart"/>
            <w:tcBorders>
              <w:top w:val="single" w:sz="6" w:space="0" w:color="000000"/>
              <w:left w:val="single" w:sz="6" w:space="0" w:color="000000"/>
              <w:right w:val="single" w:sz="6" w:space="0" w:color="000000"/>
            </w:tcBorders>
          </w:tcPr>
          <w:p>
            <w:pPr>
              <w:pStyle w:val="TableParagraph"/>
              <w:spacing w:line="240" w:lineRule="auto" w:before="150"/>
              <w:ind w:left="307"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2734" w:type="dxa"/>
            <w:gridSpan w:val="3"/>
            <w:tcBorders>
              <w:top w:val="single" w:sz="6" w:space="0" w:color="000000"/>
              <w:left w:val="single" w:sz="6" w:space="0" w:color="000000"/>
              <w:bottom w:val="single" w:sz="6" w:space="0" w:color="000000"/>
              <w:right w:val="single" w:sz="4" w:space="0" w:color="000000"/>
            </w:tcBorders>
          </w:tcPr>
          <w:p>
            <w:pPr>
              <w:pStyle w:val="TableParagraph"/>
              <w:spacing w:line="258" w:lineRule="exact"/>
              <w:ind w:left="623" w:right="0"/>
              <w:jc w:val="left"/>
              <w:rPr>
                <w:rFonts w:ascii="宋体" w:hAnsi="宋体" w:cs="宋体" w:eastAsia="宋体" w:hint="default"/>
                <w:sz w:val="21"/>
                <w:szCs w:val="21"/>
              </w:rPr>
            </w:pPr>
            <w:r>
              <w:rPr>
                <w:rFonts w:ascii="宋体" w:hAnsi="宋体" w:cs="宋体" w:eastAsia="宋体" w:hint="default"/>
                <w:sz w:val="21"/>
                <w:szCs w:val="21"/>
              </w:rPr>
              <w:t>持股情况（股）</w:t>
            </w:r>
          </w:p>
        </w:tc>
        <w:tc>
          <w:tcPr>
            <w:tcW w:w="1469" w:type="dxa"/>
            <w:vMerge w:val="restart"/>
            <w:tcBorders>
              <w:top w:val="single" w:sz="6" w:space="0" w:color="000000"/>
              <w:left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年度税前报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酬总额</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341" w:hRule="exact"/>
        </w:trPr>
        <w:tc>
          <w:tcPr>
            <w:tcW w:w="1052" w:type="dxa"/>
            <w:vMerge/>
            <w:tcBorders>
              <w:left w:val="single" w:sz="6" w:space="0" w:color="000000"/>
              <w:bottom w:val="single" w:sz="6" w:space="0" w:color="000000"/>
              <w:right w:val="single" w:sz="6" w:space="0" w:color="000000"/>
            </w:tcBorders>
          </w:tcPr>
          <w:p>
            <w:pPr/>
          </w:p>
        </w:tc>
        <w:tc>
          <w:tcPr>
            <w:tcW w:w="523" w:type="dxa"/>
            <w:vMerge/>
            <w:tcBorders>
              <w:left w:val="single" w:sz="6" w:space="0" w:color="000000"/>
              <w:bottom w:val="single" w:sz="6" w:space="0" w:color="000000"/>
              <w:right w:val="single" w:sz="6" w:space="0" w:color="000000"/>
            </w:tcBorders>
          </w:tcPr>
          <w:p>
            <w:pPr/>
          </w:p>
        </w:tc>
        <w:tc>
          <w:tcPr>
            <w:tcW w:w="631"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889" w:type="dxa"/>
            <w:vMerge/>
            <w:tcBorders>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z w:val="21"/>
                <w:szCs w:val="21"/>
              </w:rPr>
              <w:t>期初数</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469" w:type="dxa"/>
            <w:vMerge/>
            <w:tcBorders>
              <w:left w:val="single" w:sz="4" w:space="0" w:color="000000"/>
              <w:bottom w:val="single" w:sz="6" w:space="0" w:color="000000"/>
              <w:right w:val="single" w:sz="4" w:space="0" w:color="000000"/>
            </w:tcBorders>
          </w:tcPr>
          <w:p>
            <w:pP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刘浩军</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w:t>
            </w:r>
          </w:p>
        </w:tc>
      </w:tr>
      <w:tr>
        <w:trPr>
          <w:trHeight w:val="535"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郭峻峰</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sz w:val="21"/>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21"/>
                <w:szCs w:val="21"/>
              </w:rPr>
            </w:pPr>
            <w:r>
              <w:rPr>
                <w:rFonts w:ascii="宋体"/>
                <w:sz w:val="21"/>
              </w:rPr>
              <w:t>2010.09-2012.04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z w:val="21"/>
                <w:szCs w:val="21"/>
              </w:rPr>
              <w:t>（在子</w:t>
            </w:r>
          </w:p>
          <w:p>
            <w:pPr>
              <w:pStyle w:val="TableParagraph"/>
              <w:spacing w:line="274" w:lineRule="exact"/>
              <w:ind w:left="204" w:right="0"/>
              <w:jc w:val="center"/>
              <w:rPr>
                <w:rFonts w:ascii="宋体" w:hAnsi="宋体" w:cs="宋体" w:eastAsia="宋体" w:hint="default"/>
                <w:sz w:val="21"/>
                <w:szCs w:val="21"/>
              </w:rPr>
            </w:pPr>
            <w:r>
              <w:rPr>
                <w:rFonts w:ascii="宋体" w:hAnsi="宋体" w:cs="宋体" w:eastAsia="宋体" w:hint="default"/>
                <w:sz w:val="21"/>
                <w:szCs w:val="21"/>
              </w:rPr>
              <w:t>公司领取）</w:t>
            </w:r>
          </w:p>
        </w:tc>
      </w:tr>
      <w:tr>
        <w:trPr>
          <w:trHeight w:val="602"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熊</w:t>
              <w:tab/>
              <w:t>波</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03" w:right="0"/>
              <w:jc w:val="left"/>
              <w:rPr>
                <w:rFonts w:ascii="宋体" w:hAnsi="宋体" w:cs="宋体" w:eastAsia="宋体" w:hint="default"/>
                <w:sz w:val="21"/>
                <w:szCs w:val="21"/>
              </w:rPr>
            </w:pPr>
            <w:r>
              <w:rPr>
                <w:rFonts w:ascii="宋体"/>
                <w:sz w:val="21"/>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3"/>
              <w:ind w:left="100" w:right="74"/>
              <w:jc w:val="left"/>
              <w:rPr>
                <w:rFonts w:ascii="宋体" w:hAnsi="宋体" w:cs="宋体" w:eastAsia="宋体" w:hint="default"/>
                <w:sz w:val="21"/>
                <w:szCs w:val="21"/>
              </w:rPr>
            </w:pPr>
            <w:r>
              <w:rPr>
                <w:rFonts w:ascii="宋体" w:hAnsi="宋体" w:cs="宋体" w:eastAsia="宋体" w:hint="default"/>
                <w:spacing w:val="18"/>
                <w:sz w:val="21"/>
                <w:szCs w:val="21"/>
              </w:rPr>
              <w:t>董事、副总</w:t>
            </w:r>
            <w:r>
              <w:rPr>
                <w:rFonts w:ascii="宋体" w:hAnsi="宋体" w:cs="宋体" w:eastAsia="宋体" w:hint="default"/>
                <w:spacing w:val="-94"/>
                <w:sz w:val="21"/>
                <w:szCs w:val="21"/>
              </w:rPr>
              <w:t> </w:t>
            </w:r>
            <w:r>
              <w:rPr>
                <w:rFonts w:ascii="宋体" w:hAnsi="宋体" w:cs="宋体" w:eastAsia="宋体" w:hint="default"/>
                <w:sz w:val="21"/>
                <w:szCs w:val="21"/>
              </w:rPr>
              <w:t>裁、董秘</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sz w:val="21"/>
              </w:rPr>
              <w:t>2010.04-2012.04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17.50</w:t>
            </w:r>
          </w:p>
        </w:tc>
      </w:tr>
      <w:tr>
        <w:trPr>
          <w:trHeight w:val="339"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蔡晓利</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2010.09-2012.04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辛金国</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4" w:space="0" w:color="000000"/>
            </w:tcBorders>
          </w:tcPr>
          <w:p>
            <w:pPr/>
          </w:p>
        </w:tc>
        <w:tc>
          <w:tcPr>
            <w:tcW w:w="841" w:type="dxa"/>
            <w:tcBorders>
              <w:top w:val="single" w:sz="6" w:space="0" w:color="000000"/>
              <w:left w:val="single" w:sz="4" w:space="0" w:color="000000"/>
              <w:bottom w:val="single" w:sz="6" w:space="0" w:color="000000"/>
              <w:right w:val="single" w:sz="4" w:space="0" w:color="000000"/>
            </w:tcBorders>
          </w:tcPr>
          <w:p>
            <w:pP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w:t>
            </w:r>
          </w:p>
        </w:tc>
      </w:tr>
      <w:tr>
        <w:trPr>
          <w:trHeight w:val="338"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甘为民</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鹏</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sz w:val="21"/>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6.46</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杜学东</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r>
      <w:tr>
        <w:trPr>
          <w:trHeight w:val="338"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屠国良</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廖家辉</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sz w:val="21"/>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2010.02-2012.04</w:t>
            </w:r>
          </w:p>
        </w:tc>
        <w:tc>
          <w:tcPr>
            <w:tcW w:w="948"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4" w:space="0" w:color="000000"/>
            </w:tcBorders>
          </w:tcPr>
          <w:p>
            <w:pPr/>
          </w:p>
        </w:tc>
        <w:tc>
          <w:tcPr>
            <w:tcW w:w="841" w:type="dxa"/>
            <w:tcBorders>
              <w:top w:val="single" w:sz="6" w:space="0" w:color="000000"/>
              <w:left w:val="single" w:sz="4" w:space="0" w:color="000000"/>
              <w:bottom w:val="single" w:sz="6" w:space="0" w:color="000000"/>
              <w:right w:val="single" w:sz="4" w:space="0" w:color="000000"/>
            </w:tcBorders>
          </w:tcPr>
          <w:p>
            <w:pP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吕文华</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2010.04-2012.04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9.24</w:t>
            </w:r>
          </w:p>
        </w:tc>
      </w:tr>
      <w:tr>
        <w:trPr>
          <w:trHeight w:val="338"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w:t>
              <w:tab/>
              <w:t>艳</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r>
      <w:tr>
        <w:trPr>
          <w:trHeight w:val="341" w:hRule="exact"/>
        </w:trPr>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余晓利</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sz w:val="21"/>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2010.04-2012.04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800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w:t>
            </w:r>
          </w:p>
        </w:tc>
        <w:tc>
          <w:tcPr>
            <w:tcW w:w="841"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69"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9.13</w:t>
            </w:r>
          </w:p>
        </w:tc>
      </w:tr>
    </w:tbl>
    <w:p>
      <w:pPr>
        <w:spacing w:line="357" w:lineRule="auto" w:before="80"/>
        <w:ind w:left="706" w:right="1740" w:hanging="3"/>
        <w:jc w:val="left"/>
        <w:rPr>
          <w:rFonts w:ascii="宋体" w:hAnsi="宋体" w:cs="宋体" w:eastAsia="宋体" w:hint="default"/>
          <w:sz w:val="24"/>
          <w:szCs w:val="24"/>
        </w:rPr>
      </w:pPr>
      <w:r>
        <w:rPr>
          <w:rFonts w:ascii="宋体" w:hAnsi="宋体" w:cs="宋体" w:eastAsia="宋体" w:hint="default"/>
          <w:sz w:val="24"/>
          <w:szCs w:val="24"/>
        </w:rPr>
        <w:t>董事、监事在股东单位任职情况： </w:t>
      </w:r>
      <w:r>
        <w:rPr>
          <w:rFonts w:ascii="宋体" w:hAnsi="宋体" w:cs="宋体" w:eastAsia="宋体" w:hint="default"/>
          <w:spacing w:val="-2"/>
          <w:sz w:val="24"/>
          <w:szCs w:val="24"/>
        </w:rPr>
        <w:t>刘浩军任华立集团股份有限公司执行董事兼董事局秘书；蔡晓利任华立集团股份</w:t>
      </w:r>
    </w:p>
    <w:p>
      <w:pPr>
        <w:spacing w:line="357" w:lineRule="auto" w:before="36"/>
        <w:ind w:left="223" w:right="1740" w:firstLine="0"/>
        <w:jc w:val="left"/>
        <w:rPr>
          <w:rFonts w:ascii="宋体" w:hAnsi="宋体" w:cs="宋体" w:eastAsia="宋体" w:hint="default"/>
          <w:sz w:val="24"/>
          <w:szCs w:val="24"/>
        </w:rPr>
      </w:pPr>
      <w:r>
        <w:rPr>
          <w:rFonts w:ascii="宋体" w:hAnsi="宋体" w:cs="宋体" w:eastAsia="宋体" w:hint="default"/>
          <w:spacing w:val="-1"/>
          <w:sz w:val="24"/>
          <w:szCs w:val="24"/>
        </w:rPr>
        <w:t>有限公司营运管理部副部长；杜学东任华立集团股份有限公司审计部副部长兼主任审</w:t>
      </w:r>
      <w:r>
        <w:rPr>
          <w:rFonts w:ascii="宋体" w:hAnsi="宋体" w:cs="宋体" w:eastAsia="宋体" w:hint="default"/>
          <w:sz w:val="24"/>
          <w:szCs w:val="24"/>
        </w:rPr>
        <w:t> 计师；屠国良任华方医药科技有限公司财务负责人。</w:t>
      </w:r>
    </w:p>
    <w:p>
      <w:pPr>
        <w:spacing w:line="357" w:lineRule="auto" w:before="36"/>
        <w:ind w:left="703" w:right="2423" w:firstLine="2"/>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、报告期内董事、监事、高级管理人员变动情况 周和平因身体健康原因于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日辞去公司董事职务。 汪绍全因工作变动原因于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8</w:t>
      </w:r>
      <w:r>
        <w:rPr>
          <w:rFonts w:ascii="宋体" w:hAnsi="宋体" w:cs="宋体" w:eastAsia="宋体" w:hint="default"/>
          <w:sz w:val="24"/>
          <w:szCs w:val="24"/>
        </w:rPr>
        <w:t>日辞去公司监事、监事会主席职务。</w:t>
      </w:r>
    </w:p>
    <w:p>
      <w:pPr>
        <w:spacing w:line="357" w:lineRule="auto" w:before="36"/>
        <w:ind w:left="223" w:right="1740" w:firstLine="48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日召开</w:t>
      </w:r>
      <w:r>
        <w:rPr>
          <w:rFonts w:ascii="宋体" w:hAnsi="宋体" w:cs="宋体" w:eastAsia="宋体" w:hint="default"/>
          <w:sz w:val="24"/>
          <w:szCs w:val="24"/>
        </w:rPr>
        <w:t>2010</w:t>
      </w:r>
      <w:r>
        <w:rPr>
          <w:rFonts w:ascii="宋体" w:hAnsi="宋体" w:cs="宋体" w:eastAsia="宋体" w:hint="default"/>
          <w:sz w:val="24"/>
          <w:szCs w:val="24"/>
        </w:rPr>
        <w:t>年第一次临时股东大会选举廖家辉为公司第六届监</w:t>
      </w:r>
      <w:r>
        <w:rPr>
          <w:rFonts w:ascii="宋体" w:hAnsi="宋体" w:cs="宋体" w:eastAsia="宋体" w:hint="default"/>
          <w:spacing w:val="2"/>
          <w:sz w:val="24"/>
          <w:szCs w:val="24"/>
        </w:rPr>
        <w:t> </w:t>
      </w:r>
      <w:r>
        <w:rPr>
          <w:rFonts w:ascii="宋体" w:hAnsi="宋体" w:cs="宋体" w:eastAsia="宋体" w:hint="default"/>
          <w:sz w:val="24"/>
          <w:szCs w:val="24"/>
        </w:rPr>
        <w:t>事会监事。</w:t>
      </w:r>
    </w:p>
    <w:p>
      <w:pPr>
        <w:spacing w:line="357" w:lineRule="auto" w:before="36"/>
        <w:ind w:left="703" w:right="1741"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日召开六届五次监事会选举杜学东为公司第六届监事会主席。 张中平因工作变动原因于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日辞去公司财务总监职务。 </w:t>
      </w:r>
      <w:r>
        <w:rPr>
          <w:rFonts w:ascii="宋体" w:hAnsi="宋体" w:cs="宋体" w:eastAsia="宋体" w:hint="default"/>
          <w:spacing w:val="-1"/>
          <w:sz w:val="24"/>
          <w:szCs w:val="24"/>
        </w:rPr>
        <w:t>余晓利因工作变动辞去职工监事一职，</w:t>
      </w:r>
      <w:r>
        <w:rPr>
          <w:rFonts w:ascii="宋体" w:hAnsi="宋体" w:cs="宋体" w:eastAsia="宋体" w:hint="default"/>
          <w:spacing w:val="-1"/>
          <w:sz w:val="24"/>
          <w:szCs w:val="24"/>
        </w:rPr>
        <w:t>2010</w:t>
      </w:r>
      <w:r>
        <w:rPr>
          <w:rFonts w:ascii="宋体" w:hAnsi="宋体" w:cs="宋体" w:eastAsia="宋体" w:hint="default"/>
          <w:spacing w:val="-1"/>
          <w:sz w:val="24"/>
          <w:szCs w:val="24"/>
        </w:rPr>
        <w:t>年</w:t>
      </w:r>
      <w:r>
        <w:rPr>
          <w:rFonts w:ascii="宋体" w:hAnsi="宋体" w:cs="宋体" w:eastAsia="宋体" w:hint="default"/>
          <w:spacing w:val="-1"/>
          <w:sz w:val="24"/>
          <w:szCs w:val="24"/>
        </w:rPr>
        <w:t>4</w:t>
      </w:r>
      <w:r>
        <w:rPr>
          <w:rFonts w:ascii="宋体" w:hAnsi="宋体" w:cs="宋体" w:eastAsia="宋体" w:hint="default"/>
          <w:spacing w:val="-1"/>
          <w:sz w:val="24"/>
          <w:szCs w:val="24"/>
        </w:rPr>
        <w:t>月</w:t>
      </w:r>
      <w:r>
        <w:rPr>
          <w:rFonts w:ascii="宋体" w:hAnsi="宋体" w:cs="宋体" w:eastAsia="宋体" w:hint="default"/>
          <w:spacing w:val="-1"/>
          <w:sz w:val="24"/>
          <w:szCs w:val="24"/>
        </w:rPr>
        <w:t>7</w:t>
      </w:r>
      <w:r>
        <w:rPr>
          <w:rFonts w:ascii="宋体" w:hAnsi="宋体" w:cs="宋体" w:eastAsia="宋体" w:hint="default"/>
          <w:spacing w:val="-1"/>
          <w:sz w:val="24"/>
          <w:szCs w:val="24"/>
        </w:rPr>
        <w:t>日经公司职工代表大会选举吕</w:t>
      </w:r>
    </w:p>
    <w:p>
      <w:pPr>
        <w:spacing w:line="357" w:lineRule="auto" w:before="36"/>
        <w:ind w:left="703" w:right="2663" w:hanging="480"/>
        <w:jc w:val="left"/>
        <w:rPr>
          <w:rFonts w:ascii="宋体" w:hAnsi="宋体" w:cs="宋体" w:eastAsia="宋体" w:hint="default"/>
          <w:sz w:val="24"/>
          <w:szCs w:val="24"/>
        </w:rPr>
      </w:pPr>
      <w:r>
        <w:rPr>
          <w:rFonts w:ascii="宋体" w:hAnsi="宋体" w:cs="宋体" w:eastAsia="宋体" w:hint="default"/>
          <w:sz w:val="24"/>
          <w:szCs w:val="24"/>
        </w:rPr>
        <w:t>文华为公司职工代表监事。 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8</w:t>
      </w:r>
      <w:r>
        <w:rPr>
          <w:rFonts w:ascii="宋体" w:hAnsi="宋体" w:cs="宋体" w:eastAsia="宋体" w:hint="default"/>
          <w:sz w:val="24"/>
          <w:szCs w:val="24"/>
        </w:rPr>
        <w:t>日召开六届九次董事会，聘任余晓利为公司财务总监。</w:t>
      </w:r>
    </w:p>
    <w:p>
      <w:pPr>
        <w:spacing w:after="0" w:line="357" w:lineRule="auto"/>
        <w:jc w:val="left"/>
        <w:rPr>
          <w:rFonts w:ascii="宋体" w:hAnsi="宋体" w:cs="宋体" w:eastAsia="宋体" w:hint="default"/>
          <w:sz w:val="24"/>
          <w:szCs w:val="24"/>
        </w:rPr>
        <w:sectPr>
          <w:pgSz w:w="11910" w:h="16840"/>
          <w:pgMar w:header="752" w:footer="955" w:top="1020" w:bottom="1140" w:left="1080" w:right="0"/>
        </w:sectPr>
      </w:pPr>
    </w:p>
    <w:p>
      <w:pPr>
        <w:spacing w:line="240" w:lineRule="auto" w:before="1"/>
        <w:rPr>
          <w:rFonts w:ascii="宋体" w:hAnsi="宋体" w:cs="宋体" w:eastAsia="宋体" w:hint="default"/>
          <w:sz w:val="29"/>
          <w:szCs w:val="29"/>
        </w:rPr>
      </w:pPr>
    </w:p>
    <w:p>
      <w:pPr>
        <w:spacing w:line="357" w:lineRule="auto" w:before="26"/>
        <w:ind w:left="617" w:right="1249"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日召开</w:t>
      </w:r>
      <w:r>
        <w:rPr>
          <w:rFonts w:ascii="宋体" w:hAnsi="宋体" w:cs="宋体" w:eastAsia="宋体" w:hint="default"/>
          <w:sz w:val="24"/>
          <w:szCs w:val="24"/>
        </w:rPr>
        <w:t>2009</w:t>
      </w:r>
      <w:r>
        <w:rPr>
          <w:rFonts w:ascii="宋体" w:hAnsi="宋体" w:cs="宋体" w:eastAsia="宋体" w:hint="default"/>
          <w:sz w:val="24"/>
          <w:szCs w:val="24"/>
        </w:rPr>
        <w:t>年年度股东大会选举熊波为公司第六届董事会董事。 因公司进行资产业务调整，刘小斌、何勤于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日辞去公司董事职务。</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21</w:t>
      </w:r>
      <w:r>
        <w:rPr>
          <w:rFonts w:ascii="宋体" w:hAnsi="宋体" w:cs="宋体" w:eastAsia="宋体" w:hint="default"/>
          <w:sz w:val="24"/>
          <w:szCs w:val="24"/>
        </w:rPr>
        <w:t>日召开</w:t>
      </w:r>
      <w:r>
        <w:rPr>
          <w:rFonts w:ascii="宋体" w:hAnsi="宋体" w:cs="宋体" w:eastAsia="宋体" w:hint="default"/>
          <w:sz w:val="24"/>
          <w:szCs w:val="24"/>
        </w:rPr>
        <w:t>2010</w:t>
      </w:r>
      <w:r>
        <w:rPr>
          <w:rFonts w:ascii="宋体" w:hAnsi="宋体" w:cs="宋体" w:eastAsia="宋体" w:hint="default"/>
          <w:sz w:val="24"/>
          <w:szCs w:val="24"/>
        </w:rPr>
        <w:t>年第二次临时股东大会选举郭峻峰、蔡晓利为公司</w:t>
      </w:r>
      <w:r>
        <w:rPr>
          <w:rFonts w:ascii="宋体" w:hAnsi="宋体" w:cs="宋体" w:eastAsia="宋体" w:hint="default"/>
          <w:spacing w:val="2"/>
          <w:sz w:val="24"/>
          <w:szCs w:val="24"/>
        </w:rPr>
        <w:t> </w:t>
      </w:r>
      <w:r>
        <w:rPr>
          <w:rFonts w:ascii="宋体" w:hAnsi="宋体" w:cs="宋体" w:eastAsia="宋体" w:hint="default"/>
          <w:sz w:val="24"/>
          <w:szCs w:val="24"/>
        </w:rPr>
        <w:t>第六届董事会董事，召开六届十二次董事会选举刘浩军为公司董事长。</w:t>
      </w:r>
    </w:p>
    <w:p>
      <w:pPr>
        <w:spacing w:line="357" w:lineRule="auto" w:before="36"/>
        <w:ind w:left="137" w:right="1296" w:firstLine="479"/>
        <w:jc w:val="both"/>
        <w:rPr>
          <w:rFonts w:ascii="宋体" w:hAnsi="宋体" w:cs="宋体" w:eastAsia="宋体" w:hint="default"/>
          <w:sz w:val="24"/>
          <w:szCs w:val="24"/>
        </w:rPr>
      </w:pPr>
      <w:r>
        <w:rPr>
          <w:rFonts w:ascii="宋体" w:hAnsi="宋体" w:cs="宋体" w:eastAsia="宋体" w:hint="default"/>
          <w:sz w:val="24"/>
          <w:szCs w:val="24"/>
        </w:rPr>
        <w:t>因公司进行资产调整，逯春明、刘永源于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日分别辞去公司总裁、副</w:t>
      </w:r>
      <w:r>
        <w:rPr>
          <w:rFonts w:ascii="宋体" w:hAnsi="宋体" w:cs="宋体" w:eastAsia="宋体" w:hint="default"/>
          <w:spacing w:val="2"/>
          <w:sz w:val="24"/>
          <w:szCs w:val="24"/>
        </w:rPr>
        <w:t> </w:t>
      </w:r>
      <w:r>
        <w:rPr>
          <w:rFonts w:ascii="宋体" w:hAnsi="宋体" w:cs="宋体" w:eastAsia="宋体" w:hint="default"/>
          <w:sz w:val="24"/>
          <w:szCs w:val="24"/>
        </w:rPr>
        <w:t>总裁职务。宋大捷先生因个人原因辞去董事会秘书职务。公司</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日召开六</w:t>
      </w:r>
      <w:r>
        <w:rPr>
          <w:rFonts w:ascii="宋体" w:hAnsi="宋体" w:cs="宋体" w:eastAsia="宋体" w:hint="default"/>
          <w:spacing w:val="-47"/>
          <w:sz w:val="24"/>
          <w:szCs w:val="24"/>
        </w:rPr>
        <w:t> </w:t>
      </w:r>
      <w:r>
        <w:rPr>
          <w:rFonts w:ascii="宋体" w:hAnsi="宋体" w:cs="宋体" w:eastAsia="宋体" w:hint="default"/>
          <w:sz w:val="24"/>
          <w:szCs w:val="24"/>
        </w:rPr>
        <w:t>届十五次董事会，聘任郭峻峰为公司总裁、熊波为公司副总裁兼董事会秘书。</w:t>
      </w:r>
    </w:p>
    <w:p>
      <w:pPr>
        <w:spacing w:line="357" w:lineRule="auto" w:before="36"/>
        <w:ind w:left="137" w:right="1302" w:firstLine="479"/>
        <w:jc w:val="both"/>
        <w:rPr>
          <w:rFonts w:ascii="宋体" w:hAnsi="宋体" w:cs="宋体" w:eastAsia="宋体" w:hint="default"/>
          <w:sz w:val="24"/>
          <w:szCs w:val="24"/>
        </w:rPr>
      </w:pPr>
      <w:r>
        <w:rPr>
          <w:rFonts w:ascii="宋体" w:hAnsi="宋体" w:cs="宋体" w:eastAsia="宋体" w:hint="default"/>
          <w:spacing w:val="-1"/>
          <w:sz w:val="24"/>
          <w:szCs w:val="24"/>
        </w:rPr>
        <w:t>3</w:t>
      </w:r>
      <w:r>
        <w:rPr>
          <w:rFonts w:ascii="宋体" w:hAnsi="宋体" w:cs="宋体" w:eastAsia="宋体" w:hint="default"/>
          <w:spacing w:val="-1"/>
          <w:sz w:val="24"/>
          <w:szCs w:val="24"/>
        </w:rPr>
        <w:t>、公司现任董事、监事、高级管理人员最近</w:t>
      </w:r>
      <w:r>
        <w:rPr>
          <w:rFonts w:ascii="宋体" w:hAnsi="宋体" w:cs="宋体" w:eastAsia="宋体" w:hint="default"/>
          <w:spacing w:val="-1"/>
          <w:sz w:val="24"/>
          <w:szCs w:val="24"/>
        </w:rPr>
        <w:t>5</w:t>
      </w:r>
      <w:r>
        <w:rPr>
          <w:rFonts w:ascii="宋体" w:hAnsi="宋体" w:cs="宋体" w:eastAsia="宋体" w:hint="default"/>
          <w:spacing w:val="-1"/>
          <w:sz w:val="24"/>
          <w:szCs w:val="24"/>
        </w:rPr>
        <w:t>年的主要工作经历和在除股东单位</w:t>
      </w:r>
      <w:r>
        <w:rPr>
          <w:rFonts w:ascii="宋体" w:hAnsi="宋体" w:cs="宋体" w:eastAsia="宋体" w:hint="default"/>
          <w:sz w:val="24"/>
          <w:szCs w:val="24"/>
        </w:rPr>
        <w:t> 外的其他单位的任职或兼职情况</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1"/>
          <w:sz w:val="24"/>
          <w:szCs w:val="24"/>
        </w:rPr>
        <w:t>刘浩军先生：经济类硕士。曾任中金投资集团云南矿业公司常务副总、华立集团</w:t>
      </w:r>
      <w:r>
        <w:rPr>
          <w:rFonts w:ascii="宋体" w:hAnsi="宋体" w:cs="宋体" w:eastAsia="宋体" w:hint="default"/>
          <w:sz w:val="24"/>
          <w:szCs w:val="24"/>
        </w:rPr>
        <w:t> </w:t>
      </w:r>
      <w:r>
        <w:rPr>
          <w:rFonts w:ascii="宋体" w:hAnsi="宋体" w:cs="宋体" w:eastAsia="宋体" w:hint="default"/>
          <w:spacing w:val="-1"/>
          <w:sz w:val="24"/>
          <w:szCs w:val="24"/>
        </w:rPr>
        <w:t>股份有限公司资产管理部副部长、战略发展部部长。现任华立集团股份有限公司执行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董事兼董事局秘书、华立仪表集团股份有限公司董事长、武汉健民药业集团股份有限</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公司董事、重庆华智控股股份有限公司董事长。</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2"/>
          <w:sz w:val="24"/>
          <w:szCs w:val="24"/>
        </w:rPr>
        <w:t>郭峻峰先生：中共党员，博士，高级工程师。历任宁波韵升控股集团有限公司董</w:t>
      </w:r>
      <w:r>
        <w:rPr>
          <w:rFonts w:ascii="宋体" w:hAnsi="宋体" w:cs="宋体" w:eastAsia="宋体" w:hint="default"/>
          <w:sz w:val="24"/>
          <w:szCs w:val="24"/>
        </w:rPr>
        <w:t> </w:t>
      </w:r>
      <w:r>
        <w:rPr>
          <w:rFonts w:ascii="宋体" w:hAnsi="宋体" w:cs="宋体" w:eastAsia="宋体" w:hint="default"/>
          <w:spacing w:val="-2"/>
          <w:sz w:val="24"/>
          <w:szCs w:val="24"/>
        </w:rPr>
        <w:t>事、总经理，兼任其下属子公司董事、总经理、党委书记，集团下属上市公司董事和</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1"/>
          <w:sz w:val="24"/>
          <w:szCs w:val="24"/>
        </w:rPr>
        <w:t>常务副总经理；现任华立仪表集团股份有限公司总裁、重庆华智控股股份有限公司董</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事、总裁。</w:t>
      </w:r>
    </w:p>
    <w:p>
      <w:pPr>
        <w:spacing w:line="357" w:lineRule="auto" w:before="36"/>
        <w:ind w:left="137" w:right="1166" w:firstLine="479"/>
        <w:jc w:val="left"/>
        <w:rPr>
          <w:rFonts w:ascii="宋体" w:hAnsi="宋体" w:cs="宋体" w:eastAsia="宋体" w:hint="default"/>
          <w:sz w:val="24"/>
          <w:szCs w:val="24"/>
        </w:rPr>
      </w:pPr>
      <w:r>
        <w:rPr>
          <w:rFonts w:ascii="宋体" w:hAnsi="宋体" w:cs="宋体" w:eastAsia="宋体" w:hint="default"/>
          <w:spacing w:val="-5"/>
          <w:sz w:val="24"/>
          <w:szCs w:val="24"/>
        </w:rPr>
        <w:t>熊波先生：中共党员，本科学历。曾任华立集团有限公司董事会投资经营部经理，</w:t>
      </w:r>
      <w:r>
        <w:rPr>
          <w:rFonts w:ascii="宋体" w:hAnsi="宋体" w:cs="宋体" w:eastAsia="宋体" w:hint="default"/>
          <w:sz w:val="24"/>
          <w:szCs w:val="24"/>
        </w:rPr>
        <w:t> 重庆华立控股股份有限公司（公司曾用名）董事会办公室副主任、证券事务代表、董 </w:t>
      </w:r>
      <w:r>
        <w:rPr>
          <w:rFonts w:ascii="宋体" w:hAnsi="宋体" w:cs="宋体" w:eastAsia="宋体" w:hint="default"/>
          <w:spacing w:val="-5"/>
          <w:sz w:val="24"/>
          <w:szCs w:val="24"/>
        </w:rPr>
        <w:t>事会秘书、董事长助理。现任重庆华智控股股份有限公司董事、副总裁、董事会秘书。</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2"/>
          <w:sz w:val="24"/>
          <w:szCs w:val="24"/>
        </w:rPr>
        <w:t>蔡晓利先生：硕士。历任浙江华盟文化传播有限公司咨询部经理、华立仪表集团</w:t>
      </w:r>
      <w:r>
        <w:rPr>
          <w:rFonts w:ascii="宋体" w:hAnsi="宋体" w:cs="宋体" w:eastAsia="宋体" w:hint="default"/>
          <w:sz w:val="24"/>
          <w:szCs w:val="24"/>
        </w:rPr>
        <w:t> </w:t>
      </w:r>
      <w:r>
        <w:rPr>
          <w:rFonts w:ascii="宋体" w:hAnsi="宋体" w:cs="宋体" w:eastAsia="宋体" w:hint="default"/>
          <w:spacing w:val="-1"/>
          <w:sz w:val="24"/>
          <w:szCs w:val="24"/>
        </w:rPr>
        <w:t>股份有限公司总裁助理、总裁办主任、人力资源部部长。现任华立集团股份有限公司</w:t>
      </w:r>
      <w:r>
        <w:rPr>
          <w:rFonts w:ascii="宋体" w:hAnsi="宋体" w:cs="宋体" w:eastAsia="宋体" w:hint="default"/>
          <w:sz w:val="24"/>
          <w:szCs w:val="24"/>
        </w:rPr>
        <w:t> </w:t>
      </w:r>
      <w:r>
        <w:rPr>
          <w:rFonts w:ascii="宋体" w:hAnsi="宋体" w:cs="宋体" w:eastAsia="宋体" w:hint="default"/>
          <w:spacing w:val="-1"/>
          <w:sz w:val="24"/>
          <w:szCs w:val="24"/>
        </w:rPr>
        <w:t>营运管理部副部长、武汉健民药业集团股份有限公司董事、重庆华智控股股份有限公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司董事。</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2"/>
          <w:sz w:val="24"/>
          <w:szCs w:val="24"/>
        </w:rPr>
        <w:t>辛金国先生：管理学博士，会计学教授，具有中国注册会计师和中国注册资产评</w:t>
      </w:r>
      <w:r>
        <w:rPr>
          <w:rFonts w:ascii="宋体" w:hAnsi="宋体" w:cs="宋体" w:eastAsia="宋体" w:hint="default"/>
          <w:sz w:val="24"/>
          <w:szCs w:val="24"/>
        </w:rPr>
        <w:t> </w:t>
      </w:r>
      <w:r>
        <w:rPr>
          <w:rFonts w:ascii="宋体" w:hAnsi="宋体" w:cs="宋体" w:eastAsia="宋体" w:hint="default"/>
          <w:spacing w:val="-1"/>
          <w:sz w:val="24"/>
          <w:szCs w:val="24"/>
        </w:rPr>
        <w:t>估师资格。曾任杭州电子科技大学管理学院副院长。现任杭州电子科技大学经贸学院</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党总支书记、浙江省审计学会副秘书长、重庆华智控股股份有限公司独立董事、昆明</w:t>
      </w:r>
      <w:r>
        <w:rPr>
          <w:rFonts w:ascii="宋体" w:hAnsi="宋体" w:cs="宋体" w:eastAsia="宋体" w:hint="default"/>
          <w:sz w:val="24"/>
          <w:szCs w:val="24"/>
        </w:rPr>
        <w:t> </w:t>
      </w:r>
      <w:r>
        <w:rPr>
          <w:rFonts w:ascii="宋体" w:hAnsi="宋体" w:cs="宋体" w:eastAsia="宋体" w:hint="default"/>
          <w:spacing w:val="-1"/>
          <w:sz w:val="24"/>
          <w:szCs w:val="24"/>
        </w:rPr>
        <w:t>制药集团股份有限公司独立董事、浙江广厦股份有限公司和浙江天马轴承股份有限公</w:t>
      </w:r>
      <w:r>
        <w:rPr>
          <w:rFonts w:ascii="宋体" w:hAnsi="宋体" w:cs="宋体" w:eastAsia="宋体" w:hint="default"/>
          <w:sz w:val="24"/>
          <w:szCs w:val="24"/>
        </w:rPr>
        <w:t> 司独立董事。</w:t>
      </w:r>
    </w:p>
    <w:p>
      <w:pPr>
        <w:spacing w:after="0" w:line="357" w:lineRule="auto"/>
        <w:jc w:val="both"/>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143" w:right="1755" w:firstLine="480"/>
        <w:jc w:val="both"/>
        <w:rPr>
          <w:rFonts w:ascii="宋体" w:hAnsi="宋体" w:cs="宋体" w:eastAsia="宋体" w:hint="default"/>
          <w:sz w:val="24"/>
          <w:szCs w:val="24"/>
        </w:rPr>
      </w:pPr>
      <w:r>
        <w:rPr>
          <w:rFonts w:ascii="宋体" w:hAnsi="宋体" w:cs="宋体" w:eastAsia="宋体" w:hint="default"/>
          <w:spacing w:val="-2"/>
          <w:sz w:val="24"/>
          <w:szCs w:val="24"/>
        </w:rPr>
        <w:t>甘为民先生：法学硕士。现为高级律师、浙江凯麦律师事务所管理合伙人、浙江</w:t>
      </w:r>
      <w:r>
        <w:rPr>
          <w:rFonts w:ascii="宋体" w:hAnsi="宋体" w:cs="宋体" w:eastAsia="宋体" w:hint="default"/>
          <w:sz w:val="24"/>
          <w:szCs w:val="24"/>
        </w:rPr>
        <w:t> </w:t>
      </w:r>
      <w:r>
        <w:rPr>
          <w:rFonts w:ascii="宋体" w:hAnsi="宋体" w:cs="宋体" w:eastAsia="宋体" w:hint="default"/>
          <w:spacing w:val="-1"/>
          <w:sz w:val="24"/>
          <w:szCs w:val="24"/>
        </w:rPr>
        <w:t>省律师协会公司与证券业务委员会副主任、浙江省企业法律顾问协会知识产权专业委</w:t>
      </w:r>
      <w:r>
        <w:rPr>
          <w:rFonts w:ascii="宋体" w:hAnsi="宋体" w:cs="宋体" w:eastAsia="宋体" w:hint="default"/>
          <w:sz w:val="24"/>
          <w:szCs w:val="24"/>
        </w:rPr>
        <w:t> </w:t>
      </w:r>
      <w:r>
        <w:rPr>
          <w:rFonts w:ascii="宋体" w:hAnsi="宋体" w:cs="宋体" w:eastAsia="宋体" w:hint="default"/>
          <w:spacing w:val="-1"/>
          <w:sz w:val="24"/>
          <w:szCs w:val="24"/>
        </w:rPr>
        <w:t>员会主任、杭州仲裁委员会仲裁员，并担任杭州市中小企业协会副会长、杭州凯麦企</w:t>
      </w:r>
      <w:r>
        <w:rPr>
          <w:rFonts w:ascii="宋体" w:hAnsi="宋体" w:cs="宋体" w:eastAsia="宋体" w:hint="default"/>
          <w:sz w:val="24"/>
          <w:szCs w:val="24"/>
        </w:rPr>
        <w:t> 业管理咨询有限公司董事长、重庆华智控股股份有限公司独立董事、晋亿实业</w:t>
      </w:r>
    </w:p>
    <w:p>
      <w:pPr>
        <w:spacing w:line="357" w:lineRule="auto" w:before="36"/>
        <w:ind w:left="623" w:right="1740" w:hanging="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601002</w:t>
      </w:r>
      <w:r>
        <w:rPr>
          <w:rFonts w:ascii="宋体" w:hAnsi="宋体" w:cs="宋体" w:eastAsia="宋体" w:hint="default"/>
          <w:sz w:val="24"/>
          <w:szCs w:val="24"/>
        </w:rPr>
        <w:t>）独立董事。 </w:t>
      </w:r>
      <w:r>
        <w:rPr>
          <w:rFonts w:ascii="宋体" w:hAnsi="宋体" w:cs="宋体" w:eastAsia="宋体" w:hint="default"/>
          <w:spacing w:val="-2"/>
          <w:sz w:val="24"/>
          <w:szCs w:val="24"/>
        </w:rPr>
        <w:t>张鹏先生：中共党员，管理学博士，审计师。曾任大鹏证券有限责任公司投资银</w:t>
      </w:r>
    </w:p>
    <w:p>
      <w:pPr>
        <w:spacing w:line="357" w:lineRule="auto" w:before="36"/>
        <w:ind w:left="143" w:right="1740" w:firstLine="0"/>
        <w:jc w:val="left"/>
        <w:rPr>
          <w:rFonts w:ascii="宋体" w:hAnsi="宋体" w:cs="宋体" w:eastAsia="宋体" w:hint="default"/>
          <w:sz w:val="24"/>
          <w:szCs w:val="24"/>
        </w:rPr>
      </w:pPr>
      <w:r>
        <w:rPr>
          <w:rFonts w:ascii="宋体" w:hAnsi="宋体" w:cs="宋体" w:eastAsia="宋体" w:hint="default"/>
          <w:spacing w:val="-1"/>
          <w:sz w:val="24"/>
          <w:szCs w:val="24"/>
        </w:rPr>
        <w:t>行董事总经理；现任国信证券有限公司投资银行事业部副总裁、重庆华智控股股份有</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限公司独立董事。</w:t>
      </w:r>
    </w:p>
    <w:p>
      <w:pPr>
        <w:spacing w:line="357" w:lineRule="auto" w:before="37"/>
        <w:ind w:left="143" w:right="1754" w:firstLine="480"/>
        <w:jc w:val="both"/>
        <w:rPr>
          <w:rFonts w:ascii="宋体" w:hAnsi="宋体" w:cs="宋体" w:eastAsia="宋体" w:hint="default"/>
          <w:sz w:val="24"/>
          <w:szCs w:val="24"/>
        </w:rPr>
      </w:pPr>
      <w:r>
        <w:rPr>
          <w:rFonts w:ascii="宋体" w:hAnsi="宋体" w:cs="宋体" w:eastAsia="宋体" w:hint="default"/>
          <w:spacing w:val="-2"/>
          <w:sz w:val="24"/>
          <w:szCs w:val="24"/>
        </w:rPr>
        <w:t>杜学东先生：会计师，国际注册内部审计师。曾任华立仪表集团股份有限公司审</w:t>
      </w:r>
      <w:r>
        <w:rPr>
          <w:rFonts w:ascii="宋体" w:hAnsi="宋体" w:cs="宋体" w:eastAsia="宋体" w:hint="default"/>
          <w:sz w:val="24"/>
          <w:szCs w:val="24"/>
        </w:rPr>
        <w:t> </w:t>
      </w:r>
      <w:r>
        <w:rPr>
          <w:rFonts w:ascii="宋体" w:hAnsi="宋体" w:cs="宋体" w:eastAsia="宋体" w:hint="default"/>
          <w:spacing w:val="-1"/>
          <w:sz w:val="24"/>
          <w:szCs w:val="24"/>
        </w:rPr>
        <w:t>计部部长助理，浙江华立南湖制药有限公司财务总监。现任华立集团股份有限公司审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计部副部长兼主任审计师。</w:t>
      </w:r>
    </w:p>
    <w:p>
      <w:pPr>
        <w:spacing w:line="357" w:lineRule="auto" w:before="36"/>
        <w:ind w:left="143" w:right="1753" w:firstLine="480"/>
        <w:jc w:val="both"/>
        <w:rPr>
          <w:rFonts w:ascii="宋体" w:hAnsi="宋体" w:cs="宋体" w:eastAsia="宋体" w:hint="default"/>
          <w:sz w:val="24"/>
          <w:szCs w:val="24"/>
        </w:rPr>
      </w:pPr>
      <w:r>
        <w:rPr>
          <w:rFonts w:ascii="宋体" w:hAnsi="宋体" w:cs="宋体" w:eastAsia="宋体" w:hint="default"/>
          <w:spacing w:val="-2"/>
          <w:sz w:val="24"/>
          <w:szCs w:val="24"/>
        </w:rPr>
        <w:t>屠国良先生：本科，会计师。曾任杭州钢铁集团公司财务部会计科副科长，杭钢</w:t>
      </w:r>
      <w:r>
        <w:rPr>
          <w:rFonts w:ascii="宋体" w:hAnsi="宋体" w:cs="宋体" w:eastAsia="宋体" w:hint="default"/>
          <w:sz w:val="24"/>
          <w:szCs w:val="24"/>
        </w:rPr>
        <w:t> </w:t>
      </w:r>
      <w:r>
        <w:rPr>
          <w:rFonts w:ascii="宋体" w:hAnsi="宋体" w:cs="宋体" w:eastAsia="宋体" w:hint="default"/>
          <w:spacing w:val="-1"/>
          <w:sz w:val="24"/>
          <w:szCs w:val="24"/>
        </w:rPr>
        <w:t>动力财务科副科长、财务部资产科科长，华立集团股份有限公司资产管理部经理、资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金财务部财务经理，现任华方医药科技有限公司资金财务部部长，武汉健民药业集团</w:t>
      </w:r>
      <w:r>
        <w:rPr>
          <w:rFonts w:ascii="宋体" w:hAnsi="宋体" w:cs="宋体" w:eastAsia="宋体" w:hint="default"/>
          <w:sz w:val="24"/>
          <w:szCs w:val="24"/>
        </w:rPr>
        <w:t> </w:t>
      </w:r>
      <w:r>
        <w:rPr>
          <w:rFonts w:ascii="宋体" w:hAnsi="宋体" w:cs="宋体" w:eastAsia="宋体" w:hint="default"/>
          <w:spacing w:val="-1"/>
          <w:sz w:val="24"/>
          <w:szCs w:val="24"/>
        </w:rPr>
        <w:t>股份有限公司监事会主席，昆明制药集团股份有限公司监事会主席，重庆华智控股股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份有限公司监事。</w:t>
      </w:r>
    </w:p>
    <w:p>
      <w:pPr>
        <w:spacing w:line="357" w:lineRule="auto" w:before="36"/>
        <w:ind w:left="143" w:right="1622" w:firstLine="480"/>
        <w:jc w:val="left"/>
        <w:rPr>
          <w:rFonts w:ascii="宋体" w:hAnsi="宋体" w:cs="宋体" w:eastAsia="宋体" w:hint="default"/>
          <w:sz w:val="24"/>
          <w:szCs w:val="24"/>
        </w:rPr>
      </w:pPr>
      <w:r>
        <w:rPr>
          <w:rFonts w:ascii="宋体" w:hAnsi="宋体" w:cs="宋体" w:eastAsia="宋体" w:hint="default"/>
          <w:sz w:val="24"/>
          <w:szCs w:val="24"/>
        </w:rPr>
        <w:t>廖家辉先生：硕士，高级会计师。曾任海南振华会计师事务所审计部经理，海南 </w:t>
      </w:r>
      <w:r>
        <w:rPr>
          <w:rFonts w:ascii="宋体" w:hAnsi="宋体" w:cs="宋体" w:eastAsia="宋体" w:hint="default"/>
          <w:spacing w:val="-4"/>
          <w:sz w:val="24"/>
          <w:szCs w:val="24"/>
        </w:rPr>
        <w:t>中力信资产评估有限公司审计部经理（合伙人），浙江盾安禾田金属有限公司财务部</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5"/>
          <w:sz w:val="24"/>
          <w:szCs w:val="24"/>
        </w:rPr>
        <w:t>部长、华立集团股份有限公司资产管理部经理，现任重庆华智控股股份有限公司监事。</w:t>
      </w:r>
    </w:p>
    <w:p>
      <w:pPr>
        <w:spacing w:line="348" w:lineRule="auto" w:before="36"/>
        <w:ind w:left="143" w:right="1753" w:firstLine="480"/>
        <w:jc w:val="both"/>
        <w:rPr>
          <w:rFonts w:ascii="宋体" w:hAnsi="宋体" w:cs="宋体" w:eastAsia="宋体" w:hint="default"/>
          <w:sz w:val="24"/>
          <w:szCs w:val="24"/>
        </w:rPr>
      </w:pPr>
      <w:r>
        <w:rPr>
          <w:rFonts w:ascii="宋体" w:hAnsi="宋体" w:cs="宋体" w:eastAsia="宋体" w:hint="default"/>
          <w:sz w:val="24"/>
          <w:szCs w:val="24"/>
        </w:rPr>
        <w:t>吕文华先生：本科。曾任</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Wuhan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Arrow</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Advanced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Technology</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Co.,Ltd </w:t>
      </w:r>
      <w:r>
        <w:rPr>
          <w:rFonts w:ascii="宋体" w:hAnsi="宋体" w:cs="宋体" w:eastAsia="宋体" w:hint="default"/>
          <w:sz w:val="24"/>
          <w:szCs w:val="24"/>
        </w:rPr>
        <w:t>区域销售经 </w:t>
      </w:r>
      <w:r>
        <w:rPr>
          <w:rFonts w:ascii="宋体" w:hAnsi="宋体" w:cs="宋体" w:eastAsia="宋体" w:hint="default"/>
          <w:spacing w:val="-1"/>
          <w:sz w:val="24"/>
          <w:szCs w:val="24"/>
        </w:rPr>
        <w:t>理、人力资源部经理，重庆华立药业股份有限公司（公司曾用名）人力资源部培训主</w:t>
      </w:r>
      <w:r>
        <w:rPr>
          <w:rFonts w:ascii="宋体" w:hAnsi="宋体" w:cs="宋体" w:eastAsia="宋体" w:hint="default"/>
          <w:sz w:val="24"/>
          <w:szCs w:val="24"/>
        </w:rPr>
        <w:t> 管、综合管理部部长，现任重庆华智控股股份有限公司职工监事。</w:t>
      </w:r>
    </w:p>
    <w:p>
      <w:pPr>
        <w:spacing w:line="357" w:lineRule="auto" w:before="46"/>
        <w:ind w:left="143" w:right="1719" w:firstLine="480"/>
        <w:jc w:val="both"/>
        <w:rPr>
          <w:rFonts w:ascii="宋体" w:hAnsi="宋体" w:cs="宋体" w:eastAsia="宋体" w:hint="default"/>
          <w:sz w:val="24"/>
          <w:szCs w:val="24"/>
        </w:rPr>
      </w:pPr>
      <w:r>
        <w:rPr>
          <w:rFonts w:ascii="宋体" w:hAnsi="宋体" w:cs="宋体" w:eastAsia="宋体" w:hint="default"/>
          <w:sz w:val="24"/>
          <w:szCs w:val="24"/>
        </w:rPr>
        <w:t>叶</w:t>
      </w:r>
      <w:r>
        <w:rPr>
          <w:rFonts w:ascii="宋体" w:hAnsi="宋体" w:cs="宋体" w:eastAsia="宋体" w:hint="default"/>
          <w:spacing w:val="119"/>
          <w:sz w:val="24"/>
          <w:szCs w:val="24"/>
        </w:rPr>
        <w:t> </w:t>
      </w:r>
      <w:r>
        <w:rPr>
          <w:rFonts w:ascii="宋体" w:hAnsi="宋体" w:cs="宋体" w:eastAsia="宋体" w:hint="default"/>
          <w:sz w:val="24"/>
          <w:szCs w:val="24"/>
        </w:rPr>
        <w:t>艳女士：本科，中共党员。曾任重庆华智控股股份有限公司薪酬人事主管，</w:t>
      </w:r>
      <w:r>
        <w:rPr>
          <w:rFonts w:ascii="宋体" w:hAnsi="宋体" w:cs="宋体" w:eastAsia="宋体" w:hint="default"/>
          <w:sz w:val="24"/>
          <w:szCs w:val="24"/>
        </w:rPr>
        <w:t> 公司工会主席，现任重庆华智控股股份有限公司职工监事。</w:t>
      </w:r>
    </w:p>
    <w:p>
      <w:pPr>
        <w:spacing w:line="357" w:lineRule="auto" w:before="36"/>
        <w:ind w:left="143" w:right="1757" w:firstLine="480"/>
        <w:jc w:val="both"/>
        <w:rPr>
          <w:rFonts w:ascii="宋体" w:hAnsi="宋体" w:cs="宋体" w:eastAsia="宋体" w:hint="default"/>
          <w:sz w:val="24"/>
          <w:szCs w:val="24"/>
        </w:rPr>
      </w:pPr>
      <w:r>
        <w:rPr>
          <w:rFonts w:ascii="宋体" w:hAnsi="宋体" w:cs="宋体" w:eastAsia="宋体" w:hint="default"/>
          <w:spacing w:val="-2"/>
          <w:sz w:val="24"/>
          <w:szCs w:val="24"/>
        </w:rPr>
        <w:t>余晓利女士：本科，注册会计师、注册房地产估价师。曾任重庆美联制药有限公</w:t>
      </w:r>
      <w:r>
        <w:rPr>
          <w:rFonts w:ascii="宋体" w:hAnsi="宋体" w:cs="宋体" w:eastAsia="宋体" w:hint="default"/>
          <w:sz w:val="24"/>
          <w:szCs w:val="24"/>
        </w:rPr>
        <w:t> </w:t>
      </w:r>
      <w:r>
        <w:rPr>
          <w:rFonts w:ascii="宋体" w:hAnsi="宋体" w:cs="宋体" w:eastAsia="宋体" w:hint="default"/>
          <w:spacing w:val="-2"/>
          <w:sz w:val="24"/>
          <w:szCs w:val="24"/>
        </w:rPr>
        <w:t>司财务总监、重庆华立药业股份有限公司（公司曾用名）内控审计部经理、公司职工</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监事。现任重庆华智控股股份有限公司财务总监。</w:t>
      </w:r>
    </w:p>
    <w:p>
      <w:pPr>
        <w:spacing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、董事、监事和高级管理人员年度报酬情况</w:t>
      </w:r>
    </w:p>
    <w:p>
      <w:pPr>
        <w:spacing w:before="154"/>
        <w:ind w:left="623" w:right="1622" w:firstLine="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1</w:t>
      </w:r>
      <w:r>
        <w:rPr>
          <w:rFonts w:ascii="宋体" w:hAnsi="宋体" w:cs="宋体" w:eastAsia="宋体" w:hint="default"/>
          <w:spacing w:val="2"/>
          <w:sz w:val="24"/>
          <w:szCs w:val="24"/>
        </w:rPr>
        <w:t>）本年度在公司领取报酬的董事、监事及高级管理人员的年度报酬（包括基</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1"/>
        <w:rPr>
          <w:rFonts w:ascii="宋体" w:hAnsi="宋体" w:cs="宋体" w:eastAsia="宋体" w:hint="default"/>
          <w:sz w:val="29"/>
          <w:szCs w:val="29"/>
        </w:rPr>
      </w:pPr>
    </w:p>
    <w:p>
      <w:pPr>
        <w:spacing w:line="357" w:lineRule="auto" w:before="26"/>
        <w:ind w:left="137" w:right="1166" w:firstLine="0"/>
        <w:jc w:val="left"/>
        <w:rPr>
          <w:rFonts w:ascii="宋体" w:hAnsi="宋体" w:cs="宋体" w:eastAsia="宋体" w:hint="default"/>
          <w:sz w:val="24"/>
          <w:szCs w:val="24"/>
        </w:rPr>
      </w:pPr>
      <w:r>
        <w:rPr>
          <w:rFonts w:ascii="宋体" w:hAnsi="宋体" w:cs="宋体" w:eastAsia="宋体" w:hint="default"/>
          <w:spacing w:val="-2"/>
          <w:sz w:val="24"/>
          <w:szCs w:val="24"/>
        </w:rPr>
        <w:t>本工资、各项奖金、福利、补贴、住房公积金及其他津贴等）均按公司统一的薪酬管</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理制度规定的标准确定。</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2"/>
          <w:sz w:val="24"/>
          <w:szCs w:val="24"/>
        </w:rPr>
        <w:t>在公司领取报酬的董事和高级管理人员实行年薪制，年薪由月薪、年度业绩考核</w:t>
      </w:r>
      <w:r>
        <w:rPr>
          <w:rFonts w:ascii="宋体" w:hAnsi="宋体" w:cs="宋体" w:eastAsia="宋体" w:hint="default"/>
          <w:sz w:val="24"/>
          <w:szCs w:val="24"/>
        </w:rPr>
        <w:t> </w:t>
      </w:r>
      <w:r>
        <w:rPr>
          <w:rFonts w:ascii="宋体" w:hAnsi="宋体" w:cs="宋体" w:eastAsia="宋体" w:hint="default"/>
          <w:spacing w:val="-1"/>
          <w:sz w:val="24"/>
          <w:szCs w:val="24"/>
        </w:rPr>
        <w:t>组成，其报酬由董事会薪酬委员会及股东大会确定。职工代表监事报酬根据其在公司</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担任的除监事外的其他职务而确定。郭峻峰的薪酬在公司控股子公司领取。</w:t>
      </w:r>
    </w:p>
    <w:p>
      <w:pPr>
        <w:spacing w:line="357" w:lineRule="auto" w:before="36"/>
        <w:ind w:left="137" w:right="1301" w:firstLine="479"/>
        <w:jc w:val="both"/>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2</w:t>
      </w:r>
      <w:r>
        <w:rPr>
          <w:rFonts w:ascii="宋体" w:hAnsi="宋体" w:cs="宋体" w:eastAsia="宋体" w:hint="default"/>
          <w:spacing w:val="2"/>
          <w:sz w:val="24"/>
          <w:szCs w:val="24"/>
        </w:rPr>
        <w:t>）在公司领取津贴的有董事刘浩军、蔡晓利及监事杜学东、屠国良、廖家辉 </w:t>
      </w:r>
      <w:r>
        <w:rPr>
          <w:rFonts w:ascii="宋体" w:hAnsi="宋体" w:cs="宋体" w:eastAsia="宋体" w:hint="default"/>
          <w:sz w:val="24"/>
          <w:szCs w:val="24"/>
        </w:rPr>
        <w:t>共五人，他们均在公司股东单位华立集团股份有限公司或其关联企业领取报酬。</w:t>
      </w:r>
    </w:p>
    <w:p>
      <w:pPr>
        <w:spacing w:line="357" w:lineRule="auto" w:before="36"/>
        <w:ind w:left="137" w:right="1302"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）独立董事报酬按每月 </w:t>
      </w:r>
      <w:r>
        <w:rPr>
          <w:rFonts w:ascii="宋体" w:hAnsi="宋体" w:cs="宋体" w:eastAsia="宋体" w:hint="default"/>
          <w:sz w:val="24"/>
          <w:szCs w:val="24"/>
        </w:rPr>
        <w:t>5000</w:t>
      </w:r>
      <w:r>
        <w:rPr>
          <w:rFonts w:ascii="宋体" w:hAnsi="宋体" w:cs="宋体" w:eastAsia="宋体" w:hint="default"/>
          <w:spacing w:val="-32"/>
          <w:sz w:val="24"/>
          <w:szCs w:val="24"/>
        </w:rPr>
        <w:t> </w:t>
      </w:r>
      <w:r>
        <w:rPr>
          <w:rFonts w:ascii="宋体" w:hAnsi="宋体" w:cs="宋体" w:eastAsia="宋体" w:hint="default"/>
          <w:spacing w:val="-6"/>
          <w:sz w:val="24"/>
          <w:szCs w:val="24"/>
        </w:rPr>
        <w:t>元支付（税后），独立董事出席公司董事会和股</w:t>
      </w:r>
      <w:r>
        <w:rPr>
          <w:rFonts w:ascii="宋体" w:hAnsi="宋体" w:cs="宋体" w:eastAsia="宋体" w:hint="default"/>
          <w:sz w:val="24"/>
          <w:szCs w:val="24"/>
        </w:rPr>
        <w:t> 东大会的差旅费及按《公司章程》规定行使相关职权所需的合理费用据实报销。</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（二）公司员工情况</w:t>
      </w:r>
    </w:p>
    <w:p>
      <w:pPr>
        <w:spacing w:line="240" w:lineRule="auto" w:before="6"/>
        <w:rPr>
          <w:rFonts w:ascii="宋体" w:hAnsi="宋体" w:cs="宋体" w:eastAsia="宋体" w:hint="default"/>
          <w:sz w:val="21"/>
          <w:szCs w:val="21"/>
        </w:rPr>
      </w:pPr>
    </w:p>
    <w:p>
      <w:pPr>
        <w:spacing w:line="352" w:lineRule="auto" w:before="0"/>
        <w:ind w:left="137" w:right="1299" w:firstLine="479"/>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、截止</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日公司（含控股子公司）员工总数</w:t>
      </w:r>
      <w:r>
        <w:rPr>
          <w:rFonts w:ascii="宋体" w:hAnsi="宋体" w:cs="宋体" w:eastAsia="宋体" w:hint="default"/>
          <w:sz w:val="24"/>
          <w:szCs w:val="24"/>
        </w:rPr>
        <w:t>1410</w:t>
      </w:r>
      <w:r>
        <w:rPr>
          <w:rFonts w:ascii="宋体" w:hAnsi="宋体" w:cs="宋体" w:eastAsia="宋体" w:hint="default"/>
          <w:sz w:val="24"/>
          <w:szCs w:val="24"/>
        </w:rPr>
        <w:t>人，公司需承担费</w:t>
      </w:r>
      <w:r>
        <w:rPr>
          <w:rFonts w:ascii="宋体" w:hAnsi="宋体" w:cs="宋体" w:eastAsia="宋体" w:hint="default"/>
          <w:spacing w:val="2"/>
          <w:sz w:val="24"/>
          <w:szCs w:val="24"/>
        </w:rPr>
        <w:t> </w:t>
      </w:r>
      <w:r>
        <w:rPr>
          <w:rFonts w:ascii="宋体" w:hAnsi="宋体" w:cs="宋体" w:eastAsia="宋体" w:hint="default"/>
          <w:sz w:val="24"/>
          <w:szCs w:val="24"/>
        </w:rPr>
        <w:t>用的离退休职工人数为</w:t>
      </w:r>
      <w:r>
        <w:rPr>
          <w:rFonts w:ascii="宋体" w:hAnsi="宋体" w:cs="宋体" w:eastAsia="宋体" w:hint="default"/>
          <w:sz w:val="24"/>
          <w:szCs w:val="24"/>
        </w:rPr>
        <w:t>184</w:t>
      </w:r>
      <w:r>
        <w:rPr>
          <w:rFonts w:ascii="宋体" w:hAnsi="宋体" w:cs="宋体" w:eastAsia="宋体" w:hint="default"/>
          <w:sz w:val="24"/>
          <w:szCs w:val="24"/>
        </w:rPr>
        <w:t>人。</w:t>
      </w:r>
    </w:p>
    <w:p>
      <w:pPr>
        <w:spacing w:line="352" w:lineRule="auto" w:before="31"/>
        <w:ind w:left="137" w:right="1299" w:firstLine="479"/>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、员工的专业构成：财务人员</w:t>
      </w:r>
      <w:r>
        <w:rPr>
          <w:rFonts w:ascii="宋体" w:hAnsi="宋体" w:cs="宋体" w:eastAsia="宋体" w:hint="default"/>
          <w:sz w:val="24"/>
          <w:szCs w:val="24"/>
        </w:rPr>
        <w:t>64</w:t>
      </w:r>
      <w:r>
        <w:rPr>
          <w:rFonts w:ascii="宋体" w:hAnsi="宋体" w:cs="宋体" w:eastAsia="宋体" w:hint="default"/>
          <w:sz w:val="24"/>
          <w:szCs w:val="24"/>
        </w:rPr>
        <w:t>人、销售人员</w:t>
      </w:r>
      <w:r>
        <w:rPr>
          <w:rFonts w:ascii="宋体" w:hAnsi="宋体" w:cs="宋体" w:eastAsia="宋体" w:hint="default"/>
          <w:sz w:val="24"/>
          <w:szCs w:val="24"/>
        </w:rPr>
        <w:t>133</w:t>
      </w:r>
      <w:r>
        <w:rPr>
          <w:rFonts w:ascii="宋体" w:hAnsi="宋体" w:cs="宋体" w:eastAsia="宋体" w:hint="default"/>
          <w:sz w:val="24"/>
          <w:szCs w:val="24"/>
        </w:rPr>
        <w:t>人、技术人员</w:t>
      </w:r>
      <w:r>
        <w:rPr>
          <w:rFonts w:ascii="宋体" w:hAnsi="宋体" w:cs="宋体" w:eastAsia="宋体" w:hint="default"/>
          <w:sz w:val="24"/>
          <w:szCs w:val="24"/>
        </w:rPr>
        <w:t>301</w:t>
      </w:r>
      <w:r>
        <w:rPr>
          <w:rFonts w:ascii="宋体" w:hAnsi="宋体" w:cs="宋体" w:eastAsia="宋体" w:hint="default"/>
          <w:sz w:val="24"/>
          <w:szCs w:val="24"/>
        </w:rPr>
        <w:t>人，行政人 员</w:t>
      </w:r>
      <w:r>
        <w:rPr>
          <w:rFonts w:ascii="宋体" w:hAnsi="宋体" w:cs="宋体" w:eastAsia="宋体" w:hint="default"/>
          <w:sz w:val="24"/>
          <w:szCs w:val="24"/>
        </w:rPr>
        <w:t>238</w:t>
      </w:r>
      <w:r>
        <w:rPr>
          <w:rFonts w:ascii="宋体" w:hAnsi="宋体" w:cs="宋体" w:eastAsia="宋体" w:hint="default"/>
          <w:sz w:val="24"/>
          <w:szCs w:val="24"/>
        </w:rPr>
        <w:t>人，生产人员</w:t>
      </w:r>
      <w:r>
        <w:rPr>
          <w:rFonts w:ascii="宋体" w:hAnsi="宋体" w:cs="宋体" w:eastAsia="宋体" w:hint="default"/>
          <w:sz w:val="24"/>
          <w:szCs w:val="24"/>
        </w:rPr>
        <w:t>624</w:t>
      </w:r>
      <w:r>
        <w:rPr>
          <w:rFonts w:ascii="宋体" w:hAnsi="宋体" w:cs="宋体" w:eastAsia="宋体" w:hint="default"/>
          <w:sz w:val="24"/>
          <w:szCs w:val="24"/>
        </w:rPr>
        <w:t>人。</w:t>
      </w:r>
    </w:p>
    <w:p>
      <w:pPr>
        <w:spacing w:line="350" w:lineRule="auto" w:before="34"/>
        <w:ind w:left="137" w:right="1304" w:firstLine="479"/>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、员工的教育程度构成：博士</w:t>
      </w:r>
      <w:r>
        <w:rPr>
          <w:rFonts w:ascii="宋体" w:hAnsi="宋体" w:cs="宋体" w:eastAsia="宋体" w:hint="default"/>
          <w:sz w:val="24"/>
          <w:szCs w:val="24"/>
        </w:rPr>
        <w:t>3</w:t>
      </w:r>
      <w:r>
        <w:rPr>
          <w:rFonts w:ascii="宋体" w:hAnsi="宋体" w:cs="宋体" w:eastAsia="宋体" w:hint="default"/>
          <w:sz w:val="24"/>
          <w:szCs w:val="24"/>
        </w:rPr>
        <w:t>人，硕士及研究生</w:t>
      </w:r>
      <w:r>
        <w:rPr>
          <w:rFonts w:ascii="宋体" w:hAnsi="宋体" w:cs="宋体" w:eastAsia="宋体" w:hint="default"/>
          <w:sz w:val="24"/>
          <w:szCs w:val="24"/>
        </w:rPr>
        <w:t>25</w:t>
      </w:r>
      <w:r>
        <w:rPr>
          <w:rFonts w:ascii="宋体" w:hAnsi="宋体" w:cs="宋体" w:eastAsia="宋体" w:hint="default"/>
          <w:sz w:val="24"/>
          <w:szCs w:val="24"/>
        </w:rPr>
        <w:t>人、大专以本科</w:t>
      </w:r>
      <w:r>
        <w:rPr>
          <w:rFonts w:ascii="宋体" w:hAnsi="宋体" w:cs="宋体" w:eastAsia="宋体" w:hint="default"/>
          <w:sz w:val="24"/>
          <w:szCs w:val="24"/>
        </w:rPr>
        <w:t>463</w:t>
      </w:r>
      <w:r>
        <w:rPr>
          <w:rFonts w:ascii="宋体" w:hAnsi="宋体" w:cs="宋体" w:eastAsia="宋体" w:hint="default"/>
          <w:sz w:val="24"/>
          <w:szCs w:val="24"/>
        </w:rPr>
        <w:t>人，中 专及中等教育学历</w:t>
      </w:r>
      <w:r>
        <w:rPr>
          <w:rFonts w:ascii="宋体" w:hAnsi="宋体" w:cs="宋体" w:eastAsia="宋体" w:hint="default"/>
          <w:sz w:val="24"/>
          <w:szCs w:val="24"/>
        </w:rPr>
        <w:t>538</w:t>
      </w:r>
      <w:r>
        <w:rPr>
          <w:rFonts w:ascii="宋体" w:hAnsi="宋体" w:cs="宋体" w:eastAsia="宋体" w:hint="default"/>
          <w:sz w:val="24"/>
          <w:szCs w:val="24"/>
        </w:rPr>
        <w:t>人。</w:t>
      </w:r>
    </w:p>
    <w:p>
      <w:pPr>
        <w:spacing w:after="0" w:line="350" w:lineRule="auto"/>
        <w:jc w:val="both"/>
        <w:rPr>
          <w:rFonts w:ascii="宋体" w:hAnsi="宋体" w:cs="宋体" w:eastAsia="宋体" w:hint="default"/>
          <w:sz w:val="24"/>
          <w:szCs w:val="24"/>
        </w:rPr>
        <w:sectPr>
          <w:pgSz w:w="11910" w:h="16840"/>
          <w:pgMar w:header="752" w:footer="955" w:top="1020" w:bottom="1140" w:left="1620" w:right="0"/>
        </w:sectPr>
      </w:pPr>
    </w:p>
    <w:p>
      <w:pPr>
        <w:spacing w:line="240" w:lineRule="auto" w:before="6"/>
        <w:rPr>
          <w:rFonts w:ascii="宋体" w:hAnsi="宋体" w:cs="宋体" w:eastAsia="宋体" w:hint="default"/>
          <w:sz w:val="29"/>
          <w:szCs w:val="29"/>
        </w:rPr>
      </w:pPr>
    </w:p>
    <w:p>
      <w:pPr>
        <w:spacing w:before="14"/>
        <w:ind w:left="705" w:right="1740" w:firstLine="0"/>
        <w:jc w:val="left"/>
        <w:rPr>
          <w:rFonts w:ascii="宋体" w:hAnsi="宋体" w:cs="宋体" w:eastAsia="宋体" w:hint="default"/>
          <w:sz w:val="28"/>
          <w:szCs w:val="28"/>
        </w:rPr>
      </w:pPr>
      <w:r>
        <w:rPr>
          <w:rFonts w:ascii="宋体" w:hAnsi="宋体" w:cs="宋体" w:eastAsia="宋体" w:hint="default"/>
          <w:b/>
          <w:bCs/>
          <w:sz w:val="28"/>
          <w:szCs w:val="28"/>
        </w:rPr>
        <w:t>五、公司治理结构</w:t>
      </w:r>
      <w:r>
        <w:rPr>
          <w:rFonts w:ascii="宋体" w:hAnsi="宋体" w:cs="宋体" w:eastAsia="宋体" w:hint="default"/>
          <w:sz w:val="28"/>
          <w:szCs w:val="28"/>
        </w:rPr>
      </w:r>
    </w:p>
    <w:p>
      <w:pPr>
        <w:spacing w:line="357" w:lineRule="auto" w:before="187"/>
        <w:ind w:left="623" w:right="1751" w:firstLine="0"/>
        <w:jc w:val="left"/>
        <w:rPr>
          <w:rFonts w:ascii="宋体" w:hAnsi="宋体" w:cs="宋体" w:eastAsia="宋体" w:hint="default"/>
          <w:sz w:val="24"/>
          <w:szCs w:val="24"/>
        </w:rPr>
      </w:pPr>
      <w:r>
        <w:rPr>
          <w:rFonts w:ascii="宋体" w:hAnsi="宋体" w:cs="宋体" w:eastAsia="宋体" w:hint="default"/>
          <w:sz w:val="24"/>
          <w:szCs w:val="24"/>
        </w:rPr>
        <w:t>（一）公司治理状况 </w:t>
      </w:r>
      <w:r>
        <w:rPr>
          <w:rFonts w:ascii="宋体" w:hAnsi="宋体" w:cs="宋体" w:eastAsia="宋体" w:hint="default"/>
          <w:spacing w:val="-8"/>
          <w:sz w:val="24"/>
          <w:szCs w:val="24"/>
        </w:rPr>
        <w:t>公司股东大会、董事会、监事会、经理层严格按照《公司法》、《证券法》、《上</w:t>
      </w:r>
    </w:p>
    <w:p>
      <w:pPr>
        <w:spacing w:line="357" w:lineRule="auto" w:before="36"/>
        <w:ind w:left="143" w:right="1740" w:firstLine="0"/>
        <w:jc w:val="left"/>
        <w:rPr>
          <w:rFonts w:ascii="宋体" w:hAnsi="宋体" w:cs="宋体" w:eastAsia="宋体" w:hint="default"/>
          <w:sz w:val="24"/>
          <w:szCs w:val="24"/>
        </w:rPr>
      </w:pPr>
      <w:r>
        <w:rPr>
          <w:rFonts w:ascii="宋体" w:hAnsi="宋体" w:cs="宋体" w:eastAsia="宋体" w:hint="default"/>
          <w:spacing w:val="-1"/>
          <w:sz w:val="24"/>
          <w:szCs w:val="24"/>
        </w:rPr>
        <w:t>市公司治理准则》等法律法规及相关规范性文件要求规范运作、不断完善公司治理结</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构，建立健全内部管理和控制制度，持续深入开展公司治理活动。</w:t>
      </w:r>
    </w:p>
    <w:p>
      <w:pPr>
        <w:spacing w:line="357" w:lineRule="auto" w:before="36"/>
        <w:ind w:left="143" w:right="1622" w:firstLine="480"/>
        <w:jc w:val="left"/>
        <w:rPr>
          <w:rFonts w:ascii="宋体" w:hAnsi="宋体" w:cs="宋体" w:eastAsia="宋体" w:hint="default"/>
          <w:sz w:val="24"/>
          <w:szCs w:val="24"/>
        </w:rPr>
      </w:pPr>
      <w:r>
        <w:rPr>
          <w:rFonts w:ascii="宋体" w:hAnsi="宋体" w:cs="宋体" w:eastAsia="宋体" w:hint="default"/>
          <w:sz w:val="24"/>
          <w:szCs w:val="24"/>
        </w:rPr>
        <w:t>根据中国证监会的相关规定，公司在报告期内制定了《年报信息披露重大差错责 </w:t>
      </w:r>
      <w:r>
        <w:rPr>
          <w:rFonts w:ascii="宋体" w:hAnsi="宋体" w:cs="宋体" w:eastAsia="宋体" w:hint="default"/>
          <w:spacing w:val="-11"/>
          <w:sz w:val="24"/>
          <w:szCs w:val="24"/>
        </w:rPr>
        <w:t>任追究制度》、《内幕信息知情人登记备案制度》、《外部信息报送和使用管理制度》、</w:t>
      </w:r>
    </w:p>
    <w:p>
      <w:pPr>
        <w:spacing w:line="357" w:lineRule="auto" w:before="36"/>
        <w:ind w:left="0" w:right="1720" w:firstLine="0"/>
        <w:jc w:val="right"/>
        <w:rPr>
          <w:rFonts w:ascii="宋体" w:hAnsi="宋体" w:cs="宋体" w:eastAsia="宋体" w:hint="default"/>
          <w:sz w:val="24"/>
          <w:szCs w:val="24"/>
        </w:rPr>
      </w:pPr>
      <w:r>
        <w:rPr>
          <w:rFonts w:ascii="宋体" w:hAnsi="宋体" w:cs="宋体" w:eastAsia="宋体" w:hint="default"/>
          <w:spacing w:val="-2"/>
          <w:sz w:val="24"/>
          <w:szCs w:val="24"/>
        </w:rPr>
        <w:t>《会计师事务所选聘制度》，并在此次年报的制作披露过程中严格执行。目前，公司</w:t>
      </w:r>
      <w:r>
        <w:rPr>
          <w:rFonts w:ascii="宋体" w:hAnsi="宋体" w:cs="宋体" w:eastAsia="宋体" w:hint="default"/>
          <w:sz w:val="24"/>
          <w:szCs w:val="24"/>
        </w:rPr>
        <w:t> 的法人治理结构状况基本达到了中国证监会发布的上市公司治理规范性文件的要求。 </w:t>
      </w:r>
      <w:r>
        <w:rPr>
          <w:rFonts w:ascii="宋体" w:hAnsi="宋体" w:cs="宋体" w:eastAsia="宋体" w:hint="default"/>
          <w:spacing w:val="-5"/>
          <w:sz w:val="24"/>
          <w:szCs w:val="24"/>
        </w:rPr>
        <w:t>1</w:t>
      </w:r>
      <w:r>
        <w:rPr>
          <w:rFonts w:ascii="宋体" w:hAnsi="宋体" w:cs="宋体" w:eastAsia="宋体" w:hint="default"/>
          <w:spacing w:val="-5"/>
          <w:sz w:val="24"/>
          <w:szCs w:val="24"/>
        </w:rPr>
        <w:t>、股东与股东大会：公司按照《公司章程》、《公司股东大会议事规则》和《上</w:t>
      </w:r>
      <w:r>
        <w:rPr>
          <w:rFonts w:ascii="宋体" w:hAnsi="宋体" w:cs="宋体" w:eastAsia="宋体" w:hint="default"/>
          <w:spacing w:val="2"/>
          <w:sz w:val="24"/>
          <w:szCs w:val="24"/>
        </w:rPr>
        <w:t> </w:t>
      </w:r>
      <w:r>
        <w:rPr>
          <w:rFonts w:ascii="宋体" w:hAnsi="宋体" w:cs="宋体" w:eastAsia="宋体" w:hint="default"/>
          <w:spacing w:val="-2"/>
          <w:sz w:val="24"/>
          <w:szCs w:val="24"/>
        </w:rPr>
        <w:t>市公司股东大会规范意见》的规定，召集、召开股东大会，平等对待所有股东，保障</w:t>
      </w:r>
    </w:p>
    <w:p>
      <w:pPr>
        <w:spacing w:before="36"/>
        <w:ind w:left="143" w:right="1740" w:firstLine="0"/>
        <w:jc w:val="left"/>
        <w:rPr>
          <w:rFonts w:ascii="宋体" w:hAnsi="宋体" w:cs="宋体" w:eastAsia="宋体" w:hint="default"/>
          <w:sz w:val="24"/>
          <w:szCs w:val="24"/>
        </w:rPr>
      </w:pPr>
      <w:r>
        <w:rPr>
          <w:rFonts w:ascii="宋体" w:hAnsi="宋体" w:cs="宋体" w:eastAsia="宋体" w:hint="default"/>
          <w:sz w:val="24"/>
          <w:szCs w:val="24"/>
        </w:rPr>
        <w:t>股东的权利。公司的关联交易公平合理，没有损害股东的利益。</w:t>
      </w:r>
    </w:p>
    <w:p>
      <w:pPr>
        <w:spacing w:line="357" w:lineRule="auto" w:before="154"/>
        <w:ind w:left="143" w:right="1754"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、控股股东与公司：公司独立开展生产经营活动，具有独立完整的业务及自主 </w:t>
      </w:r>
      <w:r>
        <w:rPr>
          <w:rFonts w:ascii="宋体" w:hAnsi="宋体" w:cs="宋体" w:eastAsia="宋体" w:hint="default"/>
          <w:spacing w:val="-2"/>
          <w:sz w:val="24"/>
          <w:szCs w:val="24"/>
        </w:rPr>
        <w:t>经营能力。在人员、资产、财务、业务、机构等方面与控股股东做到了“五分开”，</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独立核算，独立承担责任和风险。公司董事会、监事会、经理层及其它内部机构独立</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运作。控股股东能依法行使出资人权利，无干预上市公司决策和生产经营的行为。</w:t>
      </w:r>
    </w:p>
    <w:p>
      <w:pPr>
        <w:spacing w:line="357" w:lineRule="auto" w:before="36"/>
        <w:ind w:left="143" w:right="1756" w:firstLine="480"/>
        <w:jc w:val="both"/>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、董事与董事会：公司董事候选人的提名和选举程序符合《公司章程》和《公 </w:t>
      </w:r>
      <w:r>
        <w:rPr>
          <w:rFonts w:ascii="宋体" w:hAnsi="宋体" w:cs="宋体" w:eastAsia="宋体" w:hint="default"/>
          <w:spacing w:val="-2"/>
          <w:sz w:val="24"/>
          <w:szCs w:val="24"/>
        </w:rPr>
        <w:t>司董事会议事规则》的规定。董事会的人数及人员构成符合法律、法规的要求。董事</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会运作规范，权责明确，董事诚信、勤勉地履行了职责。</w:t>
      </w:r>
    </w:p>
    <w:p>
      <w:pPr>
        <w:spacing w:line="357" w:lineRule="auto" w:before="36"/>
        <w:ind w:left="143" w:right="1751" w:firstLine="480"/>
        <w:jc w:val="both"/>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、监事与监事会：公司监事会的人数及人员构成符合相关法律法规的要求。公 </w:t>
      </w:r>
      <w:r>
        <w:rPr>
          <w:rFonts w:ascii="宋体" w:hAnsi="宋体" w:cs="宋体" w:eastAsia="宋体" w:hint="default"/>
          <w:spacing w:val="-8"/>
          <w:sz w:val="24"/>
          <w:szCs w:val="24"/>
        </w:rPr>
        <w:t>司监事根据《公司章程》、《监事会议事规则》，认真履行职责，独立行使了监督、检</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查职能。</w:t>
      </w:r>
    </w:p>
    <w:p>
      <w:pPr>
        <w:spacing w:line="357" w:lineRule="auto" w:before="36"/>
        <w:ind w:left="143" w:right="1756" w:firstLine="480"/>
        <w:jc w:val="both"/>
        <w:rPr>
          <w:rFonts w:ascii="宋体" w:hAnsi="宋体" w:cs="宋体" w:eastAsia="宋体" w:hint="default"/>
          <w:sz w:val="24"/>
          <w:szCs w:val="24"/>
        </w:rPr>
      </w:pPr>
      <w:r>
        <w:rPr>
          <w:rFonts w:ascii="宋体" w:hAnsi="宋体" w:cs="宋体" w:eastAsia="宋体" w:hint="default"/>
          <w:spacing w:val="2"/>
          <w:sz w:val="24"/>
          <w:szCs w:val="24"/>
        </w:rPr>
        <w:t>5</w:t>
      </w:r>
      <w:r>
        <w:rPr>
          <w:rFonts w:ascii="宋体" w:hAnsi="宋体" w:cs="宋体" w:eastAsia="宋体" w:hint="default"/>
          <w:spacing w:val="2"/>
          <w:sz w:val="24"/>
          <w:szCs w:val="24"/>
        </w:rPr>
        <w:t>、利益相关者：公司能够尊重和维护银行及其它债权人、员工、客户、社区等 </w:t>
      </w:r>
      <w:r>
        <w:rPr>
          <w:rFonts w:ascii="宋体" w:hAnsi="宋体" w:cs="宋体" w:eastAsia="宋体" w:hint="default"/>
          <w:sz w:val="24"/>
          <w:szCs w:val="24"/>
        </w:rPr>
        <w:t>利益相关者的合法权益。</w:t>
      </w:r>
    </w:p>
    <w:p>
      <w:pPr>
        <w:spacing w:line="357" w:lineRule="auto" w:before="36"/>
        <w:ind w:left="143" w:right="1756" w:firstLine="480"/>
        <w:jc w:val="both"/>
        <w:rPr>
          <w:rFonts w:ascii="宋体" w:hAnsi="宋体" w:cs="宋体" w:eastAsia="宋体" w:hint="default"/>
          <w:sz w:val="24"/>
          <w:szCs w:val="24"/>
        </w:rPr>
      </w:pPr>
      <w:r>
        <w:rPr>
          <w:rFonts w:ascii="宋体" w:hAnsi="宋体" w:cs="宋体" w:eastAsia="宋体" w:hint="default"/>
          <w:spacing w:val="2"/>
          <w:sz w:val="24"/>
          <w:szCs w:val="24"/>
        </w:rPr>
        <w:t>6</w:t>
      </w:r>
      <w:r>
        <w:rPr>
          <w:rFonts w:ascii="宋体" w:hAnsi="宋体" w:cs="宋体" w:eastAsia="宋体" w:hint="default"/>
          <w:spacing w:val="2"/>
          <w:sz w:val="24"/>
          <w:szCs w:val="24"/>
        </w:rPr>
        <w:t>、信息披露与透明度：公司能够按法律法规真实、准确、完整、及时地披露有 </w:t>
      </w:r>
      <w:r>
        <w:rPr>
          <w:rFonts w:ascii="宋体" w:hAnsi="宋体" w:cs="宋体" w:eastAsia="宋体" w:hint="default"/>
          <w:spacing w:val="-1"/>
          <w:sz w:val="24"/>
          <w:szCs w:val="24"/>
        </w:rPr>
        <w:t>关信息，接待股东来访和咨询，做好投资者关系管理，使股东和社会公众有平等的机</w:t>
      </w:r>
      <w:r>
        <w:rPr>
          <w:rFonts w:ascii="宋体" w:hAnsi="宋体" w:cs="宋体" w:eastAsia="宋体" w:hint="default"/>
          <w:sz w:val="24"/>
          <w:szCs w:val="24"/>
        </w:rPr>
        <w:t> 会获得信息。</w:t>
      </w:r>
    </w:p>
    <w:p>
      <w:pPr>
        <w:spacing w:line="357" w:lineRule="auto" w:before="36"/>
        <w:ind w:left="623" w:right="2903" w:firstLine="0"/>
        <w:jc w:val="left"/>
        <w:rPr>
          <w:rFonts w:ascii="宋体" w:hAnsi="宋体" w:cs="宋体" w:eastAsia="宋体" w:hint="default"/>
          <w:sz w:val="24"/>
          <w:szCs w:val="24"/>
        </w:rPr>
      </w:pPr>
      <w:r>
        <w:rPr>
          <w:rFonts w:ascii="宋体" w:hAnsi="宋体" w:cs="宋体" w:eastAsia="宋体" w:hint="default"/>
          <w:sz w:val="24"/>
          <w:szCs w:val="24"/>
        </w:rPr>
        <w:t>（二）独立董事履职情况以及独立董事相关工作制度的建立健全情况 </w:t>
      </w:r>
      <w:r>
        <w:rPr>
          <w:rFonts w:ascii="宋体" w:hAnsi="宋体" w:cs="宋体" w:eastAsia="宋体" w:hint="default"/>
          <w:sz w:val="24"/>
          <w:szCs w:val="24"/>
        </w:rPr>
        <w:t>1</w:t>
      </w:r>
      <w:r>
        <w:rPr>
          <w:rFonts w:ascii="宋体" w:hAnsi="宋体" w:cs="宋体" w:eastAsia="宋体" w:hint="default"/>
          <w:sz w:val="24"/>
          <w:szCs w:val="24"/>
        </w:rPr>
        <w:t>、独立董事出席董事会的情况</w:t>
      </w:r>
    </w:p>
    <w:p>
      <w:pPr>
        <w:spacing w:after="0" w:line="357" w:lineRule="auto"/>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2057"/>
        <w:gridCol w:w="1730"/>
        <w:gridCol w:w="1301"/>
        <w:gridCol w:w="1298"/>
        <w:gridCol w:w="970"/>
        <w:gridCol w:w="1464"/>
      </w:tblGrid>
      <w:tr>
        <w:trPr>
          <w:trHeight w:val="77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
              <w:jc w:val="center"/>
              <w:rPr>
                <w:rFonts w:ascii="宋体" w:hAnsi="宋体" w:cs="宋体" w:eastAsia="宋体" w:hint="default"/>
                <w:sz w:val="24"/>
                <w:szCs w:val="24"/>
              </w:rPr>
            </w:pPr>
            <w:r>
              <w:rPr>
                <w:rFonts w:ascii="宋体" w:hAnsi="宋体" w:cs="宋体" w:eastAsia="宋体" w:hint="default"/>
                <w:sz w:val="24"/>
                <w:szCs w:val="24"/>
              </w:rPr>
              <w:t>独董姓名</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261" w:right="137" w:hanging="120"/>
              <w:jc w:val="left"/>
              <w:rPr>
                <w:rFonts w:ascii="宋体" w:hAnsi="宋体" w:cs="宋体" w:eastAsia="宋体" w:hint="default"/>
                <w:sz w:val="24"/>
                <w:szCs w:val="24"/>
              </w:rPr>
            </w:pPr>
            <w:r>
              <w:rPr>
                <w:rFonts w:ascii="宋体" w:hAnsi="宋体" w:cs="宋体" w:eastAsia="宋体" w:hint="default"/>
                <w:sz w:val="24"/>
                <w:szCs w:val="24"/>
              </w:rPr>
              <w:t>本年度应参加 董事会次数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129" w:right="122" w:firstLine="120"/>
              <w:jc w:val="left"/>
              <w:rPr>
                <w:rFonts w:ascii="宋体" w:hAnsi="宋体" w:cs="宋体" w:eastAsia="宋体" w:hint="default"/>
                <w:sz w:val="24"/>
                <w:szCs w:val="24"/>
              </w:rPr>
            </w:pPr>
            <w:r>
              <w:rPr>
                <w:rFonts w:ascii="宋体" w:hAnsi="宋体" w:cs="宋体" w:eastAsia="宋体" w:hint="default"/>
                <w:sz w:val="24"/>
                <w:szCs w:val="24"/>
              </w:rPr>
              <w:t>发表独立 意见（次）</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辛金国</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sz w:val="24"/>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6</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甘为民</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sz w:val="24"/>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6</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张</w:t>
              <w:tab/>
              <w:t>鹏</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sz w:val="24"/>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6</w:t>
            </w:r>
          </w:p>
        </w:tc>
      </w:tr>
    </w:tbl>
    <w:p>
      <w:pPr>
        <w:spacing w:line="357" w:lineRule="auto" w:before="79"/>
        <w:ind w:left="137" w:right="1301" w:firstLine="479"/>
        <w:jc w:val="both"/>
        <w:rPr>
          <w:rFonts w:ascii="宋体" w:hAnsi="宋体" w:cs="宋体" w:eastAsia="宋体" w:hint="default"/>
          <w:sz w:val="24"/>
          <w:szCs w:val="24"/>
        </w:rPr>
      </w:pPr>
      <w:r>
        <w:rPr>
          <w:rFonts w:ascii="宋体" w:hAnsi="宋体" w:cs="宋体" w:eastAsia="宋体" w:hint="default"/>
          <w:spacing w:val="-2"/>
          <w:sz w:val="24"/>
          <w:szCs w:val="24"/>
        </w:rPr>
        <w:t>报告期内，公司独立董事按照《上市公司治理准则》以及公司《独立董事工作制</w:t>
      </w:r>
      <w:r>
        <w:rPr>
          <w:rFonts w:ascii="宋体" w:hAnsi="宋体" w:cs="宋体" w:eastAsia="宋体" w:hint="default"/>
          <w:sz w:val="24"/>
          <w:szCs w:val="24"/>
        </w:rPr>
        <w:t> </w:t>
      </w:r>
      <w:r>
        <w:rPr>
          <w:rFonts w:ascii="宋体" w:hAnsi="宋体" w:cs="宋体" w:eastAsia="宋体" w:hint="default"/>
          <w:spacing w:val="-1"/>
          <w:sz w:val="24"/>
          <w:szCs w:val="24"/>
        </w:rPr>
        <w:t>度》的要求，出席了报告期内董事会会议，认真审议了董事会各项议题，诚信勤勉地</w:t>
      </w:r>
      <w:r>
        <w:rPr>
          <w:rFonts w:ascii="宋体" w:hAnsi="宋体" w:cs="宋体" w:eastAsia="宋体" w:hint="default"/>
          <w:sz w:val="24"/>
          <w:szCs w:val="24"/>
        </w:rPr>
        <w:t> </w:t>
      </w:r>
      <w:r>
        <w:rPr>
          <w:rFonts w:ascii="宋体" w:hAnsi="宋体" w:cs="宋体" w:eastAsia="宋体" w:hint="default"/>
          <w:spacing w:val="-2"/>
          <w:sz w:val="24"/>
          <w:szCs w:val="24"/>
        </w:rPr>
        <w:t>履行职责，对公司的关联交易、定期报告、重大事项、内部控制自我评价、聘任会计</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1"/>
          <w:sz w:val="24"/>
          <w:szCs w:val="24"/>
        </w:rPr>
        <w:t>师事务所、对外担保、高级管理人员聘任程序及所聘人员的任职资格是否符合有关法</w:t>
      </w:r>
      <w:r>
        <w:rPr>
          <w:rFonts w:ascii="宋体" w:hAnsi="宋体" w:cs="宋体" w:eastAsia="宋体" w:hint="default"/>
          <w:sz w:val="24"/>
          <w:szCs w:val="24"/>
        </w:rPr>
        <w:t> </w:t>
      </w:r>
      <w:r>
        <w:rPr>
          <w:rFonts w:ascii="宋体" w:hAnsi="宋体" w:cs="宋体" w:eastAsia="宋体" w:hint="default"/>
          <w:spacing w:val="-1"/>
          <w:sz w:val="24"/>
          <w:szCs w:val="24"/>
        </w:rPr>
        <w:t>律、法规的规定等事项发表了专业意见，提高了董事会决策客观性，维护了公司及中</w:t>
      </w:r>
      <w:r>
        <w:rPr>
          <w:rFonts w:ascii="宋体" w:hAnsi="宋体" w:cs="宋体" w:eastAsia="宋体" w:hint="default"/>
          <w:sz w:val="24"/>
          <w:szCs w:val="24"/>
        </w:rPr>
        <w:t> 小股东的合法权益，对公司的健康发展起到了积极作用。</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、独立董事在报告期内对公司有关事项提出异议的情况 </w:t>
      </w:r>
      <w:r>
        <w:rPr>
          <w:rFonts w:ascii="宋体" w:hAnsi="宋体" w:cs="宋体" w:eastAsia="宋体" w:hint="default"/>
          <w:spacing w:val="-2"/>
          <w:sz w:val="24"/>
          <w:szCs w:val="24"/>
        </w:rPr>
        <w:t>报告期内，公司各位独立董事没有对公司董事会议案及其他非董事会议案事项提</w:t>
      </w:r>
    </w:p>
    <w:p>
      <w:pPr>
        <w:spacing w:before="36"/>
        <w:ind w:left="137" w:right="0" w:firstLine="0"/>
        <w:jc w:val="both"/>
        <w:rPr>
          <w:rFonts w:ascii="宋体" w:hAnsi="宋体" w:cs="宋体" w:eastAsia="宋体" w:hint="default"/>
          <w:sz w:val="24"/>
          <w:szCs w:val="24"/>
        </w:rPr>
      </w:pPr>
      <w:r>
        <w:rPr>
          <w:rFonts w:ascii="宋体" w:hAnsi="宋体" w:cs="宋体" w:eastAsia="宋体" w:hint="default"/>
          <w:sz w:val="24"/>
          <w:szCs w:val="24"/>
        </w:rPr>
        <w:t>出异议。</w:t>
      </w:r>
    </w:p>
    <w:p>
      <w:pPr>
        <w:spacing w:line="357" w:lineRule="auto" w:before="154"/>
        <w:ind w:left="617" w:right="1249"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、独立董事相关工作制度的建立健全情况 公司已根据中国证监会颁布的《关于在上市公司建立独立董事制度的指导意见》</w:t>
      </w:r>
    </w:p>
    <w:p>
      <w:pPr>
        <w:spacing w:line="357" w:lineRule="auto" w:before="36"/>
        <w:ind w:left="137" w:right="1299" w:firstLine="0"/>
        <w:jc w:val="both"/>
        <w:rPr>
          <w:rFonts w:ascii="宋体" w:hAnsi="宋体" w:cs="宋体" w:eastAsia="宋体" w:hint="default"/>
          <w:sz w:val="24"/>
          <w:szCs w:val="24"/>
        </w:rPr>
      </w:pPr>
      <w:r>
        <w:rPr>
          <w:rFonts w:ascii="宋体" w:hAnsi="宋体" w:cs="宋体" w:eastAsia="宋体" w:hint="default"/>
          <w:spacing w:val="-1"/>
          <w:sz w:val="24"/>
          <w:szCs w:val="24"/>
        </w:rPr>
        <w:t>等有关规定，制定了公司《独立董事制度》、《独立董事年报工作制度》。现公司独</w:t>
      </w:r>
      <w:r>
        <w:rPr>
          <w:rFonts w:ascii="宋体" w:hAnsi="宋体" w:cs="宋体" w:eastAsia="宋体" w:hint="default"/>
          <w:sz w:val="24"/>
          <w:szCs w:val="24"/>
        </w:rPr>
        <w:t> </w:t>
      </w:r>
      <w:r>
        <w:rPr>
          <w:rFonts w:ascii="宋体" w:hAnsi="宋体" w:cs="宋体" w:eastAsia="宋体" w:hint="default"/>
          <w:spacing w:val="-1"/>
          <w:sz w:val="24"/>
          <w:szCs w:val="24"/>
        </w:rPr>
        <w:t>立董事的人员构成、任职资格等方面均符合中国证监会各项规定，各项制度均得以有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效执行。</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（三）公司与控股股东在业务、人员、资产、机构、财务上的分开情况 </w:t>
      </w:r>
      <w:r>
        <w:rPr>
          <w:rFonts w:ascii="宋体" w:hAnsi="宋体" w:cs="宋体" w:eastAsia="宋体" w:hint="default"/>
          <w:spacing w:val="-2"/>
          <w:sz w:val="24"/>
          <w:szCs w:val="24"/>
        </w:rPr>
        <w:t>公司与控股股东在业务、人员、资产、机构、财务上已经做到“五分开”，不存</w:t>
      </w:r>
    </w:p>
    <w:p>
      <w:pPr>
        <w:spacing w:line="357" w:lineRule="auto" w:before="36"/>
        <w:ind w:left="617" w:right="1609" w:hanging="480"/>
        <w:jc w:val="left"/>
        <w:rPr>
          <w:rFonts w:ascii="宋体" w:hAnsi="宋体" w:cs="宋体" w:eastAsia="宋体" w:hint="default"/>
          <w:sz w:val="24"/>
          <w:szCs w:val="24"/>
        </w:rPr>
      </w:pPr>
      <w:r>
        <w:rPr>
          <w:rFonts w:ascii="宋体" w:hAnsi="宋体" w:cs="宋体" w:eastAsia="宋体" w:hint="default"/>
          <w:sz w:val="24"/>
          <w:szCs w:val="24"/>
        </w:rPr>
        <w:t>在向控股股东报送未公开信息等有违公司治理准则的非规范行为。 </w:t>
      </w:r>
      <w:r>
        <w:rPr>
          <w:rFonts w:ascii="宋体" w:hAnsi="宋体" w:cs="宋体" w:eastAsia="宋体" w:hint="default"/>
          <w:sz w:val="24"/>
          <w:szCs w:val="24"/>
        </w:rPr>
        <w:t>1</w:t>
      </w:r>
      <w:r>
        <w:rPr>
          <w:rFonts w:ascii="宋体" w:hAnsi="宋体" w:cs="宋体" w:eastAsia="宋体" w:hint="default"/>
          <w:sz w:val="24"/>
          <w:szCs w:val="24"/>
        </w:rPr>
        <w:t>、业务方面：公司独立于控股股东，具有独立完整的业务及自主经营能力。</w:t>
      </w:r>
    </w:p>
    <w:p>
      <w:pPr>
        <w:spacing w:line="357" w:lineRule="auto" w:before="36"/>
        <w:ind w:left="137" w:right="1301" w:firstLine="479"/>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、人员方面：公司在人事、薪酬管理方面进行独立管理；公司与所有员工均签 </w:t>
      </w:r>
      <w:r>
        <w:rPr>
          <w:rFonts w:ascii="宋体" w:hAnsi="宋体" w:cs="宋体" w:eastAsia="宋体" w:hint="default"/>
          <w:spacing w:val="-2"/>
          <w:sz w:val="24"/>
          <w:szCs w:val="24"/>
        </w:rPr>
        <w:t>定了劳动合同，并在公司领取薪酬。公司总裁、副总裁、财务总监、董秘等高级管理</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1"/>
          <w:sz w:val="24"/>
          <w:szCs w:val="24"/>
        </w:rPr>
        <w:t>人员专职在公司及控股子公司工作，均在公司领取报酬；控股股东推荐的董事、监事</w:t>
      </w:r>
      <w:r>
        <w:rPr>
          <w:rFonts w:ascii="宋体" w:hAnsi="宋体" w:cs="宋体" w:eastAsia="宋体" w:hint="default"/>
          <w:sz w:val="24"/>
          <w:szCs w:val="24"/>
        </w:rPr>
        <w:t> 通过合法程序任职，没有干预公司董事会和股东大会作出的人事任免决定的情况。</w:t>
      </w:r>
    </w:p>
    <w:p>
      <w:pPr>
        <w:spacing w:line="357" w:lineRule="auto" w:before="36"/>
        <w:ind w:left="137" w:right="1166" w:firstLine="479"/>
        <w:jc w:val="left"/>
        <w:rPr>
          <w:rFonts w:ascii="宋体" w:hAnsi="宋体" w:cs="宋体" w:eastAsia="宋体" w:hint="default"/>
          <w:sz w:val="24"/>
          <w:szCs w:val="24"/>
        </w:rPr>
      </w:pPr>
      <w:r>
        <w:rPr>
          <w:rFonts w:ascii="宋体" w:hAnsi="宋体" w:cs="宋体" w:eastAsia="宋体" w:hint="default"/>
          <w:spacing w:val="-1"/>
          <w:sz w:val="24"/>
          <w:szCs w:val="24"/>
        </w:rPr>
        <w:t>3</w:t>
      </w:r>
      <w:r>
        <w:rPr>
          <w:rFonts w:ascii="宋体" w:hAnsi="宋体" w:cs="宋体" w:eastAsia="宋体" w:hint="default"/>
          <w:spacing w:val="-1"/>
          <w:sz w:val="24"/>
          <w:szCs w:val="24"/>
        </w:rPr>
        <w:t>、资产方面：公司拥有独立于控股股东的生产系统、辅助生产系统和配套设施、</w:t>
      </w:r>
      <w:r>
        <w:rPr>
          <w:rFonts w:ascii="宋体" w:hAnsi="宋体" w:cs="宋体" w:eastAsia="宋体" w:hint="default"/>
          <w:sz w:val="24"/>
          <w:szCs w:val="24"/>
        </w:rPr>
        <w:t> 土地使用权等；公司拥有独立的采购和销售系统。</w:t>
      </w:r>
    </w:p>
    <w:p>
      <w:pPr>
        <w:spacing w:after="0" w:line="357" w:lineRule="auto"/>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143" w:right="1622" w:firstLine="480"/>
        <w:jc w:val="left"/>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、机构方面：公司具有完整、独立的法人治理结构，公司的股东大会、董事会、</w:t>
      </w:r>
      <w:r>
        <w:rPr>
          <w:rFonts w:ascii="宋体" w:hAnsi="宋体" w:cs="宋体" w:eastAsia="宋体" w:hint="default"/>
          <w:sz w:val="24"/>
          <w:szCs w:val="24"/>
        </w:rPr>
        <w:t> 监事会、经营管理机构等均依法设立，并规范运作；不存在与控股股东合署办公的情 况。</w:t>
      </w:r>
    </w:p>
    <w:p>
      <w:pPr>
        <w:spacing w:line="357" w:lineRule="auto" w:before="36"/>
        <w:ind w:left="143" w:right="1753" w:firstLine="480"/>
        <w:jc w:val="left"/>
        <w:rPr>
          <w:rFonts w:ascii="宋体" w:hAnsi="宋体" w:cs="宋体" w:eastAsia="宋体" w:hint="default"/>
          <w:sz w:val="24"/>
          <w:szCs w:val="24"/>
        </w:rPr>
      </w:pPr>
      <w:r>
        <w:rPr>
          <w:rFonts w:ascii="宋体" w:hAnsi="宋体" w:cs="宋体" w:eastAsia="宋体" w:hint="default"/>
          <w:spacing w:val="2"/>
          <w:sz w:val="24"/>
          <w:szCs w:val="24"/>
        </w:rPr>
        <w:t>5</w:t>
      </w:r>
      <w:r>
        <w:rPr>
          <w:rFonts w:ascii="宋体" w:hAnsi="宋体" w:cs="宋体" w:eastAsia="宋体" w:hint="default"/>
          <w:spacing w:val="2"/>
          <w:sz w:val="24"/>
          <w:szCs w:val="24"/>
        </w:rPr>
        <w:t>、财务方面：公司设有独立的财务部门，并建立了独立的会计核算体系和财务 </w:t>
      </w:r>
      <w:r>
        <w:rPr>
          <w:rFonts w:ascii="宋体" w:hAnsi="宋体" w:cs="宋体" w:eastAsia="宋体" w:hint="default"/>
          <w:sz w:val="24"/>
          <w:szCs w:val="24"/>
        </w:rPr>
        <w:t>管理制度，开立了独立的银行帐户和税务登记号，独立经营纳税。</w:t>
      </w:r>
    </w:p>
    <w:p>
      <w:pPr>
        <w:spacing w:line="357" w:lineRule="auto"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（四）公司内部控制制度的建立和健全情况 </w:t>
      </w:r>
      <w:r>
        <w:rPr>
          <w:rFonts w:ascii="宋体" w:hAnsi="宋体" w:cs="宋体" w:eastAsia="宋体" w:hint="default"/>
          <w:spacing w:val="-2"/>
          <w:sz w:val="24"/>
          <w:szCs w:val="24"/>
        </w:rPr>
        <w:t>报告期内，根据证监会的要求，为提高年报信息披露质量，公司结合实际情况制</w:t>
      </w:r>
    </w:p>
    <w:p>
      <w:pPr>
        <w:spacing w:before="36"/>
        <w:ind w:left="143" w:right="1622" w:firstLine="0"/>
        <w:jc w:val="left"/>
        <w:rPr>
          <w:rFonts w:ascii="宋体" w:hAnsi="宋体" w:cs="宋体" w:eastAsia="宋体" w:hint="default"/>
          <w:sz w:val="24"/>
          <w:szCs w:val="24"/>
        </w:rPr>
      </w:pPr>
      <w:r>
        <w:rPr>
          <w:rFonts w:ascii="宋体" w:hAnsi="宋体" w:cs="宋体" w:eastAsia="宋体" w:hint="default"/>
          <w:sz w:val="24"/>
          <w:szCs w:val="24"/>
        </w:rPr>
        <w:t>订了《年报信息披露重大差错责任追究制度》、《内幕信息知情人登记备案制度》、</w:t>
      </w:r>
    </w:p>
    <w:p>
      <w:pPr>
        <w:spacing w:line="357" w:lineRule="auto" w:before="154"/>
        <w:ind w:left="143" w:right="1622" w:firstLine="0"/>
        <w:jc w:val="left"/>
        <w:rPr>
          <w:rFonts w:ascii="宋体" w:hAnsi="宋体" w:cs="宋体" w:eastAsia="宋体" w:hint="default"/>
          <w:sz w:val="24"/>
          <w:szCs w:val="24"/>
        </w:rPr>
      </w:pPr>
      <w:r>
        <w:rPr>
          <w:rFonts w:ascii="宋体" w:hAnsi="宋体" w:cs="宋体" w:eastAsia="宋体" w:hint="default"/>
          <w:spacing w:val="-5"/>
          <w:sz w:val="24"/>
          <w:szCs w:val="24"/>
        </w:rPr>
        <w:t>《外部信息报送和使用管理制度》、《会计师事务所选聘制度》，且已经公司董事会、</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股东大会审议通过。目前公司治理的实际情况与中国证监会发布的有关上市公司治理</w:t>
      </w:r>
      <w:r>
        <w:rPr>
          <w:rFonts w:ascii="宋体" w:hAnsi="宋体" w:cs="宋体" w:eastAsia="宋体" w:hint="default"/>
          <w:sz w:val="24"/>
          <w:szCs w:val="24"/>
        </w:rPr>
        <w:t> 规范性文件的要求基本相符。</w:t>
      </w:r>
    </w:p>
    <w:p>
      <w:pPr>
        <w:spacing w:line="357" w:lineRule="auto" w:before="36"/>
        <w:ind w:left="143" w:right="1753" w:firstLine="480"/>
        <w:jc w:val="both"/>
        <w:rPr>
          <w:rFonts w:ascii="宋体" w:hAnsi="宋体" w:cs="宋体" w:eastAsia="宋体" w:hint="default"/>
          <w:sz w:val="24"/>
          <w:szCs w:val="24"/>
        </w:rPr>
      </w:pPr>
      <w:r>
        <w:rPr>
          <w:rFonts w:ascii="宋体" w:hAnsi="宋体" w:cs="宋体" w:eastAsia="宋体" w:hint="default"/>
          <w:spacing w:val="-5"/>
          <w:sz w:val="24"/>
          <w:szCs w:val="24"/>
        </w:rPr>
        <w:t>本公司《</w:t>
      </w:r>
      <w:r>
        <w:rPr>
          <w:rFonts w:ascii="宋体" w:hAnsi="宋体" w:cs="宋体" w:eastAsia="宋体" w:hint="default"/>
          <w:spacing w:val="-5"/>
          <w:sz w:val="24"/>
          <w:szCs w:val="24"/>
        </w:rPr>
        <w:t>2010</w:t>
      </w:r>
      <w:r>
        <w:rPr>
          <w:rFonts w:ascii="宋体" w:hAnsi="宋体" w:cs="宋体" w:eastAsia="宋体" w:hint="default"/>
          <w:spacing w:val="-36"/>
          <w:sz w:val="24"/>
          <w:szCs w:val="24"/>
        </w:rPr>
        <w:t> </w:t>
      </w:r>
      <w:r>
        <w:rPr>
          <w:rFonts w:ascii="宋体" w:hAnsi="宋体" w:cs="宋体" w:eastAsia="宋体" w:hint="default"/>
          <w:spacing w:val="-3"/>
          <w:sz w:val="24"/>
          <w:szCs w:val="24"/>
        </w:rPr>
        <w:t>年度内部控制自我评价报告》，经公司六届十七次董事会会议审议</w:t>
      </w:r>
      <w:r>
        <w:rPr>
          <w:rFonts w:ascii="宋体" w:hAnsi="宋体" w:cs="宋体" w:eastAsia="宋体" w:hint="default"/>
          <w:sz w:val="24"/>
          <w:szCs w:val="24"/>
        </w:rPr>
        <w:t> 通过。具体情况请参阅与公司</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年年度报告同时披露的《公司</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年度内部控制 自我评价报告》。</w:t>
      </w:r>
    </w:p>
    <w:p>
      <w:pPr>
        <w:spacing w:line="357" w:lineRule="auto" w:before="36"/>
        <w:ind w:left="676" w:right="6810" w:hanging="53"/>
        <w:jc w:val="left"/>
        <w:rPr>
          <w:rFonts w:ascii="宋体" w:hAnsi="宋体" w:cs="宋体" w:eastAsia="宋体" w:hint="default"/>
          <w:sz w:val="24"/>
          <w:szCs w:val="24"/>
        </w:rPr>
      </w:pPr>
      <w:r>
        <w:rPr>
          <w:rFonts w:ascii="宋体" w:hAnsi="宋体" w:cs="宋体" w:eastAsia="宋体" w:hint="default"/>
          <w:sz w:val="24"/>
          <w:szCs w:val="24"/>
        </w:rPr>
        <w:t>（五）公司内部控制自我评价 </w:t>
      </w:r>
      <w:r>
        <w:rPr>
          <w:rFonts w:ascii="宋体" w:hAnsi="宋体" w:cs="宋体" w:eastAsia="宋体" w:hint="default"/>
          <w:sz w:val="24"/>
          <w:szCs w:val="24"/>
        </w:rPr>
        <w:t>1</w:t>
      </w:r>
      <w:r>
        <w:rPr>
          <w:rFonts w:ascii="宋体" w:hAnsi="宋体" w:cs="宋体" w:eastAsia="宋体" w:hint="default"/>
          <w:sz w:val="24"/>
          <w:szCs w:val="24"/>
        </w:rPr>
        <w:t>、公司内部控制自我评价报告</w:t>
      </w:r>
    </w:p>
    <w:p>
      <w:pPr>
        <w:spacing w:line="357" w:lineRule="auto" w:before="36"/>
        <w:ind w:left="143" w:right="1622" w:firstLine="532"/>
        <w:jc w:val="left"/>
        <w:rPr>
          <w:rFonts w:ascii="宋体" w:hAnsi="宋体" w:cs="宋体" w:eastAsia="宋体" w:hint="default"/>
          <w:sz w:val="24"/>
          <w:szCs w:val="24"/>
        </w:rPr>
      </w:pPr>
      <w:r>
        <w:rPr>
          <w:rFonts w:ascii="宋体" w:hAnsi="宋体" w:cs="宋体" w:eastAsia="宋体" w:hint="default"/>
          <w:sz w:val="24"/>
          <w:szCs w:val="24"/>
        </w:rPr>
        <w:t>公司第六届董事会第十七次会议审议通过了《公司 </w:t>
      </w:r>
      <w:r>
        <w:rPr>
          <w:rFonts w:ascii="宋体" w:hAnsi="宋体" w:cs="宋体" w:eastAsia="宋体" w:hint="default"/>
          <w:sz w:val="24"/>
          <w:szCs w:val="24"/>
        </w:rPr>
        <w:t>2010</w:t>
      </w:r>
      <w:r>
        <w:rPr>
          <w:rFonts w:ascii="宋体" w:hAnsi="宋体" w:cs="宋体" w:eastAsia="宋体" w:hint="default"/>
          <w:spacing w:val="-92"/>
          <w:sz w:val="24"/>
          <w:szCs w:val="24"/>
        </w:rPr>
        <w:t> </w:t>
      </w:r>
      <w:r>
        <w:rPr>
          <w:rFonts w:ascii="宋体" w:hAnsi="宋体" w:cs="宋体" w:eastAsia="宋体" w:hint="default"/>
          <w:sz w:val="24"/>
          <w:szCs w:val="24"/>
        </w:rPr>
        <w:t>年度内部控制自我评价 报告》，公司董事会认为：从公司现有的内部控制制度及实际运作效果来看，符合国 家有关法律法规和证券监管部门的要求，内部控制制度具有合法性、合理性、有效性 </w:t>
      </w:r>
      <w:r>
        <w:rPr>
          <w:rFonts w:ascii="宋体" w:hAnsi="宋体" w:cs="宋体" w:eastAsia="宋体" w:hint="default"/>
          <w:spacing w:val="-5"/>
          <w:sz w:val="24"/>
          <w:szCs w:val="24"/>
        </w:rPr>
        <w:t>和适用性，能够适应公司管理的要求和发展的需要。公司内部控制活动涵盖法人治理、</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经营管理、生产活动等各个环节，具有较为科学合理的决策、执行和监督机制，并在</w:t>
      </w:r>
      <w:r>
        <w:rPr>
          <w:rFonts w:ascii="宋体" w:hAnsi="宋体" w:cs="宋体" w:eastAsia="宋体" w:hint="default"/>
          <w:sz w:val="24"/>
          <w:szCs w:val="24"/>
        </w:rPr>
        <w:t> 生产经营活动中得到严格遵循和实施，有利于公司规范运作和公司治理水平的提高。</w:t>
      </w:r>
    </w:p>
    <w:p>
      <w:pPr>
        <w:spacing w:line="357" w:lineRule="auto" w:before="36"/>
        <w:ind w:left="676" w:right="1741" w:hanging="5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、公司监事会对公司内部控制自我评估的意见 公司第六届监事会第十次会议审议通过了《公司 </w:t>
      </w:r>
      <w:r>
        <w:rPr>
          <w:rFonts w:ascii="宋体" w:hAnsi="宋体" w:cs="宋体" w:eastAsia="宋体" w:hint="default"/>
          <w:sz w:val="24"/>
          <w:szCs w:val="24"/>
        </w:rPr>
        <w:t>2010</w:t>
      </w:r>
      <w:r>
        <w:rPr>
          <w:rFonts w:ascii="宋体" w:hAnsi="宋体" w:cs="宋体" w:eastAsia="宋体" w:hint="default"/>
          <w:spacing w:val="-91"/>
          <w:sz w:val="24"/>
          <w:szCs w:val="24"/>
        </w:rPr>
        <w:t> </w:t>
      </w:r>
      <w:r>
        <w:rPr>
          <w:rFonts w:ascii="宋体" w:hAnsi="宋体" w:cs="宋体" w:eastAsia="宋体" w:hint="default"/>
          <w:sz w:val="24"/>
          <w:szCs w:val="24"/>
        </w:rPr>
        <w:t>年度内部控制自我评价报</w:t>
      </w:r>
    </w:p>
    <w:p>
      <w:pPr>
        <w:spacing w:line="357" w:lineRule="auto" w:before="36"/>
        <w:ind w:left="676" w:right="1740" w:hanging="533"/>
        <w:jc w:val="left"/>
        <w:rPr>
          <w:rFonts w:ascii="宋体" w:hAnsi="宋体" w:cs="宋体" w:eastAsia="宋体" w:hint="default"/>
          <w:sz w:val="24"/>
          <w:szCs w:val="24"/>
        </w:rPr>
      </w:pPr>
      <w:r>
        <w:rPr>
          <w:rFonts w:ascii="宋体" w:hAnsi="宋体" w:cs="宋体" w:eastAsia="宋体" w:hint="default"/>
          <w:sz w:val="24"/>
          <w:szCs w:val="24"/>
        </w:rPr>
        <w:t>告》，公司监事会对公司内部控制自我评价发表意见如下： </w:t>
      </w:r>
      <w:r>
        <w:rPr>
          <w:rFonts w:ascii="宋体" w:hAnsi="宋体" w:cs="宋体" w:eastAsia="宋体" w:hint="default"/>
          <w:sz w:val="24"/>
          <w:szCs w:val="24"/>
        </w:rPr>
        <w:t>1</w:t>
      </w:r>
      <w:r>
        <w:rPr>
          <w:rFonts w:ascii="宋体" w:hAnsi="宋体" w:cs="宋体" w:eastAsia="宋体" w:hint="default"/>
          <w:sz w:val="24"/>
          <w:szCs w:val="24"/>
        </w:rPr>
        <w:t>）公司根据中国证监会、深圳证券交易所的有关规定，遵循内部控制的基本原</w:t>
      </w:r>
    </w:p>
    <w:p>
      <w:pPr>
        <w:spacing w:line="357" w:lineRule="auto" w:before="36"/>
        <w:ind w:left="143" w:right="1740" w:firstLine="0"/>
        <w:jc w:val="left"/>
        <w:rPr>
          <w:rFonts w:ascii="宋体" w:hAnsi="宋体" w:cs="宋体" w:eastAsia="宋体" w:hint="default"/>
          <w:sz w:val="24"/>
          <w:szCs w:val="24"/>
        </w:rPr>
      </w:pPr>
      <w:r>
        <w:rPr>
          <w:rFonts w:ascii="宋体" w:hAnsi="宋体" w:cs="宋体" w:eastAsia="宋体" w:hint="default"/>
          <w:spacing w:val="-1"/>
          <w:sz w:val="24"/>
          <w:szCs w:val="24"/>
        </w:rPr>
        <w:t>则，按照自身的实际情况，建立健全了覆盖公司各环节的内部控制制度，保证了公司</w:t>
      </w:r>
      <w:r>
        <w:rPr>
          <w:rFonts w:ascii="宋体" w:hAnsi="宋体" w:cs="宋体" w:eastAsia="宋体" w:hint="default"/>
          <w:sz w:val="24"/>
          <w:szCs w:val="24"/>
        </w:rPr>
        <w:t> 业务活动的正常进行，保护公司资产的安全和完整。</w:t>
      </w:r>
    </w:p>
    <w:p>
      <w:pPr>
        <w:spacing w:before="36"/>
        <w:ind w:left="676" w:right="174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）公司内部控制组织机构完整，内部审计部门及人员配备齐全到位，保证了公</w:t>
      </w:r>
    </w:p>
    <w:p>
      <w:pPr>
        <w:spacing w:after="0"/>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1"/>
        <w:rPr>
          <w:rFonts w:ascii="宋体" w:hAnsi="宋体" w:cs="宋体" w:eastAsia="宋体" w:hint="default"/>
          <w:sz w:val="29"/>
          <w:szCs w:val="29"/>
        </w:rPr>
      </w:pPr>
    </w:p>
    <w:p>
      <w:pPr>
        <w:spacing w:line="357" w:lineRule="auto" w:before="26"/>
        <w:ind w:left="670" w:right="1166" w:hanging="533"/>
        <w:jc w:val="left"/>
        <w:rPr>
          <w:rFonts w:ascii="宋体" w:hAnsi="宋体" w:cs="宋体" w:eastAsia="宋体" w:hint="default"/>
          <w:sz w:val="24"/>
          <w:szCs w:val="24"/>
        </w:rPr>
      </w:pPr>
      <w:r>
        <w:rPr>
          <w:rFonts w:ascii="宋体" w:hAnsi="宋体" w:cs="宋体" w:eastAsia="宋体" w:hint="default"/>
          <w:sz w:val="24"/>
          <w:szCs w:val="24"/>
        </w:rPr>
        <w:t>司内部控制重点活动的执行及监督充分有效。 </w:t>
      </w:r>
      <w:r>
        <w:rPr>
          <w:rFonts w:ascii="宋体" w:hAnsi="宋体" w:cs="宋体" w:eastAsia="宋体" w:hint="default"/>
          <w:sz w:val="24"/>
          <w:szCs w:val="24"/>
        </w:rPr>
        <w:t>3</w:t>
      </w:r>
      <w:r>
        <w:rPr>
          <w:rFonts w:ascii="宋体" w:hAnsi="宋体" w:cs="宋体" w:eastAsia="宋体" w:hint="default"/>
          <w:sz w:val="24"/>
          <w:szCs w:val="24"/>
        </w:rPr>
        <w:t>）自我评价真实、完整地反映了公司内部控制制度建立、健全和执行的现状，</w:t>
      </w:r>
    </w:p>
    <w:p>
      <w:pPr>
        <w:spacing w:line="357" w:lineRule="auto" w:before="36"/>
        <w:ind w:left="137" w:right="1287" w:firstLine="0"/>
        <w:jc w:val="left"/>
        <w:rPr>
          <w:rFonts w:ascii="宋体" w:hAnsi="宋体" w:cs="宋体" w:eastAsia="宋体" w:hint="default"/>
          <w:sz w:val="24"/>
          <w:szCs w:val="24"/>
        </w:rPr>
      </w:pPr>
      <w:r>
        <w:rPr>
          <w:rFonts w:ascii="宋体" w:hAnsi="宋体" w:cs="宋体" w:eastAsia="宋体" w:hint="default"/>
          <w:spacing w:val="-3"/>
          <w:sz w:val="24"/>
          <w:szCs w:val="24"/>
        </w:rPr>
        <w:t>符合公司内部控制的需要，对内部控制的总体评价是客观、准确的。</w:t>
      </w:r>
      <w:r>
        <w:rPr>
          <w:rFonts w:ascii="宋体" w:hAnsi="宋体" w:cs="宋体" w:eastAsia="宋体" w:hint="default"/>
          <w:spacing w:val="-3"/>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年公司没有 违反深交所《上市公司内部控制指引》及公司内部控制制度的情形发生。</w:t>
      </w:r>
    </w:p>
    <w:p>
      <w:pPr>
        <w:spacing w:line="357" w:lineRule="auto" w:before="36"/>
        <w:ind w:left="137" w:right="1299" w:firstLine="532"/>
        <w:jc w:val="both"/>
        <w:rPr>
          <w:rFonts w:ascii="宋体" w:hAnsi="宋体" w:cs="宋体" w:eastAsia="宋体" w:hint="default"/>
          <w:sz w:val="24"/>
          <w:szCs w:val="24"/>
        </w:rPr>
      </w:pPr>
      <w:r>
        <w:rPr>
          <w:rFonts w:ascii="宋体" w:hAnsi="宋体" w:cs="宋体" w:eastAsia="宋体" w:hint="default"/>
          <w:spacing w:val="-3"/>
          <w:sz w:val="24"/>
          <w:szCs w:val="24"/>
        </w:rPr>
        <w:t>综上所述，监事会认为，公司内部控制自我评价全面、真实、准确，反映了公司</w:t>
      </w:r>
      <w:r>
        <w:rPr>
          <w:rFonts w:ascii="宋体" w:hAnsi="宋体" w:cs="宋体" w:eastAsia="宋体" w:hint="default"/>
          <w:sz w:val="24"/>
          <w:szCs w:val="24"/>
        </w:rPr>
        <w:t> 内部控制的实际情况。</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、公司独立董事对公司内部控制自我评价的意见</w:t>
      </w:r>
    </w:p>
    <w:p>
      <w:pPr>
        <w:spacing w:line="357" w:lineRule="auto" w:before="154"/>
        <w:ind w:left="137" w:right="1299" w:firstLine="479"/>
        <w:jc w:val="both"/>
        <w:rPr>
          <w:rFonts w:ascii="宋体" w:hAnsi="宋体" w:cs="宋体" w:eastAsia="宋体" w:hint="default"/>
          <w:sz w:val="24"/>
          <w:szCs w:val="24"/>
        </w:rPr>
      </w:pPr>
      <w:r>
        <w:rPr>
          <w:rFonts w:ascii="宋体" w:hAnsi="宋体" w:cs="宋体" w:eastAsia="宋体" w:hint="default"/>
          <w:spacing w:val="-1"/>
          <w:sz w:val="24"/>
          <w:szCs w:val="24"/>
        </w:rPr>
        <w:t>2010</w:t>
      </w:r>
      <w:r>
        <w:rPr>
          <w:rFonts w:ascii="宋体" w:hAnsi="宋体" w:cs="宋体" w:eastAsia="宋体" w:hint="default"/>
          <w:spacing w:val="-1"/>
          <w:sz w:val="24"/>
          <w:szCs w:val="24"/>
        </w:rPr>
        <w:t>年，公司根据实际情况制定和完善了一系列公司管理制度，公司内部控制制</w:t>
      </w:r>
      <w:r>
        <w:rPr>
          <w:rFonts w:ascii="宋体" w:hAnsi="宋体" w:cs="宋体" w:eastAsia="宋体" w:hint="default"/>
          <w:sz w:val="24"/>
          <w:szCs w:val="24"/>
        </w:rPr>
        <w:t> </w:t>
      </w:r>
      <w:r>
        <w:rPr>
          <w:rFonts w:ascii="宋体" w:hAnsi="宋体" w:cs="宋体" w:eastAsia="宋体" w:hint="default"/>
          <w:spacing w:val="-1"/>
          <w:sz w:val="24"/>
          <w:szCs w:val="24"/>
        </w:rPr>
        <w:t>度进一步健全完善，上述各项内部控制制度符合国家有关法律、法规和监管部门的要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求。公司各项内部控制制度符合国家有关法律、法规和监管部门的要求。公司内部控</w:t>
      </w:r>
      <w:r>
        <w:rPr>
          <w:rFonts w:ascii="宋体" w:hAnsi="宋体" w:cs="宋体" w:eastAsia="宋体" w:hint="default"/>
          <w:sz w:val="24"/>
          <w:szCs w:val="24"/>
        </w:rPr>
        <w:t> </w:t>
      </w:r>
      <w:r>
        <w:rPr>
          <w:rFonts w:ascii="宋体" w:hAnsi="宋体" w:cs="宋体" w:eastAsia="宋体" w:hint="default"/>
          <w:spacing w:val="-1"/>
          <w:sz w:val="24"/>
          <w:szCs w:val="24"/>
        </w:rPr>
        <w:t>制重点活动均能按照公司内部控制各项制度的规定进行，公司对关联交易、重大经营</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活动、对外担保、信息披露的内部控制严格、充分、有效，保证了公司经营管理的正</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1"/>
          <w:sz w:val="24"/>
          <w:szCs w:val="24"/>
        </w:rPr>
        <w:t>常进行，具有合理性、完整性和有效性。公司内部控制自我评价符合公司内部控制的</w:t>
      </w:r>
      <w:r>
        <w:rPr>
          <w:rFonts w:ascii="宋体" w:hAnsi="宋体" w:cs="宋体" w:eastAsia="宋体" w:hint="default"/>
          <w:sz w:val="24"/>
          <w:szCs w:val="24"/>
        </w:rPr>
        <w:t> 实际情况，同意公司内部控制自我评价报告。</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（六）公司对高级管理人员的考评及激励机制 </w:t>
      </w:r>
      <w:r>
        <w:rPr>
          <w:rFonts w:ascii="宋体" w:hAnsi="宋体" w:cs="宋体" w:eastAsia="宋体" w:hint="default"/>
          <w:spacing w:val="-2"/>
          <w:sz w:val="24"/>
          <w:szCs w:val="24"/>
        </w:rPr>
        <w:t>公司建立了完善的考评和激励机制，公司董事会下设薪酬与考核委员会对高级管</w:t>
      </w:r>
    </w:p>
    <w:p>
      <w:pPr>
        <w:spacing w:line="357" w:lineRule="auto" w:before="36"/>
        <w:ind w:left="137" w:right="1166" w:firstLine="0"/>
        <w:jc w:val="left"/>
        <w:rPr>
          <w:rFonts w:ascii="宋体" w:hAnsi="宋体" w:cs="宋体" w:eastAsia="宋体" w:hint="default"/>
          <w:sz w:val="24"/>
          <w:szCs w:val="24"/>
        </w:rPr>
      </w:pPr>
      <w:r>
        <w:rPr>
          <w:rFonts w:ascii="宋体" w:hAnsi="宋体" w:cs="宋体" w:eastAsia="宋体" w:hint="default"/>
          <w:spacing w:val="-2"/>
          <w:sz w:val="24"/>
          <w:szCs w:val="24"/>
        </w:rPr>
        <w:t>理人员进行严格的考评，主要考评指标包括：经济责任指标、质量与安全指标、重点</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工作推进情况指标等。</w:t>
      </w:r>
    </w:p>
    <w:p>
      <w:pPr>
        <w:spacing w:after="0" w:line="357" w:lineRule="auto"/>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6"/>
        <w:rPr>
          <w:rFonts w:ascii="宋体" w:hAnsi="宋体" w:cs="宋体" w:eastAsia="宋体" w:hint="default"/>
          <w:sz w:val="29"/>
          <w:szCs w:val="29"/>
        </w:rPr>
      </w:pPr>
    </w:p>
    <w:p>
      <w:pPr>
        <w:spacing w:before="14"/>
        <w:ind w:left="705" w:right="1740" w:firstLine="0"/>
        <w:jc w:val="left"/>
        <w:rPr>
          <w:rFonts w:ascii="宋体" w:hAnsi="宋体" w:cs="宋体" w:eastAsia="宋体" w:hint="default"/>
          <w:sz w:val="28"/>
          <w:szCs w:val="28"/>
        </w:rPr>
      </w:pPr>
      <w:r>
        <w:rPr>
          <w:rFonts w:ascii="宋体" w:hAnsi="宋体" w:cs="宋体" w:eastAsia="宋体" w:hint="default"/>
          <w:b/>
          <w:bCs/>
          <w:sz w:val="28"/>
          <w:szCs w:val="28"/>
        </w:rPr>
        <w:t>六、股东大会情况简介</w:t>
      </w:r>
      <w:r>
        <w:rPr>
          <w:rFonts w:ascii="宋体" w:hAnsi="宋体" w:cs="宋体" w:eastAsia="宋体" w:hint="default"/>
          <w:sz w:val="28"/>
          <w:szCs w:val="28"/>
        </w:rPr>
      </w:r>
    </w:p>
    <w:p>
      <w:pPr>
        <w:spacing w:line="240" w:lineRule="auto" w:before="0"/>
        <w:rPr>
          <w:rFonts w:ascii="宋体" w:hAnsi="宋体" w:cs="宋体" w:eastAsia="宋体" w:hint="default"/>
          <w:b/>
          <w:bCs/>
          <w:sz w:val="24"/>
          <w:szCs w:val="24"/>
        </w:rPr>
      </w:pPr>
    </w:p>
    <w:p>
      <w:pPr>
        <w:spacing w:line="350" w:lineRule="auto" w:before="0"/>
        <w:ind w:left="623" w:right="6143" w:firstLine="0"/>
        <w:jc w:val="left"/>
        <w:rPr>
          <w:rFonts w:ascii="宋体" w:hAnsi="宋体" w:cs="宋体" w:eastAsia="宋体" w:hint="default"/>
          <w:sz w:val="24"/>
          <w:szCs w:val="24"/>
        </w:rPr>
      </w:pPr>
      <w:r>
        <w:rPr>
          <w:rFonts w:ascii="宋体" w:hAnsi="宋体" w:cs="宋体" w:eastAsia="宋体" w:hint="default"/>
          <w:sz w:val="24"/>
          <w:szCs w:val="24"/>
        </w:rPr>
        <w:t>报告期内公司共召开了</w:t>
      </w:r>
      <w:r>
        <w:rPr>
          <w:rFonts w:ascii="宋体" w:hAnsi="宋体" w:cs="宋体" w:eastAsia="宋体" w:hint="default"/>
          <w:sz w:val="24"/>
          <w:szCs w:val="24"/>
        </w:rPr>
        <w:t>4</w:t>
      </w:r>
      <w:r>
        <w:rPr>
          <w:rFonts w:ascii="宋体" w:hAnsi="宋体" w:cs="宋体" w:eastAsia="宋体" w:hint="default"/>
          <w:sz w:val="24"/>
          <w:szCs w:val="24"/>
        </w:rPr>
        <w:t>次股东大会：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年第一次临时股东大会</w:t>
      </w:r>
    </w:p>
    <w:p>
      <w:pPr>
        <w:spacing w:line="350" w:lineRule="auto" w:before="36"/>
        <w:ind w:left="143" w:right="1622" w:firstLine="480"/>
        <w:jc w:val="left"/>
        <w:rPr>
          <w:rFonts w:ascii="宋体" w:hAnsi="宋体" w:cs="宋体" w:eastAsia="宋体" w:hint="default"/>
          <w:sz w:val="24"/>
          <w:szCs w:val="24"/>
        </w:rPr>
      </w:pPr>
      <w:r>
        <w:rPr>
          <w:rFonts w:ascii="宋体" w:hAnsi="宋体" w:cs="宋体" w:eastAsia="宋体" w:hint="default"/>
          <w:spacing w:val="-5"/>
          <w:sz w:val="24"/>
          <w:szCs w:val="24"/>
        </w:rPr>
        <w:t>公司六届七次董事会审议通过了《关于召开</w:t>
      </w:r>
      <w:r>
        <w:rPr>
          <w:rFonts w:ascii="宋体" w:hAnsi="宋体" w:cs="宋体" w:eastAsia="宋体" w:hint="default"/>
          <w:spacing w:val="-5"/>
          <w:sz w:val="24"/>
          <w:szCs w:val="24"/>
        </w:rPr>
        <w:t>2010</w:t>
      </w:r>
      <w:r>
        <w:rPr>
          <w:rFonts w:ascii="宋体" w:hAnsi="宋体" w:cs="宋体" w:eastAsia="宋体" w:hint="default"/>
          <w:spacing w:val="-5"/>
          <w:sz w:val="24"/>
          <w:szCs w:val="24"/>
        </w:rPr>
        <w:t>年第一次临时股东大会的议案》，</w:t>
      </w:r>
      <w:r>
        <w:rPr>
          <w:rFonts w:ascii="宋体" w:hAnsi="宋体" w:cs="宋体" w:eastAsia="宋体" w:hint="default"/>
          <w:sz w:val="24"/>
          <w:szCs w:val="24"/>
        </w:rPr>
        <w:t> </w:t>
      </w:r>
      <w:r>
        <w:rPr>
          <w:rFonts w:ascii="宋体" w:hAnsi="宋体" w:cs="宋体" w:eastAsia="宋体" w:hint="default"/>
          <w:spacing w:val="-7"/>
          <w:sz w:val="24"/>
          <w:szCs w:val="24"/>
        </w:rPr>
        <w:t>并将股东大会会议通知公告在</w:t>
      </w:r>
      <w:r>
        <w:rPr>
          <w:rFonts w:ascii="宋体" w:hAnsi="宋体" w:cs="宋体" w:eastAsia="宋体" w:hint="default"/>
          <w:spacing w:val="-7"/>
          <w:sz w:val="24"/>
          <w:szCs w:val="24"/>
        </w:rPr>
        <w:t>2010</w:t>
      </w:r>
      <w:r>
        <w:rPr>
          <w:rFonts w:ascii="宋体" w:hAnsi="宋体" w:cs="宋体" w:eastAsia="宋体" w:hint="default"/>
          <w:spacing w:val="-7"/>
          <w:sz w:val="24"/>
          <w:szCs w:val="24"/>
        </w:rPr>
        <w:t>年</w:t>
      </w:r>
      <w:r>
        <w:rPr>
          <w:rFonts w:ascii="宋体" w:hAnsi="宋体" w:cs="宋体" w:eastAsia="宋体" w:hint="default"/>
          <w:spacing w:val="-7"/>
          <w:sz w:val="24"/>
          <w:szCs w:val="24"/>
        </w:rPr>
        <w:t>2</w:t>
      </w:r>
      <w:r>
        <w:rPr>
          <w:rFonts w:ascii="宋体" w:hAnsi="宋体" w:cs="宋体" w:eastAsia="宋体" w:hint="default"/>
          <w:spacing w:val="-7"/>
          <w:sz w:val="24"/>
          <w:szCs w:val="24"/>
        </w:rPr>
        <w:t>月</w:t>
      </w:r>
      <w:r>
        <w:rPr>
          <w:rFonts w:ascii="宋体" w:hAnsi="宋体" w:cs="宋体" w:eastAsia="宋体" w:hint="default"/>
          <w:spacing w:val="-7"/>
          <w:sz w:val="24"/>
          <w:szCs w:val="24"/>
        </w:rPr>
        <w:t>9</w:t>
      </w:r>
      <w:r>
        <w:rPr>
          <w:rFonts w:ascii="宋体" w:hAnsi="宋体" w:cs="宋体" w:eastAsia="宋体" w:hint="default"/>
          <w:spacing w:val="-7"/>
          <w:sz w:val="24"/>
          <w:szCs w:val="24"/>
        </w:rPr>
        <w:t>日的《中国证券报》、《证券时报》、巨潮资</w:t>
      </w:r>
      <w:r>
        <w:rPr>
          <w:rFonts w:ascii="宋体" w:hAnsi="宋体" w:cs="宋体" w:eastAsia="宋体" w:hint="default"/>
          <w:sz w:val="24"/>
          <w:szCs w:val="24"/>
        </w:rPr>
        <w:t> 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line="352" w:lineRule="auto" w:before="36"/>
        <w:ind w:left="143" w:right="1753"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日上午</w:t>
      </w:r>
      <w:r>
        <w:rPr>
          <w:rFonts w:ascii="宋体" w:hAnsi="宋体" w:cs="宋体" w:eastAsia="宋体" w:hint="default"/>
          <w:sz w:val="24"/>
          <w:szCs w:val="24"/>
        </w:rPr>
        <w:t>10</w:t>
      </w:r>
      <w:r>
        <w:rPr>
          <w:rFonts w:ascii="宋体" w:hAnsi="宋体" w:cs="宋体" w:eastAsia="宋体" w:hint="default"/>
          <w:sz w:val="24"/>
          <w:szCs w:val="24"/>
        </w:rPr>
        <w:t>时，</w:t>
      </w:r>
      <w:r>
        <w:rPr>
          <w:rFonts w:ascii="宋体" w:hAnsi="宋体" w:cs="宋体" w:eastAsia="宋体" w:hint="default"/>
          <w:sz w:val="24"/>
          <w:szCs w:val="24"/>
        </w:rPr>
        <w:t>2010</w:t>
      </w:r>
      <w:r>
        <w:rPr>
          <w:rFonts w:ascii="宋体" w:hAnsi="宋体" w:cs="宋体" w:eastAsia="宋体" w:hint="default"/>
          <w:sz w:val="24"/>
          <w:szCs w:val="24"/>
        </w:rPr>
        <w:t>年第一次临时股东大会在重庆市北碚区童家溪镇 </w:t>
      </w:r>
      <w:r>
        <w:rPr>
          <w:rFonts w:ascii="宋体" w:hAnsi="宋体" w:cs="宋体" w:eastAsia="宋体" w:hint="default"/>
          <w:spacing w:val="-1"/>
          <w:sz w:val="24"/>
          <w:szCs w:val="24"/>
        </w:rPr>
        <w:t>同兴园区一路</w:t>
      </w:r>
      <w:r>
        <w:rPr>
          <w:rFonts w:ascii="宋体" w:hAnsi="宋体" w:cs="宋体" w:eastAsia="宋体" w:hint="default"/>
          <w:spacing w:val="-1"/>
          <w:sz w:val="24"/>
          <w:szCs w:val="24"/>
        </w:rPr>
        <w:t>8</w:t>
      </w:r>
      <w:r>
        <w:rPr>
          <w:rFonts w:ascii="宋体" w:hAnsi="宋体" w:cs="宋体" w:eastAsia="宋体" w:hint="default"/>
          <w:spacing w:val="-1"/>
          <w:sz w:val="24"/>
          <w:szCs w:val="24"/>
        </w:rPr>
        <w:t>号公司会议室召开。公司股东和股东授权代表共</w:t>
      </w:r>
      <w:r>
        <w:rPr>
          <w:rFonts w:ascii="宋体" w:hAnsi="宋体" w:cs="宋体" w:eastAsia="宋体" w:hint="default"/>
          <w:spacing w:val="-1"/>
          <w:sz w:val="24"/>
          <w:szCs w:val="24"/>
        </w:rPr>
        <w:t>3</w:t>
      </w:r>
      <w:r>
        <w:rPr>
          <w:rFonts w:ascii="宋体" w:hAnsi="宋体" w:cs="宋体" w:eastAsia="宋体" w:hint="default"/>
          <w:spacing w:val="-1"/>
          <w:sz w:val="24"/>
          <w:szCs w:val="24"/>
        </w:rPr>
        <w:t>人出席会议。代表股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份</w:t>
      </w:r>
      <w:r>
        <w:rPr>
          <w:rFonts w:ascii="宋体" w:hAnsi="宋体" w:cs="宋体" w:eastAsia="宋体" w:hint="default"/>
          <w:spacing w:val="-1"/>
          <w:sz w:val="24"/>
          <w:szCs w:val="24"/>
        </w:rPr>
        <w:t>11486.3954</w:t>
      </w:r>
      <w:r>
        <w:rPr>
          <w:rFonts w:ascii="宋体" w:hAnsi="宋体" w:cs="宋体" w:eastAsia="宋体" w:hint="default"/>
          <w:spacing w:val="-1"/>
          <w:sz w:val="24"/>
          <w:szCs w:val="24"/>
        </w:rPr>
        <w:t>万股，占总股本的</w:t>
      </w:r>
      <w:r>
        <w:rPr>
          <w:rFonts w:ascii="宋体" w:hAnsi="宋体" w:cs="宋体" w:eastAsia="宋体" w:hint="default"/>
          <w:spacing w:val="-1"/>
          <w:sz w:val="24"/>
          <w:szCs w:val="24"/>
        </w:rPr>
        <w:t>23.55%</w:t>
      </w:r>
      <w:r>
        <w:rPr>
          <w:rFonts w:ascii="宋体" w:hAnsi="宋体" w:cs="宋体" w:eastAsia="宋体" w:hint="default"/>
          <w:spacing w:val="-1"/>
          <w:sz w:val="24"/>
          <w:szCs w:val="24"/>
        </w:rPr>
        <w:t>。大会由董事长刘小斌先生主持。到会股东审</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议通过如下议案：</w:t>
      </w:r>
    </w:p>
    <w:p>
      <w:pPr>
        <w:spacing w:before="34"/>
        <w:ind w:left="623" w:right="1740"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《关于变更公司财务审计机构的议案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2" w:lineRule="auto" w:before="144"/>
        <w:ind w:left="623" w:right="1738" w:firstLine="0"/>
        <w:jc w:val="left"/>
        <w:rPr>
          <w:rFonts w:ascii="宋体" w:hAnsi="宋体" w:cs="宋体" w:eastAsia="宋体" w:hint="default"/>
          <w:sz w:val="24"/>
          <w:szCs w:val="24"/>
        </w:rPr>
      </w:pPr>
      <w:r>
        <w:rPr>
          <w:rFonts w:ascii="宋体" w:hAnsi="宋体" w:cs="宋体" w:eastAsia="宋体" w:hint="default"/>
          <w:spacing w:val="-13"/>
          <w:sz w:val="24"/>
          <w:szCs w:val="24"/>
        </w:rPr>
        <w:t>（</w:t>
      </w:r>
      <w:r>
        <w:rPr>
          <w:rFonts w:ascii="宋体" w:hAnsi="宋体" w:cs="宋体" w:eastAsia="宋体" w:hint="default"/>
          <w:spacing w:val="-13"/>
          <w:sz w:val="24"/>
          <w:szCs w:val="24"/>
        </w:rPr>
        <w:t>2</w:t>
      </w:r>
      <w:r>
        <w:rPr>
          <w:rFonts w:ascii="宋体" w:hAnsi="宋体" w:cs="宋体" w:eastAsia="宋体" w:hint="default"/>
          <w:spacing w:val="-13"/>
          <w:sz w:val="24"/>
          <w:szCs w:val="24"/>
        </w:rPr>
        <w:t>）《关于调整公司部分监事的议案》。</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重庆源伟律师事务所对本次股东大会出具了法律意见书。经办律师杨芳、王应认</w:t>
      </w:r>
    </w:p>
    <w:p>
      <w:pPr>
        <w:spacing w:line="350" w:lineRule="auto" w:before="34"/>
        <w:ind w:left="143" w:right="1754" w:firstLine="0"/>
        <w:jc w:val="both"/>
        <w:rPr>
          <w:rFonts w:ascii="宋体" w:hAnsi="宋体" w:cs="宋体" w:eastAsia="宋体" w:hint="default"/>
          <w:sz w:val="24"/>
          <w:szCs w:val="24"/>
        </w:rPr>
      </w:pPr>
      <w:r>
        <w:rPr>
          <w:rFonts w:ascii="宋体" w:hAnsi="宋体" w:cs="宋体" w:eastAsia="宋体" w:hint="default"/>
          <w:spacing w:val="-1"/>
          <w:sz w:val="24"/>
          <w:szCs w:val="24"/>
        </w:rPr>
        <w:t>为本次股东大会的召集、召开以及表决程序等相关事宜符合法律、法规以及公司章程</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的规定，本次股东大会形成的决议合法有效。</w:t>
      </w:r>
    </w:p>
    <w:p>
      <w:pPr>
        <w:spacing w:line="352" w:lineRule="auto" w:before="36"/>
        <w:ind w:left="143" w:right="1743" w:firstLine="480"/>
        <w:jc w:val="left"/>
        <w:rPr>
          <w:rFonts w:ascii="宋体" w:hAnsi="宋体" w:cs="宋体" w:eastAsia="宋体" w:hint="default"/>
          <w:sz w:val="24"/>
          <w:szCs w:val="24"/>
        </w:rPr>
      </w:pPr>
      <w:r>
        <w:rPr>
          <w:rFonts w:ascii="宋体" w:hAnsi="宋体" w:cs="宋体" w:eastAsia="宋体" w:hint="default"/>
          <w:spacing w:val="-10"/>
          <w:sz w:val="24"/>
          <w:szCs w:val="24"/>
        </w:rPr>
        <w:t>上述股东大会决议公告在</w:t>
      </w:r>
      <w:r>
        <w:rPr>
          <w:rFonts w:ascii="宋体" w:hAnsi="宋体" w:cs="宋体" w:eastAsia="宋体" w:hint="default"/>
          <w:spacing w:val="-10"/>
          <w:sz w:val="24"/>
          <w:szCs w:val="24"/>
        </w:rPr>
        <w:t>2010</w:t>
      </w:r>
      <w:r>
        <w:rPr>
          <w:rFonts w:ascii="宋体" w:hAnsi="宋体" w:cs="宋体" w:eastAsia="宋体" w:hint="default"/>
          <w:spacing w:val="-10"/>
          <w:sz w:val="24"/>
          <w:szCs w:val="24"/>
        </w:rPr>
        <w:t>年</w:t>
      </w:r>
      <w:r>
        <w:rPr>
          <w:rFonts w:ascii="宋体" w:hAnsi="宋体" w:cs="宋体" w:eastAsia="宋体" w:hint="default"/>
          <w:spacing w:val="-10"/>
          <w:sz w:val="24"/>
          <w:szCs w:val="24"/>
        </w:rPr>
        <w:t>2</w:t>
      </w:r>
      <w:r>
        <w:rPr>
          <w:rFonts w:ascii="宋体" w:hAnsi="宋体" w:cs="宋体" w:eastAsia="宋体" w:hint="default"/>
          <w:spacing w:val="-10"/>
          <w:sz w:val="24"/>
          <w:szCs w:val="24"/>
        </w:rPr>
        <w:t>月</w:t>
      </w:r>
      <w:r>
        <w:rPr>
          <w:rFonts w:ascii="宋体" w:hAnsi="宋体" w:cs="宋体" w:eastAsia="宋体" w:hint="default"/>
          <w:spacing w:val="-10"/>
          <w:sz w:val="24"/>
          <w:szCs w:val="24"/>
        </w:rPr>
        <w:t>27</w:t>
      </w:r>
      <w:r>
        <w:rPr>
          <w:rFonts w:ascii="宋体" w:hAnsi="宋体" w:cs="宋体" w:eastAsia="宋体" w:hint="default"/>
          <w:spacing w:val="-10"/>
          <w:sz w:val="24"/>
          <w:szCs w:val="24"/>
        </w:rPr>
        <w:t>日的《中国证券报》、《证券时报》、巨潮资</w:t>
      </w:r>
      <w:r>
        <w:rPr>
          <w:rFonts w:ascii="宋体" w:hAnsi="宋体" w:cs="宋体" w:eastAsia="宋体" w:hint="default"/>
          <w:sz w:val="24"/>
          <w:szCs w:val="24"/>
        </w:rPr>
        <w:t> 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before="31"/>
        <w:ind w:left="623" w:right="174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年度股东大会</w:t>
      </w:r>
    </w:p>
    <w:p>
      <w:pPr>
        <w:spacing w:line="352" w:lineRule="auto" w:before="146"/>
        <w:ind w:left="143" w:right="1740" w:firstLine="480"/>
        <w:jc w:val="left"/>
        <w:rPr>
          <w:rFonts w:ascii="宋体" w:hAnsi="宋体" w:cs="宋体" w:eastAsia="宋体" w:hint="default"/>
          <w:sz w:val="24"/>
          <w:szCs w:val="24"/>
        </w:rPr>
      </w:pPr>
      <w:r>
        <w:rPr>
          <w:rFonts w:ascii="宋体" w:hAnsi="宋体" w:cs="宋体" w:eastAsia="宋体" w:hint="default"/>
          <w:spacing w:val="-2"/>
          <w:sz w:val="24"/>
          <w:szCs w:val="24"/>
        </w:rPr>
        <w:t>公司六届八次董事会审议通过了《关于召开</w:t>
      </w:r>
      <w:r>
        <w:rPr>
          <w:rFonts w:ascii="宋体" w:hAnsi="宋体" w:cs="宋体" w:eastAsia="宋体" w:hint="default"/>
          <w:spacing w:val="-2"/>
          <w:sz w:val="24"/>
          <w:szCs w:val="24"/>
        </w:rPr>
        <w:t>2009</w:t>
      </w:r>
      <w:r>
        <w:rPr>
          <w:rFonts w:ascii="宋体" w:hAnsi="宋体" w:cs="宋体" w:eastAsia="宋体" w:hint="default"/>
          <w:spacing w:val="-2"/>
          <w:sz w:val="24"/>
          <w:szCs w:val="24"/>
        </w:rPr>
        <w:t>年年度股东大会的议案》，并将</w:t>
      </w:r>
      <w:r>
        <w:rPr>
          <w:rFonts w:ascii="宋体" w:hAnsi="宋体" w:cs="宋体" w:eastAsia="宋体" w:hint="default"/>
          <w:sz w:val="24"/>
          <w:szCs w:val="24"/>
        </w:rPr>
        <w:t> </w:t>
      </w:r>
      <w:r>
        <w:rPr>
          <w:rFonts w:ascii="宋体" w:hAnsi="宋体" w:cs="宋体" w:eastAsia="宋体" w:hint="default"/>
          <w:spacing w:val="23"/>
          <w:sz w:val="24"/>
          <w:szCs w:val="24"/>
        </w:rPr>
        <w:t>会议通知刊登在</w:t>
      </w:r>
      <w:r>
        <w:rPr>
          <w:rFonts w:ascii="宋体" w:hAnsi="宋体" w:cs="宋体" w:eastAsia="宋体" w:hint="default"/>
          <w:spacing w:val="-90"/>
          <w:sz w:val="24"/>
          <w:szCs w:val="24"/>
        </w:rPr>
        <w:t> </w:t>
      </w:r>
      <w:r>
        <w:rPr>
          <w:rFonts w:ascii="宋体" w:hAnsi="宋体" w:cs="宋体" w:eastAsia="宋体" w:hint="default"/>
          <w:sz w:val="24"/>
          <w:szCs w:val="24"/>
        </w:rPr>
        <w:t>2010</w:t>
      </w:r>
      <w:r>
        <w:rPr>
          <w:rFonts w:ascii="宋体" w:hAnsi="宋体" w:cs="宋体" w:eastAsia="宋体" w:hint="default"/>
          <w:spacing w:val="-94"/>
          <w:sz w:val="24"/>
          <w:szCs w:val="24"/>
        </w:rPr>
        <w:t> </w:t>
      </w:r>
      <w:r>
        <w:rPr>
          <w:rFonts w:ascii="宋体" w:hAnsi="宋体" w:cs="宋体" w:eastAsia="宋体" w:hint="default"/>
          <w:sz w:val="24"/>
          <w:szCs w:val="24"/>
        </w:rPr>
        <w:t>年</w:t>
      </w:r>
      <w:r>
        <w:rPr>
          <w:rFonts w:ascii="宋体" w:hAnsi="宋体" w:cs="宋体" w:eastAsia="宋体" w:hint="default"/>
          <w:spacing w:val="-91"/>
          <w:sz w:val="24"/>
          <w:szCs w:val="24"/>
        </w:rPr>
        <w:t> </w:t>
      </w:r>
      <w:r>
        <w:rPr>
          <w:rFonts w:ascii="宋体" w:hAnsi="宋体" w:cs="宋体" w:eastAsia="宋体" w:hint="default"/>
          <w:sz w:val="24"/>
          <w:szCs w:val="24"/>
        </w:rPr>
        <w:t>3</w:t>
      </w:r>
      <w:r>
        <w:rPr>
          <w:rFonts w:ascii="宋体" w:hAnsi="宋体" w:cs="宋体" w:eastAsia="宋体" w:hint="default"/>
          <w:spacing w:val="-92"/>
          <w:sz w:val="24"/>
          <w:szCs w:val="24"/>
        </w:rPr>
        <w:t> </w:t>
      </w:r>
      <w:r>
        <w:rPr>
          <w:rFonts w:ascii="宋体" w:hAnsi="宋体" w:cs="宋体" w:eastAsia="宋体" w:hint="default"/>
          <w:sz w:val="24"/>
          <w:szCs w:val="24"/>
        </w:rPr>
        <w:t>月</w:t>
      </w:r>
      <w:r>
        <w:rPr>
          <w:rFonts w:ascii="宋体" w:hAnsi="宋体" w:cs="宋体" w:eastAsia="宋体" w:hint="default"/>
          <w:spacing w:val="-92"/>
          <w:sz w:val="24"/>
          <w:szCs w:val="24"/>
        </w:rPr>
        <w:t> </w:t>
      </w:r>
      <w:r>
        <w:rPr>
          <w:rFonts w:ascii="宋体" w:hAnsi="宋体" w:cs="宋体" w:eastAsia="宋体" w:hint="default"/>
          <w:sz w:val="24"/>
          <w:szCs w:val="24"/>
        </w:rPr>
        <w:t>20</w:t>
      </w:r>
      <w:r>
        <w:rPr>
          <w:rFonts w:ascii="宋体" w:hAnsi="宋体" w:cs="宋体" w:eastAsia="宋体" w:hint="default"/>
          <w:spacing w:val="-94"/>
          <w:sz w:val="24"/>
          <w:szCs w:val="24"/>
        </w:rPr>
        <w:t> </w:t>
      </w:r>
      <w:r>
        <w:rPr>
          <w:rFonts w:ascii="宋体" w:hAnsi="宋体" w:cs="宋体" w:eastAsia="宋体" w:hint="default"/>
          <w:spacing w:val="18"/>
          <w:sz w:val="24"/>
          <w:szCs w:val="24"/>
        </w:rPr>
        <w:t>日的《</w:t>
      </w:r>
      <w:r>
        <w:rPr>
          <w:rFonts w:ascii="宋体" w:hAnsi="宋体" w:cs="宋体" w:eastAsia="宋体" w:hint="default"/>
          <w:spacing w:val="-94"/>
          <w:sz w:val="24"/>
          <w:szCs w:val="24"/>
        </w:rPr>
        <w:t> </w:t>
      </w:r>
      <w:r>
        <w:rPr>
          <w:rFonts w:ascii="宋体" w:hAnsi="宋体" w:cs="宋体" w:eastAsia="宋体" w:hint="default"/>
          <w:spacing w:val="22"/>
          <w:sz w:val="24"/>
          <w:szCs w:val="24"/>
        </w:rPr>
        <w:t>中国证券报</w:t>
      </w:r>
      <w:r>
        <w:rPr>
          <w:rFonts w:ascii="宋体" w:hAnsi="宋体" w:cs="宋体" w:eastAsia="宋体" w:hint="default"/>
          <w:spacing w:val="-92"/>
          <w:sz w:val="24"/>
          <w:szCs w:val="24"/>
        </w:rPr>
        <w:t> </w:t>
      </w:r>
      <w:r>
        <w:rPr>
          <w:rFonts w:ascii="宋体" w:hAnsi="宋体" w:cs="宋体" w:eastAsia="宋体" w:hint="default"/>
          <w:spacing w:val="-62"/>
          <w:sz w:val="24"/>
          <w:szCs w:val="24"/>
        </w:rPr>
        <w:t>》、《</w:t>
      </w:r>
      <w:r>
        <w:rPr>
          <w:rFonts w:ascii="宋体" w:hAnsi="宋体" w:cs="宋体" w:eastAsia="宋体" w:hint="default"/>
          <w:spacing w:val="-92"/>
          <w:sz w:val="24"/>
          <w:szCs w:val="24"/>
        </w:rPr>
        <w:t> </w:t>
      </w:r>
      <w:r>
        <w:rPr>
          <w:rFonts w:ascii="宋体" w:hAnsi="宋体" w:cs="宋体" w:eastAsia="宋体" w:hint="default"/>
          <w:spacing w:val="20"/>
          <w:sz w:val="24"/>
          <w:szCs w:val="24"/>
        </w:rPr>
        <w:t>证券时报</w:t>
      </w:r>
      <w:r>
        <w:rPr>
          <w:rFonts w:ascii="宋体" w:hAnsi="宋体" w:cs="宋体" w:eastAsia="宋体" w:hint="default"/>
          <w:spacing w:val="-94"/>
          <w:sz w:val="24"/>
          <w:szCs w:val="24"/>
        </w:rPr>
        <w:t> </w:t>
      </w:r>
      <w:r>
        <w:rPr>
          <w:rFonts w:ascii="宋体" w:hAnsi="宋体" w:cs="宋体" w:eastAsia="宋体" w:hint="default"/>
          <w:spacing w:val="-45"/>
          <w:sz w:val="24"/>
          <w:szCs w:val="24"/>
        </w:rPr>
        <w:t>》、</w:t>
      </w:r>
      <w:r>
        <w:rPr>
          <w:rFonts w:ascii="宋体" w:hAnsi="宋体" w:cs="宋体" w:eastAsia="宋体" w:hint="default"/>
          <w:spacing w:val="-91"/>
          <w:sz w:val="24"/>
          <w:szCs w:val="24"/>
        </w:rPr>
        <w:t> </w:t>
      </w:r>
      <w:r>
        <w:rPr>
          <w:rFonts w:ascii="宋体" w:hAnsi="宋体" w:cs="宋体" w:eastAsia="宋体" w:hint="default"/>
          <w:spacing w:val="22"/>
          <w:sz w:val="24"/>
          <w:szCs w:val="24"/>
        </w:rPr>
        <w:t>巨潮资讯网</w:t>
      </w:r>
    </w:p>
    <w:p>
      <w:pPr>
        <w:spacing w:line="352" w:lineRule="auto" w:before="31"/>
        <w:ind w:left="623" w:right="1744" w:hanging="480"/>
        <w:jc w:val="left"/>
        <w:rPr>
          <w:rFonts w:ascii="宋体" w:hAnsi="宋体" w:cs="宋体" w:eastAsia="宋体" w:hint="default"/>
          <w:sz w:val="24"/>
          <w:szCs w:val="24"/>
        </w:rPr>
      </w:pPr>
      <w:r>
        <w:rPr>
          <w:rFonts w:ascii="宋体" w:hAnsi="宋体" w:cs="宋体" w:eastAsia="宋体" w:hint="default"/>
          <w:sz w:val="24"/>
          <w:szCs w:val="24"/>
        </w:rPr>
        <w:t>（</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 </w:t>
      </w:r>
      <w:r>
        <w:rPr>
          <w:rFonts w:ascii="宋体" w:hAnsi="宋体" w:cs="宋体" w:eastAsia="宋体" w:hint="default"/>
          <w:spacing w:val="-1"/>
          <w:sz w:val="24"/>
          <w:szCs w:val="24"/>
        </w:rPr>
        <w:t>2010</w:t>
      </w:r>
      <w:r>
        <w:rPr>
          <w:rFonts w:ascii="宋体" w:hAnsi="宋体" w:cs="宋体" w:eastAsia="宋体" w:hint="default"/>
          <w:spacing w:val="-1"/>
          <w:sz w:val="24"/>
          <w:szCs w:val="24"/>
        </w:rPr>
        <w:t>年</w:t>
      </w:r>
      <w:r>
        <w:rPr>
          <w:rFonts w:ascii="宋体" w:hAnsi="宋体" w:cs="宋体" w:eastAsia="宋体" w:hint="default"/>
          <w:spacing w:val="-1"/>
          <w:sz w:val="24"/>
          <w:szCs w:val="24"/>
        </w:rPr>
        <w:t>4</w:t>
      </w:r>
      <w:r>
        <w:rPr>
          <w:rFonts w:ascii="宋体" w:hAnsi="宋体" w:cs="宋体" w:eastAsia="宋体" w:hint="default"/>
          <w:spacing w:val="-1"/>
          <w:sz w:val="24"/>
          <w:szCs w:val="24"/>
        </w:rPr>
        <w:t>月</w:t>
      </w:r>
      <w:r>
        <w:rPr>
          <w:rFonts w:ascii="宋体" w:hAnsi="宋体" w:cs="宋体" w:eastAsia="宋体" w:hint="default"/>
          <w:spacing w:val="-1"/>
          <w:sz w:val="24"/>
          <w:szCs w:val="24"/>
        </w:rPr>
        <w:t>9</w:t>
      </w:r>
      <w:r>
        <w:rPr>
          <w:rFonts w:ascii="宋体" w:hAnsi="宋体" w:cs="宋体" w:eastAsia="宋体" w:hint="default"/>
          <w:spacing w:val="-1"/>
          <w:sz w:val="24"/>
          <w:szCs w:val="24"/>
        </w:rPr>
        <w:t>日上午</w:t>
      </w:r>
      <w:r>
        <w:rPr>
          <w:rFonts w:ascii="宋体" w:hAnsi="宋体" w:cs="宋体" w:eastAsia="宋体" w:hint="default"/>
          <w:spacing w:val="-1"/>
          <w:sz w:val="24"/>
          <w:szCs w:val="24"/>
        </w:rPr>
        <w:t>10</w:t>
      </w:r>
      <w:r>
        <w:rPr>
          <w:rFonts w:ascii="宋体" w:hAnsi="宋体" w:cs="宋体" w:eastAsia="宋体" w:hint="default"/>
          <w:spacing w:val="-1"/>
          <w:sz w:val="24"/>
          <w:szCs w:val="24"/>
        </w:rPr>
        <w:t>时，</w:t>
      </w:r>
      <w:r>
        <w:rPr>
          <w:rFonts w:ascii="宋体" w:hAnsi="宋体" w:cs="宋体" w:eastAsia="宋体" w:hint="default"/>
          <w:spacing w:val="-1"/>
          <w:sz w:val="24"/>
          <w:szCs w:val="24"/>
        </w:rPr>
        <w:t>2009</w:t>
      </w:r>
      <w:r>
        <w:rPr>
          <w:rFonts w:ascii="宋体" w:hAnsi="宋体" w:cs="宋体" w:eastAsia="宋体" w:hint="default"/>
          <w:spacing w:val="-1"/>
          <w:sz w:val="24"/>
          <w:szCs w:val="24"/>
        </w:rPr>
        <w:t>年年度股东大会在重庆市北碚区童家溪镇同兴园区</w:t>
      </w:r>
    </w:p>
    <w:p>
      <w:pPr>
        <w:spacing w:line="350" w:lineRule="auto" w:before="34"/>
        <w:ind w:left="143" w:right="1757" w:firstLine="0"/>
        <w:jc w:val="both"/>
        <w:rPr>
          <w:rFonts w:ascii="宋体" w:hAnsi="宋体" w:cs="宋体" w:eastAsia="宋体" w:hint="default"/>
          <w:sz w:val="24"/>
          <w:szCs w:val="24"/>
        </w:rPr>
      </w:pPr>
      <w:r>
        <w:rPr>
          <w:rFonts w:ascii="宋体" w:hAnsi="宋体" w:cs="宋体" w:eastAsia="宋体" w:hint="default"/>
          <w:spacing w:val="12"/>
          <w:sz w:val="24"/>
          <w:szCs w:val="24"/>
        </w:rPr>
        <w:t>一路</w:t>
      </w:r>
      <w:r>
        <w:rPr>
          <w:rFonts w:ascii="宋体" w:hAnsi="宋体" w:cs="宋体" w:eastAsia="宋体" w:hint="default"/>
          <w:spacing w:val="12"/>
          <w:sz w:val="24"/>
          <w:szCs w:val="24"/>
        </w:rPr>
        <w:t>8</w:t>
      </w:r>
      <w:r>
        <w:rPr>
          <w:rFonts w:ascii="宋体" w:hAnsi="宋体" w:cs="宋体" w:eastAsia="宋体" w:hint="default"/>
          <w:spacing w:val="-97"/>
          <w:sz w:val="24"/>
          <w:szCs w:val="24"/>
        </w:rPr>
        <w:t> </w:t>
      </w:r>
      <w:r>
        <w:rPr>
          <w:rFonts w:ascii="宋体" w:hAnsi="宋体" w:cs="宋体" w:eastAsia="宋体" w:hint="default"/>
          <w:spacing w:val="17"/>
          <w:sz w:val="24"/>
          <w:szCs w:val="24"/>
        </w:rPr>
        <w:t>号公司会议室召开。</w:t>
      </w:r>
      <w:r>
        <w:rPr>
          <w:rFonts w:ascii="宋体" w:hAnsi="宋体" w:cs="宋体" w:eastAsia="宋体" w:hint="default"/>
          <w:spacing w:val="-97"/>
          <w:sz w:val="24"/>
          <w:szCs w:val="24"/>
        </w:rPr>
        <w:t> </w:t>
      </w:r>
      <w:r>
        <w:rPr>
          <w:rFonts w:ascii="宋体" w:hAnsi="宋体" w:cs="宋体" w:eastAsia="宋体" w:hint="default"/>
          <w:spacing w:val="17"/>
          <w:sz w:val="24"/>
          <w:szCs w:val="24"/>
        </w:rPr>
        <w:t>公司股东和股东授权代表共</w:t>
      </w:r>
      <w:r>
        <w:rPr>
          <w:rFonts w:ascii="宋体" w:hAnsi="宋体" w:cs="宋体" w:eastAsia="宋体" w:hint="default"/>
          <w:spacing w:val="-92"/>
          <w:sz w:val="24"/>
          <w:szCs w:val="24"/>
        </w:rPr>
        <w:t> </w:t>
      </w:r>
      <w:r>
        <w:rPr>
          <w:rFonts w:ascii="宋体" w:hAnsi="宋体" w:cs="宋体" w:eastAsia="宋体" w:hint="default"/>
          <w:spacing w:val="17"/>
          <w:sz w:val="24"/>
          <w:szCs w:val="24"/>
        </w:rPr>
        <w:t>4</w:t>
      </w:r>
      <w:r>
        <w:rPr>
          <w:rFonts w:ascii="宋体" w:hAnsi="宋体" w:cs="宋体" w:eastAsia="宋体" w:hint="default"/>
          <w:spacing w:val="17"/>
          <w:sz w:val="24"/>
          <w:szCs w:val="24"/>
        </w:rPr>
        <w:t>人出席会议。代表股份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12,131.6487</w:t>
      </w:r>
      <w:r>
        <w:rPr>
          <w:rFonts w:ascii="宋体" w:hAnsi="宋体" w:cs="宋体" w:eastAsia="宋体" w:hint="default"/>
          <w:sz w:val="24"/>
          <w:szCs w:val="24"/>
        </w:rPr>
        <w:t>万股，占总股本的</w:t>
      </w:r>
      <w:r>
        <w:rPr>
          <w:rFonts w:ascii="宋体" w:hAnsi="宋体" w:cs="宋体" w:eastAsia="宋体" w:hint="default"/>
          <w:sz w:val="24"/>
          <w:szCs w:val="24"/>
        </w:rPr>
        <w:t>24.87%</w:t>
      </w:r>
      <w:r>
        <w:rPr>
          <w:rFonts w:ascii="宋体" w:hAnsi="宋体" w:cs="宋体" w:eastAsia="宋体" w:hint="default"/>
          <w:sz w:val="24"/>
          <w:szCs w:val="24"/>
        </w:rPr>
        <w:t>。大会由董事长刘小斌先生主持。到会股东审</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宋体" w:hAnsi="宋体" w:cs="宋体" w:eastAsia="宋体" w:hint="default"/>
          <w:sz w:val="24"/>
          <w:szCs w:val="24"/>
        </w:rPr>
        <w:t>议通过如下议案：</w:t>
      </w:r>
    </w:p>
    <w:p>
      <w:pPr>
        <w:spacing w:before="36"/>
        <w:ind w:left="623" w:right="1740"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4"/>
        <w:ind w:left="623" w:right="1740"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年度监事会工作报告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23" w:right="1740"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年度财务决算报告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23" w:right="1740"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年度报告及报告摘要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2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年度利润分配预案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《关于增补董事的议案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4"/>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pacing w:val="-120"/>
          <w:sz w:val="24"/>
          <w:szCs w:val="24"/>
        </w:rPr>
        <w:t>）</w:t>
      </w:r>
      <w:r>
        <w:rPr>
          <w:rFonts w:ascii="宋体" w:hAnsi="宋体" w:cs="宋体" w:eastAsia="宋体" w:hint="default"/>
          <w:sz w:val="24"/>
          <w:szCs w:val="24"/>
        </w:rPr>
        <w:t>《公司为控股子公司提供担保额度的议</w:t>
      </w:r>
      <w:r>
        <w:rPr>
          <w:rFonts w:ascii="宋体" w:hAnsi="宋体" w:cs="宋体" w:eastAsia="宋体" w:hint="default"/>
          <w:spacing w:val="1"/>
          <w:sz w:val="24"/>
          <w:szCs w:val="24"/>
        </w:rPr>
        <w:t>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pacing w:val="-120"/>
          <w:sz w:val="24"/>
          <w:szCs w:val="24"/>
        </w:rPr>
        <w:t>）</w:t>
      </w:r>
      <w:r>
        <w:rPr>
          <w:rFonts w:ascii="宋体" w:hAnsi="宋体" w:cs="宋体" w:eastAsia="宋体" w:hint="default"/>
          <w:sz w:val="24"/>
          <w:szCs w:val="24"/>
        </w:rPr>
        <w:t>《公司子公司为华立集团股份有限公司及其子公司提供担保额度的议</w:t>
      </w:r>
      <w:r>
        <w:rPr>
          <w:rFonts w:ascii="宋体" w:hAnsi="宋体" w:cs="宋体" w:eastAsia="宋体" w:hint="default"/>
          <w:spacing w:val="1"/>
          <w:sz w:val="24"/>
          <w:szCs w:val="24"/>
        </w:rPr>
        <w:t>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pacing w:val="-120"/>
          <w:sz w:val="24"/>
          <w:szCs w:val="24"/>
        </w:rPr>
        <w:t>）</w:t>
      </w:r>
      <w:r>
        <w:rPr>
          <w:rFonts w:ascii="宋体" w:hAnsi="宋体" w:cs="宋体" w:eastAsia="宋体" w:hint="default"/>
          <w:sz w:val="24"/>
          <w:szCs w:val="24"/>
        </w:rPr>
        <w:t>《关于关联担保借款收取担保费的议</w:t>
      </w:r>
      <w:r>
        <w:rPr>
          <w:rFonts w:ascii="宋体" w:hAnsi="宋体" w:cs="宋体" w:eastAsia="宋体" w:hint="default"/>
          <w:spacing w:val="1"/>
          <w:sz w:val="24"/>
          <w:szCs w:val="24"/>
        </w:rPr>
        <w:t>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4"/>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w:t>
      </w:r>
      <w:r>
        <w:rPr>
          <w:rFonts w:ascii="宋体" w:hAnsi="宋体" w:cs="宋体" w:eastAsia="宋体" w:hint="default"/>
          <w:spacing w:val="-120"/>
          <w:sz w:val="24"/>
          <w:szCs w:val="24"/>
        </w:rPr>
        <w:t>）</w:t>
      </w:r>
      <w:r>
        <w:rPr>
          <w:rFonts w:ascii="宋体" w:hAnsi="宋体" w:cs="宋体" w:eastAsia="宋体" w:hint="default"/>
          <w:sz w:val="24"/>
          <w:szCs w:val="24"/>
        </w:rPr>
        <w:t>《关于授权公司向华立集团股份有限公司融资的议案</w:t>
      </w:r>
      <w:r>
        <w:rPr>
          <w:rFonts w:ascii="宋体" w:hAnsi="宋体" w:cs="宋体" w:eastAsia="宋体" w:hint="default"/>
          <w:spacing w:val="-119"/>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pacing w:val="-120"/>
          <w:sz w:val="24"/>
          <w:szCs w:val="24"/>
        </w:rPr>
        <w:t>）</w:t>
      </w:r>
      <w:r>
        <w:rPr>
          <w:rFonts w:ascii="宋体" w:hAnsi="宋体" w:cs="宋体" w:eastAsia="宋体" w:hint="default"/>
          <w:sz w:val="24"/>
          <w:szCs w:val="24"/>
        </w:rPr>
        <w:t>《关于对子公司计提减值准备的议案</w:t>
      </w:r>
      <w:r>
        <w:rPr>
          <w:rFonts w:ascii="宋体" w:hAnsi="宋体" w:cs="宋体" w:eastAsia="宋体" w:hint="default"/>
          <w:spacing w:val="-119"/>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120"/>
          <w:sz w:val="24"/>
          <w:szCs w:val="24"/>
        </w:rPr>
        <w:t>）</w:t>
      </w:r>
      <w:r>
        <w:rPr>
          <w:rFonts w:ascii="宋体" w:hAnsi="宋体" w:cs="宋体" w:eastAsia="宋体" w:hint="default"/>
          <w:sz w:val="24"/>
          <w:szCs w:val="24"/>
        </w:rPr>
        <w:t>《华立仪表</w:t>
      </w:r>
      <w:r>
        <w:rPr>
          <w:rFonts w:ascii="宋体" w:hAnsi="宋体" w:cs="宋体" w:eastAsia="宋体" w:hint="default"/>
          <w:sz w:val="24"/>
          <w:szCs w:val="24"/>
        </w:rPr>
        <w:t>2009</w:t>
      </w:r>
      <w:r>
        <w:rPr>
          <w:rFonts w:ascii="宋体" w:hAnsi="宋体" w:cs="宋体" w:eastAsia="宋体" w:hint="default"/>
          <w:sz w:val="24"/>
          <w:szCs w:val="24"/>
        </w:rPr>
        <w:t>年度向关联方出租资产的日常关联交易议案</w:t>
      </w:r>
      <w:r>
        <w:rPr>
          <w:rFonts w:ascii="宋体" w:hAnsi="宋体" w:cs="宋体" w:eastAsia="宋体" w:hint="default"/>
          <w:spacing w:val="-120"/>
          <w:sz w:val="24"/>
          <w:szCs w:val="24"/>
        </w:rPr>
        <w:t>》；</w:t>
      </w:r>
      <w:r>
        <w:rPr>
          <w:rFonts w:ascii="宋体" w:hAnsi="宋体" w:cs="宋体" w:eastAsia="宋体" w:hint="default"/>
          <w:sz w:val="24"/>
          <w:szCs w:val="24"/>
        </w:rPr>
      </w:r>
    </w:p>
    <w:p>
      <w:pPr>
        <w:spacing w:before="145"/>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z w:val="24"/>
          <w:szCs w:val="24"/>
        </w:rPr>
        <w:t>年度日常关联交易预估金额的议案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14</w:t>
      </w:r>
      <w:r>
        <w:rPr>
          <w:rFonts w:ascii="宋体" w:hAnsi="宋体" w:cs="宋体" w:eastAsia="宋体" w:hint="default"/>
          <w:spacing w:val="-120"/>
          <w:sz w:val="24"/>
          <w:szCs w:val="24"/>
        </w:rPr>
        <w:t>）</w:t>
      </w:r>
      <w:r>
        <w:rPr>
          <w:rFonts w:ascii="宋体" w:hAnsi="宋体" w:cs="宋体" w:eastAsia="宋体" w:hint="default"/>
          <w:sz w:val="24"/>
          <w:szCs w:val="24"/>
        </w:rPr>
        <w:t>《会计师事务所选聘制度</w:t>
      </w:r>
      <w:r>
        <w:rPr>
          <w:rFonts w:ascii="宋体" w:hAnsi="宋体" w:cs="宋体" w:eastAsia="宋体" w:hint="default"/>
          <w:spacing w:val="-120"/>
          <w:sz w:val="24"/>
          <w:szCs w:val="24"/>
        </w:rPr>
        <w:t>》；</w:t>
      </w:r>
      <w:r>
        <w:rPr>
          <w:rFonts w:ascii="宋体" w:hAnsi="宋体" w:cs="宋体" w:eastAsia="宋体" w:hint="default"/>
          <w:sz w:val="24"/>
          <w:szCs w:val="24"/>
        </w:rPr>
      </w:r>
    </w:p>
    <w:p>
      <w:pPr>
        <w:spacing w:line="350" w:lineRule="auto" w:before="146"/>
        <w:ind w:left="617" w:right="1284" w:firstLine="0"/>
        <w:jc w:val="left"/>
        <w:rPr>
          <w:rFonts w:ascii="宋体" w:hAnsi="宋体" w:cs="宋体" w:eastAsia="宋体" w:hint="default"/>
          <w:sz w:val="24"/>
          <w:szCs w:val="24"/>
        </w:rPr>
      </w:pPr>
      <w:r>
        <w:rPr>
          <w:rFonts w:ascii="宋体" w:hAnsi="宋体" w:cs="宋体" w:eastAsia="宋体" w:hint="default"/>
          <w:spacing w:val="-10"/>
          <w:sz w:val="24"/>
          <w:szCs w:val="24"/>
        </w:rPr>
        <w:t>（</w:t>
      </w:r>
      <w:r>
        <w:rPr>
          <w:rFonts w:ascii="宋体" w:hAnsi="宋体" w:cs="宋体" w:eastAsia="宋体" w:hint="default"/>
          <w:spacing w:val="-10"/>
          <w:sz w:val="24"/>
          <w:szCs w:val="24"/>
        </w:rPr>
        <w:t>15</w:t>
      </w:r>
      <w:r>
        <w:rPr>
          <w:rFonts w:ascii="宋体" w:hAnsi="宋体" w:cs="宋体" w:eastAsia="宋体" w:hint="default"/>
          <w:spacing w:val="-10"/>
          <w:sz w:val="24"/>
          <w:szCs w:val="24"/>
        </w:rPr>
        <w:t>）《关于聘请公司</w:t>
      </w:r>
      <w:r>
        <w:rPr>
          <w:rFonts w:ascii="宋体" w:hAnsi="宋体" w:cs="宋体" w:eastAsia="宋体" w:hint="default"/>
          <w:spacing w:val="-10"/>
          <w:sz w:val="24"/>
          <w:szCs w:val="24"/>
        </w:rPr>
        <w:t>2009</w:t>
      </w:r>
      <w:r>
        <w:rPr>
          <w:rFonts w:ascii="宋体" w:hAnsi="宋体" w:cs="宋体" w:eastAsia="宋体" w:hint="default"/>
          <w:spacing w:val="-10"/>
          <w:sz w:val="24"/>
          <w:szCs w:val="24"/>
        </w:rPr>
        <w:t>年度审计机构的议案》。</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1"/>
          <w:sz w:val="24"/>
          <w:szCs w:val="24"/>
        </w:rPr>
        <w:t>重庆源伟律师事务所对本次股东大会出具了法律意见书。经办律师杨芳、王应认</w:t>
      </w:r>
    </w:p>
    <w:p>
      <w:pPr>
        <w:spacing w:line="352" w:lineRule="auto" w:before="36"/>
        <w:ind w:left="137" w:right="1286" w:firstLine="0"/>
        <w:jc w:val="left"/>
        <w:rPr>
          <w:rFonts w:ascii="宋体" w:hAnsi="宋体" w:cs="宋体" w:eastAsia="宋体" w:hint="default"/>
          <w:sz w:val="24"/>
          <w:szCs w:val="24"/>
        </w:rPr>
      </w:pPr>
      <w:r>
        <w:rPr>
          <w:rFonts w:ascii="宋体" w:hAnsi="宋体" w:cs="宋体" w:eastAsia="宋体" w:hint="default"/>
          <w:spacing w:val="-1"/>
          <w:sz w:val="24"/>
          <w:szCs w:val="24"/>
        </w:rPr>
        <w:t>为本次股东大会的召集、召开以及表决程序等相关事宜符合法律、法规以及公司章程</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的规定，本次股东大会形成的决议合法有效。</w:t>
      </w:r>
    </w:p>
    <w:p>
      <w:pPr>
        <w:spacing w:line="352" w:lineRule="auto" w:before="31"/>
        <w:ind w:left="137" w:right="1290" w:firstLine="479"/>
        <w:jc w:val="left"/>
        <w:rPr>
          <w:rFonts w:ascii="宋体" w:hAnsi="宋体" w:cs="宋体" w:eastAsia="宋体" w:hint="default"/>
          <w:sz w:val="24"/>
          <w:szCs w:val="24"/>
        </w:rPr>
      </w:pPr>
      <w:r>
        <w:rPr>
          <w:rFonts w:ascii="宋体" w:hAnsi="宋体" w:cs="宋体" w:eastAsia="宋体" w:hint="default"/>
          <w:spacing w:val="-10"/>
          <w:sz w:val="24"/>
          <w:szCs w:val="24"/>
        </w:rPr>
        <w:t>上述股东大会决议公告刊登在</w:t>
      </w:r>
      <w:r>
        <w:rPr>
          <w:rFonts w:ascii="宋体" w:hAnsi="宋体" w:cs="宋体" w:eastAsia="宋体" w:hint="default"/>
          <w:spacing w:val="-10"/>
          <w:sz w:val="24"/>
          <w:szCs w:val="24"/>
        </w:rPr>
        <w:t>2010</w:t>
      </w:r>
      <w:r>
        <w:rPr>
          <w:rFonts w:ascii="宋体" w:hAnsi="宋体" w:cs="宋体" w:eastAsia="宋体" w:hint="default"/>
          <w:spacing w:val="-10"/>
          <w:sz w:val="24"/>
          <w:szCs w:val="24"/>
        </w:rPr>
        <w:t>年</w:t>
      </w:r>
      <w:r>
        <w:rPr>
          <w:rFonts w:ascii="宋体" w:hAnsi="宋体" w:cs="宋体" w:eastAsia="宋体" w:hint="default"/>
          <w:spacing w:val="-10"/>
          <w:sz w:val="24"/>
          <w:szCs w:val="24"/>
        </w:rPr>
        <w:t>4</w:t>
      </w:r>
      <w:r>
        <w:rPr>
          <w:rFonts w:ascii="宋体" w:hAnsi="宋体" w:cs="宋体" w:eastAsia="宋体" w:hint="default"/>
          <w:spacing w:val="-10"/>
          <w:sz w:val="24"/>
          <w:szCs w:val="24"/>
        </w:rPr>
        <w:t>月</w:t>
      </w:r>
      <w:r>
        <w:rPr>
          <w:rFonts w:ascii="宋体" w:hAnsi="宋体" w:cs="宋体" w:eastAsia="宋体" w:hint="default"/>
          <w:spacing w:val="-10"/>
          <w:sz w:val="24"/>
          <w:szCs w:val="24"/>
        </w:rPr>
        <w:t>10</w:t>
      </w:r>
      <w:r>
        <w:rPr>
          <w:rFonts w:ascii="宋体" w:hAnsi="宋体" w:cs="宋体" w:eastAsia="宋体" w:hint="default"/>
          <w:spacing w:val="-10"/>
          <w:sz w:val="24"/>
          <w:szCs w:val="24"/>
        </w:rPr>
        <w:t>日的《中国证券报》、《证券时报》、巨</w:t>
      </w:r>
      <w:r>
        <w:rPr>
          <w:rFonts w:ascii="宋体" w:hAnsi="宋体" w:cs="宋体" w:eastAsia="宋体" w:hint="default"/>
          <w:sz w:val="24"/>
          <w:szCs w:val="24"/>
        </w:rPr>
        <w:t> 潮资讯网（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before="34"/>
        <w:ind w:left="617" w:right="116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年第二次临时股东大会</w:t>
      </w:r>
    </w:p>
    <w:p>
      <w:pPr>
        <w:spacing w:line="352" w:lineRule="auto" w:before="144"/>
        <w:ind w:left="137" w:right="1299" w:firstLine="479"/>
        <w:jc w:val="both"/>
        <w:rPr>
          <w:rFonts w:ascii="宋体" w:hAnsi="宋体" w:cs="宋体" w:eastAsia="宋体" w:hint="default"/>
          <w:sz w:val="24"/>
          <w:szCs w:val="24"/>
        </w:rPr>
      </w:pPr>
      <w:r>
        <w:rPr>
          <w:rFonts w:ascii="宋体" w:hAnsi="宋体" w:cs="宋体" w:eastAsia="宋体" w:hint="default"/>
          <w:spacing w:val="5"/>
          <w:sz w:val="24"/>
          <w:szCs w:val="24"/>
        </w:rPr>
        <w:t>公司六届十一次董事会审议通过了《关于召开</w:t>
      </w:r>
      <w:r>
        <w:rPr>
          <w:rFonts w:ascii="宋体" w:hAnsi="宋体" w:cs="宋体" w:eastAsia="宋体" w:hint="default"/>
          <w:spacing w:val="5"/>
          <w:sz w:val="24"/>
          <w:szCs w:val="24"/>
        </w:rPr>
        <w:t>2010</w:t>
      </w:r>
      <w:r>
        <w:rPr>
          <w:rFonts w:ascii="宋体" w:hAnsi="宋体" w:cs="宋体" w:eastAsia="宋体" w:hint="default"/>
          <w:spacing w:val="5"/>
          <w:sz w:val="24"/>
          <w:szCs w:val="24"/>
        </w:rPr>
        <w:t>年第二次临时股东大会的议</w:t>
      </w:r>
      <w:r>
        <w:rPr>
          <w:rFonts w:ascii="宋体" w:hAnsi="宋体" w:cs="宋体" w:eastAsia="宋体" w:hint="default"/>
          <w:sz w:val="24"/>
          <w:szCs w:val="24"/>
        </w:rPr>
        <w:t> </w:t>
      </w:r>
      <w:r>
        <w:rPr>
          <w:rFonts w:ascii="宋体" w:hAnsi="宋体" w:cs="宋体" w:eastAsia="宋体" w:hint="default"/>
          <w:spacing w:val="-10"/>
          <w:sz w:val="24"/>
          <w:szCs w:val="24"/>
        </w:rPr>
        <w:t>案》，并将股东大会会议通知公告在</w:t>
      </w:r>
      <w:r>
        <w:rPr>
          <w:rFonts w:ascii="宋体" w:hAnsi="宋体" w:cs="宋体" w:eastAsia="宋体" w:hint="default"/>
          <w:spacing w:val="-10"/>
          <w:sz w:val="24"/>
          <w:szCs w:val="24"/>
        </w:rPr>
        <w:t>2010</w:t>
      </w:r>
      <w:r>
        <w:rPr>
          <w:rFonts w:ascii="宋体" w:hAnsi="宋体" w:cs="宋体" w:eastAsia="宋体" w:hint="default"/>
          <w:spacing w:val="-10"/>
          <w:sz w:val="24"/>
          <w:szCs w:val="24"/>
        </w:rPr>
        <w:t>年</w:t>
      </w:r>
      <w:r>
        <w:rPr>
          <w:rFonts w:ascii="宋体" w:hAnsi="宋体" w:cs="宋体" w:eastAsia="宋体" w:hint="default"/>
          <w:spacing w:val="-10"/>
          <w:sz w:val="24"/>
          <w:szCs w:val="24"/>
        </w:rPr>
        <w:t>8</w:t>
      </w:r>
      <w:r>
        <w:rPr>
          <w:rFonts w:ascii="宋体" w:hAnsi="宋体" w:cs="宋体" w:eastAsia="宋体" w:hint="default"/>
          <w:spacing w:val="-10"/>
          <w:sz w:val="24"/>
          <w:szCs w:val="24"/>
        </w:rPr>
        <w:t>月</w:t>
      </w:r>
      <w:r>
        <w:rPr>
          <w:rFonts w:ascii="宋体" w:hAnsi="宋体" w:cs="宋体" w:eastAsia="宋体" w:hint="default"/>
          <w:spacing w:val="-10"/>
          <w:sz w:val="24"/>
          <w:szCs w:val="24"/>
        </w:rPr>
        <w:t>31</w:t>
      </w:r>
      <w:r>
        <w:rPr>
          <w:rFonts w:ascii="宋体" w:hAnsi="宋体" w:cs="宋体" w:eastAsia="宋体" w:hint="default"/>
          <w:spacing w:val="-10"/>
          <w:sz w:val="24"/>
          <w:szCs w:val="24"/>
        </w:rPr>
        <w:t>日的《中国证券报》、《证券时报》、</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巨潮资讯网（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line="350" w:lineRule="auto" w:before="31"/>
        <w:ind w:left="137" w:right="1299" w:firstLine="479"/>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21</w:t>
      </w:r>
      <w:r>
        <w:rPr>
          <w:rFonts w:ascii="宋体" w:hAnsi="宋体" w:cs="宋体" w:eastAsia="宋体" w:hint="default"/>
          <w:sz w:val="24"/>
          <w:szCs w:val="24"/>
        </w:rPr>
        <w:t>日上午</w:t>
      </w:r>
      <w:r>
        <w:rPr>
          <w:rFonts w:ascii="宋体" w:hAnsi="宋体" w:cs="宋体" w:eastAsia="宋体" w:hint="default"/>
          <w:sz w:val="24"/>
          <w:szCs w:val="24"/>
        </w:rPr>
        <w:t>10</w:t>
      </w:r>
      <w:r>
        <w:rPr>
          <w:rFonts w:ascii="宋体" w:hAnsi="宋体" w:cs="宋体" w:eastAsia="宋体" w:hint="default"/>
          <w:sz w:val="24"/>
          <w:szCs w:val="24"/>
        </w:rPr>
        <w:t>时，</w:t>
      </w:r>
      <w:r>
        <w:rPr>
          <w:rFonts w:ascii="宋体" w:hAnsi="宋体" w:cs="宋体" w:eastAsia="宋体" w:hint="default"/>
          <w:sz w:val="24"/>
          <w:szCs w:val="24"/>
        </w:rPr>
        <w:t>2010</w:t>
      </w:r>
      <w:r>
        <w:rPr>
          <w:rFonts w:ascii="宋体" w:hAnsi="宋体" w:cs="宋体" w:eastAsia="宋体" w:hint="default"/>
          <w:sz w:val="24"/>
          <w:szCs w:val="24"/>
        </w:rPr>
        <w:t>年第二次临时股东大会在重庆市北碚区童家溪镇 </w:t>
      </w:r>
      <w:r>
        <w:rPr>
          <w:rFonts w:ascii="宋体" w:hAnsi="宋体" w:cs="宋体" w:eastAsia="宋体" w:hint="default"/>
          <w:spacing w:val="-1"/>
          <w:sz w:val="24"/>
          <w:szCs w:val="24"/>
        </w:rPr>
        <w:t>同兴园区一路</w:t>
      </w:r>
      <w:r>
        <w:rPr>
          <w:rFonts w:ascii="宋体" w:hAnsi="宋体" w:cs="宋体" w:eastAsia="宋体" w:hint="default"/>
          <w:spacing w:val="-1"/>
          <w:sz w:val="24"/>
          <w:szCs w:val="24"/>
        </w:rPr>
        <w:t>8</w:t>
      </w:r>
      <w:r>
        <w:rPr>
          <w:rFonts w:ascii="宋体" w:hAnsi="宋体" w:cs="宋体" w:eastAsia="宋体" w:hint="default"/>
          <w:spacing w:val="-1"/>
          <w:sz w:val="24"/>
          <w:szCs w:val="24"/>
        </w:rPr>
        <w:t>号公司会议室召开。公司股东和股东授权代表共</w:t>
      </w:r>
      <w:r>
        <w:rPr>
          <w:rFonts w:ascii="宋体" w:hAnsi="宋体" w:cs="宋体" w:eastAsia="宋体" w:hint="default"/>
          <w:spacing w:val="-1"/>
          <w:sz w:val="24"/>
          <w:szCs w:val="24"/>
        </w:rPr>
        <w:t>7</w:t>
      </w:r>
      <w:r>
        <w:rPr>
          <w:rFonts w:ascii="宋体" w:hAnsi="宋体" w:cs="宋体" w:eastAsia="宋体" w:hint="default"/>
          <w:spacing w:val="-1"/>
          <w:sz w:val="24"/>
          <w:szCs w:val="24"/>
        </w:rPr>
        <w:t>人出席会议。代表股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份</w:t>
      </w:r>
      <w:r>
        <w:rPr>
          <w:rFonts w:ascii="宋体" w:hAnsi="宋体" w:cs="宋体" w:eastAsia="宋体" w:hint="default"/>
          <w:sz w:val="24"/>
          <w:szCs w:val="24"/>
        </w:rPr>
        <w:t>11,529.9954</w:t>
      </w:r>
      <w:r>
        <w:rPr>
          <w:rFonts w:ascii="宋体" w:hAnsi="宋体" w:cs="宋体" w:eastAsia="宋体" w:hint="default"/>
          <w:sz w:val="24"/>
          <w:szCs w:val="24"/>
        </w:rPr>
        <w:t>万股，占总股本的</w:t>
      </w:r>
      <w:r>
        <w:rPr>
          <w:rFonts w:ascii="宋体" w:hAnsi="宋体" w:cs="宋体" w:eastAsia="宋体" w:hint="default"/>
          <w:sz w:val="24"/>
          <w:szCs w:val="24"/>
        </w:rPr>
        <w:t>23.64%</w:t>
      </w:r>
      <w:r>
        <w:rPr>
          <w:rFonts w:ascii="宋体" w:hAnsi="宋体" w:cs="宋体" w:eastAsia="宋体" w:hint="default"/>
          <w:sz w:val="24"/>
          <w:szCs w:val="24"/>
        </w:rPr>
        <w:t>。大会由董事长刘小斌先生主持。到会股东</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审议通过如下议案：</w:t>
      </w:r>
    </w:p>
    <w:p>
      <w:pPr>
        <w:spacing w:before="37"/>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《关于变更公司名称、证券简称、经营范围的议案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4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《关于调整部分董事的议案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2" w:lineRule="auto" w:before="144"/>
        <w:ind w:left="617" w:right="1284" w:firstLine="0"/>
        <w:jc w:val="left"/>
        <w:rPr>
          <w:rFonts w:ascii="宋体" w:hAnsi="宋体" w:cs="宋体" w:eastAsia="宋体" w:hint="default"/>
          <w:sz w:val="24"/>
          <w:szCs w:val="24"/>
        </w:rPr>
      </w:pPr>
      <w:r>
        <w:rPr>
          <w:rFonts w:ascii="宋体" w:hAnsi="宋体" w:cs="宋体" w:eastAsia="宋体" w:hint="default"/>
          <w:spacing w:val="-13"/>
          <w:sz w:val="24"/>
          <w:szCs w:val="24"/>
        </w:rPr>
        <w:t>（</w:t>
      </w:r>
      <w:r>
        <w:rPr>
          <w:rFonts w:ascii="宋体" w:hAnsi="宋体" w:cs="宋体" w:eastAsia="宋体" w:hint="default"/>
          <w:spacing w:val="-13"/>
          <w:sz w:val="24"/>
          <w:szCs w:val="24"/>
        </w:rPr>
        <w:t>3</w:t>
      </w:r>
      <w:r>
        <w:rPr>
          <w:rFonts w:ascii="宋体" w:hAnsi="宋体" w:cs="宋体" w:eastAsia="宋体" w:hint="default"/>
          <w:spacing w:val="-13"/>
          <w:sz w:val="24"/>
          <w:szCs w:val="24"/>
        </w:rPr>
        <w:t>）《关于修改</w:t>
      </w:r>
      <w:r>
        <w:rPr>
          <w:rFonts w:ascii="宋体" w:hAnsi="宋体" w:cs="宋体" w:eastAsia="宋体" w:hint="default"/>
          <w:spacing w:val="-13"/>
          <w:sz w:val="24"/>
          <w:szCs w:val="24"/>
        </w:rPr>
        <w:t>&lt;</w:t>
      </w:r>
      <w:r>
        <w:rPr>
          <w:rFonts w:ascii="宋体" w:hAnsi="宋体" w:cs="宋体" w:eastAsia="宋体" w:hint="default"/>
          <w:spacing w:val="-13"/>
          <w:sz w:val="24"/>
          <w:szCs w:val="24"/>
        </w:rPr>
        <w:t>公司章程</w:t>
      </w:r>
      <w:r>
        <w:rPr>
          <w:rFonts w:ascii="宋体" w:hAnsi="宋体" w:cs="宋体" w:eastAsia="宋体" w:hint="default"/>
          <w:spacing w:val="-13"/>
          <w:sz w:val="24"/>
          <w:szCs w:val="24"/>
        </w:rPr>
        <w:t>&gt;</w:t>
      </w:r>
      <w:r>
        <w:rPr>
          <w:rFonts w:ascii="宋体" w:hAnsi="宋体" w:cs="宋体" w:eastAsia="宋体" w:hint="default"/>
          <w:spacing w:val="-13"/>
          <w:sz w:val="24"/>
          <w:szCs w:val="24"/>
        </w:rPr>
        <w:t>的议案》。</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
          <w:sz w:val="24"/>
          <w:szCs w:val="24"/>
        </w:rPr>
        <w:t>重庆源伟律师事务所对本次股东大会出具了法律意见书。经办律师程源伟、王应</w:t>
      </w:r>
    </w:p>
    <w:p>
      <w:pPr>
        <w:spacing w:before="34"/>
        <w:ind w:left="137" w:right="1166" w:firstLine="0"/>
        <w:jc w:val="left"/>
        <w:rPr>
          <w:rFonts w:ascii="宋体" w:hAnsi="宋体" w:cs="宋体" w:eastAsia="宋体" w:hint="default"/>
          <w:sz w:val="24"/>
          <w:szCs w:val="24"/>
        </w:rPr>
      </w:pPr>
      <w:r>
        <w:rPr>
          <w:rFonts w:ascii="宋体" w:hAnsi="宋体" w:cs="宋体" w:eastAsia="宋体" w:hint="default"/>
          <w:sz w:val="24"/>
          <w:szCs w:val="24"/>
        </w:rPr>
        <w:t>认为本次股东大会的召集、召开以及表决程序等相关事宜符合法律、法规以及公司章</w:t>
      </w:r>
    </w:p>
    <w:p>
      <w:pPr>
        <w:spacing w:after="0"/>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52" w:lineRule="auto" w:before="26"/>
        <w:ind w:left="623" w:right="1743" w:hanging="480"/>
        <w:jc w:val="left"/>
        <w:rPr>
          <w:rFonts w:ascii="宋体" w:hAnsi="宋体" w:cs="宋体" w:eastAsia="宋体" w:hint="default"/>
          <w:sz w:val="24"/>
          <w:szCs w:val="24"/>
        </w:rPr>
      </w:pPr>
      <w:r>
        <w:rPr>
          <w:rFonts w:ascii="宋体" w:hAnsi="宋体" w:cs="宋体" w:eastAsia="宋体" w:hint="default"/>
          <w:sz w:val="24"/>
          <w:szCs w:val="24"/>
        </w:rPr>
        <w:t>程的规定，本次股东大会形成的决议合法有效。 </w:t>
      </w:r>
      <w:r>
        <w:rPr>
          <w:rFonts w:ascii="宋体" w:hAnsi="宋体" w:cs="宋体" w:eastAsia="宋体" w:hint="default"/>
          <w:spacing w:val="-10"/>
          <w:sz w:val="24"/>
          <w:szCs w:val="24"/>
        </w:rPr>
        <w:t>上述股东大会决议公告在</w:t>
      </w:r>
      <w:r>
        <w:rPr>
          <w:rFonts w:ascii="宋体" w:hAnsi="宋体" w:cs="宋体" w:eastAsia="宋体" w:hint="default"/>
          <w:spacing w:val="-10"/>
          <w:sz w:val="24"/>
          <w:szCs w:val="24"/>
        </w:rPr>
        <w:t>2010</w:t>
      </w:r>
      <w:r>
        <w:rPr>
          <w:rFonts w:ascii="宋体" w:hAnsi="宋体" w:cs="宋体" w:eastAsia="宋体" w:hint="default"/>
          <w:spacing w:val="-10"/>
          <w:sz w:val="24"/>
          <w:szCs w:val="24"/>
        </w:rPr>
        <w:t>年</w:t>
      </w:r>
      <w:r>
        <w:rPr>
          <w:rFonts w:ascii="宋体" w:hAnsi="宋体" w:cs="宋体" w:eastAsia="宋体" w:hint="default"/>
          <w:spacing w:val="-10"/>
          <w:sz w:val="24"/>
          <w:szCs w:val="24"/>
        </w:rPr>
        <w:t>9</w:t>
      </w:r>
      <w:r>
        <w:rPr>
          <w:rFonts w:ascii="宋体" w:hAnsi="宋体" w:cs="宋体" w:eastAsia="宋体" w:hint="default"/>
          <w:spacing w:val="-10"/>
          <w:sz w:val="24"/>
          <w:szCs w:val="24"/>
        </w:rPr>
        <w:t>月</w:t>
      </w:r>
      <w:r>
        <w:rPr>
          <w:rFonts w:ascii="宋体" w:hAnsi="宋体" w:cs="宋体" w:eastAsia="宋体" w:hint="default"/>
          <w:spacing w:val="-10"/>
          <w:sz w:val="24"/>
          <w:szCs w:val="24"/>
        </w:rPr>
        <w:t>27</w:t>
      </w:r>
      <w:r>
        <w:rPr>
          <w:rFonts w:ascii="宋体" w:hAnsi="宋体" w:cs="宋体" w:eastAsia="宋体" w:hint="default"/>
          <w:spacing w:val="-10"/>
          <w:sz w:val="24"/>
          <w:szCs w:val="24"/>
        </w:rPr>
        <w:t>日的《中国证券报》、《证券时报》、巨潮资</w:t>
      </w:r>
    </w:p>
    <w:p>
      <w:pPr>
        <w:spacing w:line="352" w:lineRule="auto" w:before="31"/>
        <w:ind w:left="623" w:right="6863" w:hanging="480"/>
        <w:jc w:val="left"/>
        <w:rPr>
          <w:rFonts w:ascii="宋体" w:hAnsi="宋体" w:cs="宋体" w:eastAsia="宋体" w:hint="default"/>
          <w:sz w:val="24"/>
          <w:szCs w:val="24"/>
        </w:rPr>
      </w:pPr>
      <w:r>
        <w:rPr>
          <w:rFonts w:ascii="宋体" w:hAnsi="宋体" w:cs="宋体" w:eastAsia="宋体" w:hint="default"/>
          <w:sz w:val="24"/>
          <w:szCs w:val="24"/>
        </w:rPr>
        <w:t>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 </w:t>
      </w: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年第三次临时股东大会</w:t>
      </w:r>
    </w:p>
    <w:p>
      <w:pPr>
        <w:spacing w:line="350" w:lineRule="auto" w:before="34"/>
        <w:ind w:left="143" w:right="1752" w:firstLine="480"/>
        <w:jc w:val="both"/>
        <w:rPr>
          <w:rFonts w:ascii="宋体" w:hAnsi="宋体" w:cs="宋体" w:eastAsia="宋体" w:hint="default"/>
          <w:sz w:val="24"/>
          <w:szCs w:val="24"/>
        </w:rPr>
      </w:pPr>
      <w:r>
        <w:rPr>
          <w:rFonts w:ascii="宋体" w:hAnsi="宋体" w:cs="宋体" w:eastAsia="宋体" w:hint="default"/>
          <w:spacing w:val="5"/>
          <w:sz w:val="24"/>
          <w:szCs w:val="24"/>
        </w:rPr>
        <w:t>公司六届十三次董事会审议通过了《关于召开</w:t>
      </w:r>
      <w:r>
        <w:rPr>
          <w:rFonts w:ascii="宋体" w:hAnsi="宋体" w:cs="宋体" w:eastAsia="宋体" w:hint="default"/>
          <w:spacing w:val="5"/>
          <w:sz w:val="24"/>
          <w:szCs w:val="24"/>
        </w:rPr>
        <w:t>2010</w:t>
      </w:r>
      <w:r>
        <w:rPr>
          <w:rFonts w:ascii="宋体" w:hAnsi="宋体" w:cs="宋体" w:eastAsia="宋体" w:hint="default"/>
          <w:spacing w:val="5"/>
          <w:sz w:val="24"/>
          <w:szCs w:val="24"/>
        </w:rPr>
        <w:t>年第三次临时股东大会的议</w:t>
      </w:r>
      <w:r>
        <w:rPr>
          <w:rFonts w:ascii="宋体" w:hAnsi="宋体" w:cs="宋体" w:eastAsia="宋体" w:hint="default"/>
          <w:sz w:val="24"/>
          <w:szCs w:val="24"/>
        </w:rPr>
        <w:t> </w:t>
      </w:r>
      <w:r>
        <w:rPr>
          <w:rFonts w:ascii="宋体" w:hAnsi="宋体" w:cs="宋体" w:eastAsia="宋体" w:hint="default"/>
          <w:spacing w:val="-4"/>
          <w:sz w:val="24"/>
          <w:szCs w:val="24"/>
        </w:rPr>
        <w:t>案》，并将股东大会会议通知及提示性公告分别刊登在</w:t>
      </w:r>
      <w:r>
        <w:rPr>
          <w:rFonts w:ascii="宋体" w:hAnsi="宋体" w:cs="宋体" w:eastAsia="宋体" w:hint="default"/>
          <w:spacing w:val="-4"/>
          <w:sz w:val="24"/>
          <w:szCs w:val="24"/>
        </w:rPr>
        <w:t>2010</w:t>
      </w:r>
      <w:r>
        <w:rPr>
          <w:rFonts w:ascii="宋体" w:hAnsi="宋体" w:cs="宋体" w:eastAsia="宋体" w:hint="default"/>
          <w:spacing w:val="-4"/>
          <w:sz w:val="24"/>
          <w:szCs w:val="24"/>
        </w:rPr>
        <w:t>年</w:t>
      </w:r>
      <w:r>
        <w:rPr>
          <w:rFonts w:ascii="宋体" w:hAnsi="宋体" w:cs="宋体" w:eastAsia="宋体" w:hint="default"/>
          <w:spacing w:val="-4"/>
          <w:sz w:val="24"/>
          <w:szCs w:val="24"/>
        </w:rPr>
        <w:t>10</w:t>
      </w:r>
      <w:r>
        <w:rPr>
          <w:rFonts w:ascii="宋体" w:hAnsi="宋体" w:cs="宋体" w:eastAsia="宋体" w:hint="default"/>
          <w:spacing w:val="-4"/>
          <w:sz w:val="24"/>
          <w:szCs w:val="24"/>
        </w:rPr>
        <w:t>月</w:t>
      </w:r>
      <w:r>
        <w:rPr>
          <w:rFonts w:ascii="宋体" w:hAnsi="宋体" w:cs="宋体" w:eastAsia="宋体" w:hint="default"/>
          <w:spacing w:val="-4"/>
          <w:sz w:val="24"/>
          <w:szCs w:val="24"/>
        </w:rPr>
        <w:t>20</w:t>
      </w:r>
      <w:r>
        <w:rPr>
          <w:rFonts w:ascii="宋体" w:hAnsi="宋体" w:cs="宋体" w:eastAsia="宋体" w:hint="default"/>
          <w:spacing w:val="-4"/>
          <w:sz w:val="24"/>
          <w:szCs w:val="24"/>
        </w:rPr>
        <w:t>日、</w:t>
      </w:r>
      <w:r>
        <w:rPr>
          <w:rFonts w:ascii="宋体" w:hAnsi="宋体" w:cs="宋体" w:eastAsia="宋体" w:hint="default"/>
          <w:spacing w:val="-4"/>
          <w:sz w:val="24"/>
          <w:szCs w:val="24"/>
        </w:rPr>
        <w:t>2010</w:t>
      </w:r>
      <w:r>
        <w:rPr>
          <w:rFonts w:ascii="宋体" w:hAnsi="宋体" w:cs="宋体" w:eastAsia="宋体" w:hint="default"/>
          <w:spacing w:val="-4"/>
          <w:sz w:val="24"/>
          <w:szCs w:val="24"/>
        </w:rPr>
        <w:t>年</w:t>
      </w:r>
      <w:r>
        <w:rPr>
          <w:rFonts w:ascii="宋体" w:hAnsi="宋体" w:cs="宋体" w:eastAsia="宋体" w:hint="default"/>
          <w:spacing w:val="-4"/>
          <w:sz w:val="24"/>
          <w:szCs w:val="24"/>
        </w:rPr>
        <w:t>11</w:t>
      </w:r>
      <w:r>
        <w:rPr>
          <w:rFonts w:ascii="宋体" w:hAnsi="宋体" w:cs="宋体" w:eastAsia="宋体" w:hint="default"/>
          <w:spacing w:val="-4"/>
          <w:sz w:val="24"/>
          <w:szCs w:val="24"/>
        </w:rPr>
        <w:t>月</w:t>
      </w:r>
      <w:r>
        <w:rPr>
          <w:rFonts w:ascii="宋体" w:hAnsi="宋体" w:cs="宋体" w:eastAsia="宋体" w:hint="default"/>
          <w:spacing w:val="-4"/>
          <w:sz w:val="24"/>
          <w:szCs w:val="24"/>
        </w:rPr>
        <w:t>2</w:t>
      </w:r>
      <w:r>
        <w:rPr>
          <w:rFonts w:ascii="宋体" w:hAnsi="宋体" w:cs="宋体" w:eastAsia="宋体" w:hint="default"/>
          <w:spacing w:val="-95"/>
          <w:sz w:val="24"/>
          <w:szCs w:val="24"/>
        </w:rPr>
        <w:t> </w:t>
      </w:r>
      <w:r>
        <w:rPr>
          <w:rFonts w:ascii="宋体" w:hAnsi="宋体" w:cs="宋体" w:eastAsia="宋体" w:hint="default"/>
          <w:sz w:val="24"/>
          <w:szCs w:val="24"/>
        </w:rPr>
        <w:t>日</w:t>
      </w:r>
      <w:r>
        <w:rPr>
          <w:rFonts w:ascii="宋体" w:hAnsi="宋体" w:cs="宋体" w:eastAsia="宋体" w:hint="default"/>
          <w:spacing w:val="-60"/>
          <w:sz w:val="24"/>
          <w:szCs w:val="24"/>
        </w:rPr>
        <w:t> </w:t>
      </w:r>
      <w:r>
        <w:rPr>
          <w:rFonts w:ascii="宋体" w:hAnsi="宋体" w:cs="宋体" w:eastAsia="宋体" w:hint="default"/>
          <w:sz w:val="24"/>
          <w:szCs w:val="24"/>
        </w:rPr>
        <w:t>、</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z w:val="24"/>
          <w:szCs w:val="24"/>
        </w:rPr>
        <w:t>日</w:t>
      </w:r>
      <w:r>
        <w:rPr>
          <w:rFonts w:ascii="宋体" w:hAnsi="宋体" w:cs="宋体" w:eastAsia="宋体" w:hint="default"/>
          <w:spacing w:val="-60"/>
          <w:sz w:val="24"/>
          <w:szCs w:val="24"/>
        </w:rPr>
        <w:t> </w:t>
      </w:r>
      <w:r>
        <w:rPr>
          <w:rFonts w:ascii="宋体" w:hAnsi="宋体" w:cs="宋体" w:eastAsia="宋体" w:hint="default"/>
          <w:sz w:val="24"/>
          <w:szCs w:val="24"/>
        </w:rPr>
        <w:t>的</w:t>
      </w:r>
      <w:r>
        <w:rPr>
          <w:rFonts w:ascii="宋体" w:hAnsi="宋体" w:cs="宋体" w:eastAsia="宋体" w:hint="default"/>
          <w:spacing w:val="-61"/>
          <w:sz w:val="24"/>
          <w:szCs w:val="24"/>
        </w:rPr>
        <w:t> </w:t>
      </w:r>
      <w:r>
        <w:rPr>
          <w:rFonts w:ascii="宋体" w:hAnsi="宋体" w:cs="宋体" w:eastAsia="宋体" w:hint="default"/>
          <w:sz w:val="24"/>
          <w:szCs w:val="24"/>
        </w:rPr>
        <w:t>《</w:t>
      </w:r>
      <w:r>
        <w:rPr>
          <w:rFonts w:ascii="宋体" w:hAnsi="宋体" w:cs="宋体" w:eastAsia="宋体" w:hint="default"/>
          <w:spacing w:val="-61"/>
          <w:sz w:val="24"/>
          <w:szCs w:val="24"/>
        </w:rPr>
        <w:t> </w:t>
      </w:r>
      <w:r>
        <w:rPr>
          <w:rFonts w:ascii="宋体" w:hAnsi="宋体" w:cs="宋体" w:eastAsia="宋体" w:hint="default"/>
          <w:sz w:val="24"/>
          <w:szCs w:val="24"/>
        </w:rPr>
        <w:t>中</w:t>
      </w:r>
      <w:r>
        <w:rPr>
          <w:rFonts w:ascii="宋体" w:hAnsi="宋体" w:cs="宋体" w:eastAsia="宋体" w:hint="default"/>
          <w:spacing w:val="-58"/>
          <w:sz w:val="24"/>
          <w:szCs w:val="24"/>
        </w:rPr>
        <w:t> </w:t>
      </w:r>
      <w:r>
        <w:rPr>
          <w:rFonts w:ascii="宋体" w:hAnsi="宋体" w:cs="宋体" w:eastAsia="宋体" w:hint="default"/>
          <w:sz w:val="24"/>
          <w:szCs w:val="24"/>
        </w:rPr>
        <w:t>国</w:t>
      </w:r>
      <w:r>
        <w:rPr>
          <w:rFonts w:ascii="宋体" w:hAnsi="宋体" w:cs="宋体" w:eastAsia="宋体" w:hint="default"/>
          <w:spacing w:val="-61"/>
          <w:sz w:val="24"/>
          <w:szCs w:val="24"/>
        </w:rPr>
        <w:t> </w:t>
      </w:r>
      <w:r>
        <w:rPr>
          <w:rFonts w:ascii="宋体" w:hAnsi="宋体" w:cs="宋体" w:eastAsia="宋体" w:hint="default"/>
          <w:sz w:val="24"/>
          <w:szCs w:val="24"/>
        </w:rPr>
        <w:t>证</w:t>
      </w:r>
      <w:r>
        <w:rPr>
          <w:rFonts w:ascii="宋体" w:hAnsi="宋体" w:cs="宋体" w:eastAsia="宋体" w:hint="default"/>
          <w:spacing w:val="-61"/>
          <w:sz w:val="24"/>
          <w:szCs w:val="24"/>
        </w:rPr>
        <w:t> </w:t>
      </w:r>
      <w:r>
        <w:rPr>
          <w:rFonts w:ascii="宋体" w:hAnsi="宋体" w:cs="宋体" w:eastAsia="宋体" w:hint="default"/>
          <w:sz w:val="24"/>
          <w:szCs w:val="24"/>
        </w:rPr>
        <w:t>券</w:t>
      </w:r>
      <w:r>
        <w:rPr>
          <w:rFonts w:ascii="宋体" w:hAnsi="宋体" w:cs="宋体" w:eastAsia="宋体" w:hint="default"/>
          <w:spacing w:val="-58"/>
          <w:sz w:val="24"/>
          <w:szCs w:val="24"/>
        </w:rPr>
        <w:t> </w:t>
      </w:r>
      <w:r>
        <w:rPr>
          <w:rFonts w:ascii="宋体" w:hAnsi="宋体" w:cs="宋体" w:eastAsia="宋体" w:hint="default"/>
          <w:sz w:val="24"/>
          <w:szCs w:val="24"/>
        </w:rPr>
        <w:t>报</w:t>
      </w:r>
      <w:r>
        <w:rPr>
          <w:rFonts w:ascii="宋体" w:hAnsi="宋体" w:cs="宋体" w:eastAsia="宋体" w:hint="default"/>
          <w:spacing w:val="-58"/>
          <w:sz w:val="24"/>
          <w:szCs w:val="24"/>
        </w:rPr>
        <w:t> </w:t>
      </w:r>
      <w:r>
        <w:rPr>
          <w:rFonts w:ascii="宋体" w:hAnsi="宋体" w:cs="宋体" w:eastAsia="宋体" w:hint="default"/>
          <w:spacing w:val="-40"/>
          <w:sz w:val="24"/>
          <w:szCs w:val="24"/>
        </w:rPr>
        <w:t>》、《</w:t>
      </w:r>
      <w:r>
        <w:rPr>
          <w:rFonts w:ascii="宋体" w:hAnsi="宋体" w:cs="宋体" w:eastAsia="宋体" w:hint="default"/>
          <w:spacing w:val="-61"/>
          <w:sz w:val="24"/>
          <w:szCs w:val="24"/>
        </w:rPr>
        <w:t> </w:t>
      </w:r>
      <w:r>
        <w:rPr>
          <w:rFonts w:ascii="宋体" w:hAnsi="宋体" w:cs="宋体" w:eastAsia="宋体" w:hint="default"/>
          <w:sz w:val="24"/>
          <w:szCs w:val="24"/>
        </w:rPr>
        <w:t>证</w:t>
      </w:r>
      <w:r>
        <w:rPr>
          <w:rFonts w:ascii="宋体" w:hAnsi="宋体" w:cs="宋体" w:eastAsia="宋体" w:hint="default"/>
          <w:spacing w:val="-58"/>
          <w:sz w:val="24"/>
          <w:szCs w:val="24"/>
        </w:rPr>
        <w:t> </w:t>
      </w:r>
      <w:r>
        <w:rPr>
          <w:rFonts w:ascii="宋体" w:hAnsi="宋体" w:cs="宋体" w:eastAsia="宋体" w:hint="default"/>
          <w:sz w:val="24"/>
          <w:szCs w:val="24"/>
        </w:rPr>
        <w:t>券</w:t>
      </w:r>
      <w:r>
        <w:rPr>
          <w:rFonts w:ascii="宋体" w:hAnsi="宋体" w:cs="宋体" w:eastAsia="宋体" w:hint="default"/>
          <w:spacing w:val="-61"/>
          <w:sz w:val="24"/>
          <w:szCs w:val="24"/>
        </w:rPr>
        <w:t> </w:t>
      </w:r>
      <w:r>
        <w:rPr>
          <w:rFonts w:ascii="宋体" w:hAnsi="宋体" w:cs="宋体" w:eastAsia="宋体" w:hint="default"/>
          <w:sz w:val="24"/>
          <w:szCs w:val="24"/>
        </w:rPr>
        <w:t>时</w:t>
      </w:r>
      <w:r>
        <w:rPr>
          <w:rFonts w:ascii="宋体" w:hAnsi="宋体" w:cs="宋体" w:eastAsia="宋体" w:hint="default"/>
          <w:spacing w:val="-61"/>
          <w:sz w:val="24"/>
          <w:szCs w:val="24"/>
        </w:rPr>
        <w:t> </w:t>
      </w:r>
      <w:r>
        <w:rPr>
          <w:rFonts w:ascii="宋体" w:hAnsi="宋体" w:cs="宋体" w:eastAsia="宋体" w:hint="default"/>
          <w:sz w:val="24"/>
          <w:szCs w:val="24"/>
        </w:rPr>
        <w:t>报</w:t>
      </w:r>
      <w:r>
        <w:rPr>
          <w:rFonts w:ascii="宋体" w:hAnsi="宋体" w:cs="宋体" w:eastAsia="宋体" w:hint="default"/>
          <w:spacing w:val="-58"/>
          <w:sz w:val="24"/>
          <w:szCs w:val="24"/>
        </w:rPr>
        <w:t> </w:t>
      </w:r>
      <w:r>
        <w:rPr>
          <w:rFonts w:ascii="宋体" w:hAnsi="宋体" w:cs="宋体" w:eastAsia="宋体" w:hint="default"/>
          <w:sz w:val="24"/>
          <w:szCs w:val="24"/>
        </w:rPr>
        <w:t>》</w:t>
      </w:r>
      <w:r>
        <w:rPr>
          <w:rFonts w:ascii="宋体" w:hAnsi="宋体" w:cs="宋体" w:eastAsia="宋体" w:hint="default"/>
          <w:spacing w:val="-55"/>
          <w:sz w:val="24"/>
          <w:szCs w:val="24"/>
        </w:rPr>
        <w:t> </w:t>
      </w:r>
      <w:r>
        <w:rPr>
          <w:rFonts w:ascii="宋体" w:hAnsi="宋体" w:cs="宋体" w:eastAsia="宋体" w:hint="default"/>
          <w:spacing w:val="30"/>
          <w:sz w:val="24"/>
          <w:szCs w:val="24"/>
        </w:rPr>
        <w:t>以及</w:t>
      </w:r>
      <w:r>
        <w:rPr>
          <w:rFonts w:ascii="宋体" w:hAnsi="宋体" w:cs="宋体" w:eastAsia="宋体" w:hint="default"/>
          <w:spacing w:val="-60"/>
          <w:sz w:val="24"/>
          <w:szCs w:val="24"/>
        </w:rPr>
        <w:t> </w:t>
      </w:r>
      <w:r>
        <w:rPr>
          <w:rFonts w:ascii="宋体" w:hAnsi="宋体" w:cs="宋体" w:eastAsia="宋体" w:hint="default"/>
          <w:spacing w:val="30"/>
          <w:sz w:val="24"/>
          <w:szCs w:val="24"/>
        </w:rPr>
        <w:t>巨潮</w:t>
      </w:r>
      <w:r>
        <w:rPr>
          <w:rFonts w:ascii="宋体" w:hAnsi="宋体" w:cs="宋体" w:eastAsia="宋体" w:hint="default"/>
          <w:spacing w:val="-57"/>
          <w:sz w:val="24"/>
          <w:szCs w:val="24"/>
        </w:rPr>
        <w:t> </w:t>
      </w:r>
      <w:r>
        <w:rPr>
          <w:rFonts w:ascii="宋体" w:hAnsi="宋体" w:cs="宋体" w:eastAsia="宋体" w:hint="default"/>
          <w:spacing w:val="30"/>
          <w:sz w:val="24"/>
          <w:szCs w:val="24"/>
        </w:rPr>
        <w:t>资讯</w:t>
      </w:r>
      <w:r>
        <w:rPr>
          <w:rFonts w:ascii="宋体" w:hAnsi="宋体" w:cs="宋体" w:eastAsia="宋体" w:hint="default"/>
          <w:spacing w:val="-60"/>
          <w:sz w:val="24"/>
          <w:szCs w:val="24"/>
        </w:rPr>
        <w:t> </w:t>
      </w:r>
      <w:r>
        <w:rPr>
          <w:rFonts w:ascii="宋体" w:hAnsi="宋体" w:cs="宋体" w:eastAsia="宋体" w:hint="default"/>
          <w:sz w:val="24"/>
          <w:szCs w:val="24"/>
        </w:rPr>
        <w:t>网</w:t>
      </w:r>
    </w:p>
    <w:p>
      <w:pPr>
        <w:spacing w:before="36"/>
        <w:ind w:left="143" w:right="1740" w:firstLine="0"/>
        <w:jc w:val="left"/>
        <w:rPr>
          <w:rFonts w:ascii="宋体" w:hAnsi="宋体" w:cs="宋体" w:eastAsia="宋体" w:hint="default"/>
          <w:sz w:val="24"/>
          <w:szCs w:val="24"/>
        </w:rPr>
      </w:pPr>
      <w:r>
        <w:rPr>
          <w:rFonts w:ascii="宋体" w:hAnsi="宋体" w:cs="宋体" w:eastAsia="宋体" w:hint="default"/>
          <w:sz w:val="24"/>
          <w:szCs w:val="24"/>
        </w:rPr>
        <w:t>（</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line="352" w:lineRule="auto" w:before="145"/>
        <w:ind w:left="143" w:right="1752"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日下午</w:t>
      </w:r>
      <w:r>
        <w:rPr>
          <w:rFonts w:ascii="宋体" w:hAnsi="宋体" w:cs="宋体" w:eastAsia="宋体" w:hint="default"/>
          <w:sz w:val="24"/>
          <w:szCs w:val="24"/>
        </w:rPr>
        <w:t>13</w:t>
      </w:r>
      <w:r>
        <w:rPr>
          <w:rFonts w:ascii="宋体" w:hAnsi="宋体" w:cs="宋体" w:eastAsia="宋体" w:hint="default"/>
          <w:sz w:val="24"/>
          <w:szCs w:val="24"/>
        </w:rPr>
        <w:t>：</w:t>
      </w:r>
      <w:r>
        <w:rPr>
          <w:rFonts w:ascii="宋体" w:hAnsi="宋体" w:cs="宋体" w:eastAsia="宋体" w:hint="default"/>
          <w:sz w:val="24"/>
          <w:szCs w:val="24"/>
        </w:rPr>
        <w:t>30</w:t>
      </w:r>
      <w:r>
        <w:rPr>
          <w:rFonts w:ascii="宋体" w:hAnsi="宋体" w:cs="宋体" w:eastAsia="宋体" w:hint="default"/>
          <w:sz w:val="24"/>
          <w:szCs w:val="24"/>
        </w:rPr>
        <w:t>分，</w:t>
      </w:r>
      <w:r>
        <w:rPr>
          <w:rFonts w:ascii="宋体" w:hAnsi="宋体" w:cs="宋体" w:eastAsia="宋体" w:hint="default"/>
          <w:sz w:val="24"/>
          <w:szCs w:val="24"/>
        </w:rPr>
        <w:t>2010</w:t>
      </w:r>
      <w:r>
        <w:rPr>
          <w:rFonts w:ascii="宋体" w:hAnsi="宋体" w:cs="宋体" w:eastAsia="宋体" w:hint="default"/>
          <w:sz w:val="24"/>
          <w:szCs w:val="24"/>
        </w:rPr>
        <w:t>年第三次临时股东大会现场会议在重庆市北</w:t>
      </w:r>
      <w:r>
        <w:rPr>
          <w:rFonts w:ascii="宋体" w:hAnsi="宋体" w:cs="宋体" w:eastAsia="宋体" w:hint="default"/>
          <w:spacing w:val="2"/>
          <w:sz w:val="24"/>
          <w:szCs w:val="24"/>
        </w:rPr>
        <w:t> 碚区童家溪镇同兴园区一路</w:t>
      </w:r>
      <w:r>
        <w:rPr>
          <w:rFonts w:ascii="宋体" w:hAnsi="宋体" w:cs="宋体" w:eastAsia="宋体" w:hint="default"/>
          <w:spacing w:val="2"/>
          <w:sz w:val="24"/>
          <w:szCs w:val="24"/>
        </w:rPr>
        <w:t>8</w:t>
      </w:r>
      <w:r>
        <w:rPr>
          <w:rFonts w:ascii="宋体" w:hAnsi="宋体" w:cs="宋体" w:eastAsia="宋体" w:hint="default"/>
          <w:spacing w:val="2"/>
          <w:sz w:val="24"/>
          <w:szCs w:val="24"/>
        </w:rPr>
        <w:t>号公司会议室召开。通过深圳证券交易所交易系统进行 </w:t>
      </w:r>
      <w:r>
        <w:rPr>
          <w:rFonts w:ascii="宋体" w:hAnsi="宋体" w:cs="宋体" w:eastAsia="宋体" w:hint="default"/>
          <w:sz w:val="24"/>
          <w:szCs w:val="24"/>
        </w:rPr>
        <w:t>网络投票的时间为</w:t>
      </w:r>
      <w:r>
        <w:rPr>
          <w:rFonts w:ascii="宋体" w:hAnsi="宋体" w:cs="宋体" w:eastAsia="宋体" w:hint="default"/>
          <w:sz w:val="24"/>
          <w:szCs w:val="24"/>
        </w:rPr>
        <w:t>2010</w:t>
      </w:r>
      <w:r>
        <w:rPr>
          <w:rFonts w:ascii="宋体" w:hAnsi="宋体" w:cs="宋体" w:eastAsia="宋体" w:hint="default"/>
          <w:spacing w:val="34"/>
          <w:sz w:val="24"/>
          <w:szCs w:val="24"/>
        </w:rPr>
        <w:t> </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日上午</w:t>
      </w:r>
      <w:r>
        <w:rPr>
          <w:rFonts w:ascii="宋体" w:hAnsi="宋体" w:cs="宋体" w:eastAsia="宋体" w:hint="default"/>
          <w:sz w:val="24"/>
          <w:szCs w:val="24"/>
        </w:rPr>
        <w:t>9:30</w:t>
      </w:r>
      <w:r>
        <w:rPr>
          <w:rFonts w:ascii="宋体" w:hAnsi="宋体" w:cs="宋体" w:eastAsia="宋体" w:hint="default"/>
          <w:sz w:val="24"/>
          <w:szCs w:val="24"/>
        </w:rPr>
        <w:t>～</w:t>
      </w:r>
      <w:r>
        <w:rPr>
          <w:rFonts w:ascii="宋体" w:hAnsi="宋体" w:cs="宋体" w:eastAsia="宋体" w:hint="default"/>
          <w:sz w:val="24"/>
          <w:szCs w:val="24"/>
        </w:rPr>
        <w:t>11:30,</w:t>
      </w:r>
      <w:r>
        <w:rPr>
          <w:rFonts w:ascii="宋体" w:hAnsi="宋体" w:cs="宋体" w:eastAsia="宋体" w:hint="default"/>
          <w:sz w:val="24"/>
          <w:szCs w:val="24"/>
        </w:rPr>
        <w:t>下午</w:t>
      </w:r>
      <w:r>
        <w:rPr>
          <w:rFonts w:ascii="宋体" w:hAnsi="宋体" w:cs="宋体" w:eastAsia="宋体" w:hint="default"/>
          <w:spacing w:val="33"/>
          <w:sz w:val="24"/>
          <w:szCs w:val="24"/>
        </w:rPr>
        <w:t> </w:t>
      </w:r>
      <w:r>
        <w:rPr>
          <w:rFonts w:ascii="宋体" w:hAnsi="宋体" w:cs="宋体" w:eastAsia="宋体" w:hint="default"/>
          <w:sz w:val="24"/>
          <w:szCs w:val="24"/>
        </w:rPr>
        <w:t>13:00</w:t>
      </w:r>
      <w:r>
        <w:rPr>
          <w:rFonts w:ascii="宋体" w:hAnsi="宋体" w:cs="宋体" w:eastAsia="宋体" w:hint="default"/>
          <w:sz w:val="24"/>
          <w:szCs w:val="24"/>
        </w:rPr>
        <w:t>～</w:t>
      </w:r>
      <w:r>
        <w:rPr>
          <w:rFonts w:ascii="宋体" w:hAnsi="宋体" w:cs="宋体" w:eastAsia="宋体" w:hint="default"/>
          <w:sz w:val="24"/>
          <w:szCs w:val="24"/>
        </w:rPr>
        <w:t>15:00</w:t>
      </w:r>
      <w:r>
        <w:rPr>
          <w:rFonts w:ascii="宋体" w:hAnsi="宋体" w:cs="宋体" w:eastAsia="宋体" w:hint="default"/>
          <w:sz w:val="24"/>
          <w:szCs w:val="24"/>
        </w:rPr>
        <w:t>；通过深圳</w:t>
      </w:r>
      <w:r>
        <w:rPr>
          <w:rFonts w:ascii="宋体" w:hAnsi="宋体" w:cs="宋体" w:eastAsia="宋体" w:hint="default"/>
          <w:spacing w:val="-115"/>
          <w:sz w:val="24"/>
          <w:szCs w:val="24"/>
        </w:rPr>
        <w:t> </w:t>
      </w:r>
      <w:r>
        <w:rPr>
          <w:rFonts w:ascii="宋体" w:hAnsi="宋体" w:cs="宋体" w:eastAsia="宋体" w:hint="default"/>
          <w:sz w:val="24"/>
          <w:szCs w:val="24"/>
        </w:rPr>
        <w:t>证券交易所互联网投票系统投票的具体时间为</w:t>
      </w:r>
      <w:r>
        <w:rPr>
          <w:rFonts w:ascii="宋体" w:hAnsi="宋体" w:cs="宋体" w:eastAsia="宋体" w:hint="default"/>
          <w:sz w:val="24"/>
          <w:szCs w:val="24"/>
        </w:rPr>
        <w:t>2010</w:t>
      </w:r>
      <w:r>
        <w:rPr>
          <w:rFonts w:ascii="宋体" w:hAnsi="宋体" w:cs="宋体" w:eastAsia="宋体" w:hint="default"/>
          <w:spacing w:val="-36"/>
          <w:sz w:val="24"/>
          <w:szCs w:val="24"/>
        </w:rPr>
        <w:t> </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r>
        <w:rPr>
          <w:rFonts w:ascii="宋体" w:hAnsi="宋体" w:cs="宋体" w:eastAsia="宋体" w:hint="default"/>
          <w:sz w:val="24"/>
          <w:szCs w:val="24"/>
        </w:rPr>
        <w:t>15:00</w:t>
      </w:r>
      <w:r>
        <w:rPr>
          <w:rFonts w:ascii="宋体" w:hAnsi="宋体" w:cs="宋体" w:eastAsia="宋体" w:hint="default"/>
          <w:sz w:val="24"/>
          <w:szCs w:val="24"/>
        </w:rPr>
        <w:t>至</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 </w:t>
      </w:r>
      <w:r>
        <w:rPr>
          <w:rFonts w:ascii="宋体" w:hAnsi="宋体" w:cs="宋体" w:eastAsia="宋体" w:hint="default"/>
          <w:sz w:val="24"/>
          <w:szCs w:val="24"/>
        </w:rPr>
        <w:t>15:00</w:t>
      </w:r>
      <w:r>
        <w:rPr>
          <w:rFonts w:ascii="宋体" w:hAnsi="宋体" w:cs="宋体" w:eastAsia="宋体" w:hint="default"/>
          <w:sz w:val="24"/>
          <w:szCs w:val="24"/>
        </w:rPr>
        <w:t>的任意时间。</w:t>
      </w:r>
    </w:p>
    <w:p>
      <w:pPr>
        <w:spacing w:line="350" w:lineRule="auto" w:before="34"/>
        <w:ind w:left="143" w:right="1622" w:firstLine="480"/>
        <w:jc w:val="left"/>
        <w:rPr>
          <w:rFonts w:ascii="宋体" w:hAnsi="宋体" w:cs="宋体" w:eastAsia="宋体" w:hint="default"/>
          <w:sz w:val="24"/>
          <w:szCs w:val="24"/>
        </w:rPr>
      </w:pPr>
      <w:r>
        <w:rPr>
          <w:rFonts w:ascii="宋体" w:hAnsi="宋体" w:cs="宋体" w:eastAsia="宋体" w:hint="default"/>
          <w:spacing w:val="2"/>
          <w:sz w:val="24"/>
          <w:szCs w:val="24"/>
        </w:rPr>
        <w:t>出席本次股东大会现场会议和网络投票表决的股东及股东授权代表共</w:t>
      </w:r>
      <w:r>
        <w:rPr>
          <w:rFonts w:ascii="宋体" w:hAnsi="宋体" w:cs="宋体" w:eastAsia="宋体" w:hint="default"/>
          <w:spacing w:val="2"/>
          <w:sz w:val="24"/>
          <w:szCs w:val="24"/>
        </w:rPr>
        <w:t>411</w:t>
      </w:r>
      <w:r>
        <w:rPr>
          <w:rFonts w:ascii="宋体" w:hAnsi="宋体" w:cs="宋体" w:eastAsia="宋体" w:hint="default"/>
          <w:spacing w:val="2"/>
          <w:sz w:val="24"/>
          <w:szCs w:val="24"/>
        </w:rPr>
        <w:t>人，代 </w:t>
      </w:r>
      <w:r>
        <w:rPr>
          <w:rFonts w:ascii="宋体" w:hAnsi="宋体" w:cs="宋体" w:eastAsia="宋体" w:hint="default"/>
          <w:sz w:val="24"/>
          <w:szCs w:val="24"/>
        </w:rPr>
        <w:t>表有效表决权的股份数</w:t>
      </w:r>
      <w:r>
        <w:rPr>
          <w:rFonts w:ascii="宋体" w:hAnsi="宋体" w:cs="宋体" w:eastAsia="宋体" w:hint="default"/>
          <w:sz w:val="24"/>
          <w:szCs w:val="24"/>
        </w:rPr>
        <w:t>151,061,778</w:t>
      </w:r>
      <w:r>
        <w:rPr>
          <w:rFonts w:ascii="宋体" w:hAnsi="宋体" w:cs="宋体" w:eastAsia="宋体" w:hint="default"/>
          <w:sz w:val="24"/>
          <w:szCs w:val="24"/>
        </w:rPr>
        <w:t>股，占公司股份总数</w:t>
      </w:r>
      <w:r>
        <w:rPr>
          <w:rFonts w:ascii="宋体" w:hAnsi="宋体" w:cs="宋体" w:eastAsia="宋体" w:hint="default"/>
          <w:sz w:val="24"/>
          <w:szCs w:val="24"/>
        </w:rPr>
        <w:t>487,731,995</w:t>
      </w:r>
      <w:r>
        <w:rPr>
          <w:rFonts w:ascii="宋体" w:hAnsi="宋体" w:cs="宋体" w:eastAsia="宋体" w:hint="default"/>
          <w:sz w:val="24"/>
          <w:szCs w:val="24"/>
        </w:rPr>
        <w:t>股的</w:t>
      </w:r>
      <w:r>
        <w:rPr>
          <w:rFonts w:ascii="宋体" w:hAnsi="宋体" w:cs="宋体" w:eastAsia="宋体" w:hint="default"/>
          <w:sz w:val="24"/>
          <w:szCs w:val="24"/>
        </w:rPr>
        <w:t>30.97%</w:t>
      </w:r>
      <w:r>
        <w:rPr>
          <w:rFonts w:ascii="宋体" w:hAnsi="宋体" w:cs="宋体" w:eastAsia="宋体" w:hint="default"/>
          <w:sz w:val="24"/>
          <w:szCs w:val="24"/>
        </w:rPr>
        <w:t>。其 中出席现场会议的股东及股东授权代表共计</w:t>
      </w:r>
      <w:r>
        <w:rPr>
          <w:rFonts w:ascii="宋体" w:hAnsi="宋体" w:cs="宋体" w:eastAsia="宋体" w:hint="default"/>
          <w:sz w:val="24"/>
          <w:szCs w:val="24"/>
        </w:rPr>
        <w:t>2</w:t>
      </w:r>
      <w:r>
        <w:rPr>
          <w:rFonts w:ascii="宋体" w:hAnsi="宋体" w:cs="宋体" w:eastAsia="宋体" w:hint="default"/>
          <w:sz w:val="24"/>
          <w:szCs w:val="24"/>
        </w:rPr>
        <w:t>人，代表公司股份</w:t>
      </w:r>
      <w:r>
        <w:rPr>
          <w:rFonts w:ascii="宋体" w:hAnsi="宋体" w:cs="宋体" w:eastAsia="宋体" w:hint="default"/>
          <w:sz w:val="24"/>
          <w:szCs w:val="24"/>
        </w:rPr>
        <w:t>11,812.3187</w:t>
      </w:r>
      <w:r>
        <w:rPr>
          <w:rFonts w:ascii="宋体" w:hAnsi="宋体" w:cs="宋体" w:eastAsia="宋体" w:hint="default"/>
          <w:sz w:val="24"/>
          <w:szCs w:val="24"/>
        </w:rPr>
        <w:t>股，占公 </w:t>
      </w:r>
      <w:r>
        <w:rPr>
          <w:rFonts w:ascii="宋体" w:hAnsi="宋体" w:cs="宋体" w:eastAsia="宋体" w:hint="default"/>
          <w:spacing w:val="-3"/>
          <w:sz w:val="24"/>
          <w:szCs w:val="24"/>
        </w:rPr>
        <w:t>司股份总数的</w:t>
      </w:r>
      <w:r>
        <w:rPr>
          <w:rFonts w:ascii="宋体" w:hAnsi="宋体" w:cs="宋体" w:eastAsia="宋体" w:hint="default"/>
          <w:spacing w:val="-3"/>
          <w:sz w:val="24"/>
          <w:szCs w:val="24"/>
        </w:rPr>
        <w:t>24.22%</w:t>
      </w:r>
      <w:r>
        <w:rPr>
          <w:rFonts w:ascii="宋体" w:hAnsi="宋体" w:cs="宋体" w:eastAsia="宋体" w:hint="default"/>
          <w:spacing w:val="-3"/>
          <w:sz w:val="24"/>
          <w:szCs w:val="24"/>
        </w:rPr>
        <w:t>；参与网络投票的股东共计</w:t>
      </w:r>
      <w:r>
        <w:rPr>
          <w:rFonts w:ascii="宋体" w:hAnsi="宋体" w:cs="宋体" w:eastAsia="宋体" w:hint="default"/>
          <w:spacing w:val="-3"/>
          <w:sz w:val="24"/>
          <w:szCs w:val="24"/>
        </w:rPr>
        <w:t>409</w:t>
      </w:r>
      <w:r>
        <w:rPr>
          <w:rFonts w:ascii="宋体" w:hAnsi="宋体" w:cs="宋体" w:eastAsia="宋体" w:hint="default"/>
          <w:spacing w:val="-3"/>
          <w:sz w:val="24"/>
          <w:szCs w:val="24"/>
        </w:rPr>
        <w:t>人，</w:t>
      </w:r>
      <w:r>
        <w:rPr>
          <w:rFonts w:ascii="宋体" w:hAnsi="宋体" w:cs="宋体" w:eastAsia="宋体" w:hint="default"/>
          <w:spacing w:val="-72"/>
          <w:sz w:val="24"/>
          <w:szCs w:val="24"/>
        </w:rPr>
        <w:t> </w:t>
      </w:r>
      <w:r>
        <w:rPr>
          <w:rFonts w:ascii="宋体" w:hAnsi="宋体" w:cs="宋体" w:eastAsia="宋体" w:hint="default"/>
          <w:sz w:val="24"/>
          <w:szCs w:val="24"/>
        </w:rPr>
        <w:t>代表公司股份</w:t>
      </w:r>
      <w:r>
        <w:rPr>
          <w:rFonts w:ascii="宋体" w:hAnsi="宋体" w:cs="宋体" w:eastAsia="宋体" w:hint="default"/>
          <w:sz w:val="24"/>
          <w:szCs w:val="24"/>
        </w:rPr>
        <w:t>32,938,591</w:t>
      </w:r>
      <w:r>
        <w:rPr>
          <w:rFonts w:ascii="宋体" w:hAnsi="宋体" w:cs="宋体" w:eastAsia="宋体" w:hint="default"/>
          <w:sz w:val="24"/>
          <w:szCs w:val="24"/>
        </w:rPr>
        <w:t>股，</w:t>
      </w:r>
      <w:r>
        <w:rPr>
          <w:rFonts w:ascii="宋体" w:hAnsi="宋体" w:cs="宋体" w:eastAsia="宋体" w:hint="default"/>
          <w:spacing w:val="-118"/>
          <w:sz w:val="24"/>
          <w:szCs w:val="24"/>
        </w:rPr>
        <w:t> </w:t>
      </w:r>
      <w:r>
        <w:rPr>
          <w:rFonts w:ascii="宋体" w:hAnsi="宋体" w:cs="宋体" w:eastAsia="宋体" w:hint="default"/>
          <w:sz w:val="24"/>
          <w:szCs w:val="24"/>
        </w:rPr>
        <w:t>占公司股份总数的</w:t>
      </w:r>
      <w:r>
        <w:rPr>
          <w:rFonts w:ascii="宋体" w:hAnsi="宋体" w:cs="宋体" w:eastAsia="宋体" w:hint="default"/>
          <w:sz w:val="24"/>
          <w:szCs w:val="24"/>
        </w:rPr>
        <w:t>6.75%</w:t>
      </w:r>
      <w:r>
        <w:rPr>
          <w:rFonts w:ascii="宋体" w:hAnsi="宋体" w:cs="宋体" w:eastAsia="宋体" w:hint="default"/>
          <w:sz w:val="24"/>
          <w:szCs w:val="24"/>
        </w:rPr>
        <w:t>。</w:t>
      </w:r>
    </w:p>
    <w:p>
      <w:pPr>
        <w:spacing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现场会议由董事熊波先生主持。参会股东审议通过如下议案：</w:t>
      </w:r>
    </w:p>
    <w:p>
      <w:pPr>
        <w:spacing w:line="350" w:lineRule="auto" w:before="146"/>
        <w:ind w:left="623" w:right="1738" w:firstLine="0"/>
        <w:jc w:val="left"/>
        <w:rPr>
          <w:rFonts w:ascii="宋体" w:hAnsi="宋体" w:cs="宋体" w:eastAsia="宋体" w:hint="default"/>
          <w:sz w:val="24"/>
          <w:szCs w:val="24"/>
        </w:rPr>
      </w:pPr>
      <w:r>
        <w:rPr>
          <w:rFonts w:ascii="宋体" w:hAnsi="宋体" w:cs="宋体" w:eastAsia="宋体" w:hint="default"/>
          <w:spacing w:val="-8"/>
          <w:sz w:val="24"/>
          <w:szCs w:val="24"/>
        </w:rPr>
        <w:t>（</w:t>
      </w:r>
      <w:r>
        <w:rPr>
          <w:rFonts w:ascii="宋体" w:hAnsi="宋体" w:cs="宋体" w:eastAsia="宋体" w:hint="default"/>
          <w:spacing w:val="-8"/>
          <w:sz w:val="24"/>
          <w:szCs w:val="24"/>
        </w:rPr>
        <w:t>1</w:t>
      </w:r>
      <w:r>
        <w:rPr>
          <w:rFonts w:ascii="宋体" w:hAnsi="宋体" w:cs="宋体" w:eastAsia="宋体" w:hint="default"/>
          <w:spacing w:val="-8"/>
          <w:sz w:val="24"/>
          <w:szCs w:val="24"/>
        </w:rPr>
        <w:t>）《关于转让子公司华立科泰股权及收购子公司华立仪表股权的议案》。</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1"/>
          <w:sz w:val="24"/>
          <w:szCs w:val="24"/>
        </w:rPr>
        <w:t>重庆源伟律师事务所对本次股东大会出具了法律意见书。经办律师王应、马彦逢</w:t>
      </w:r>
    </w:p>
    <w:p>
      <w:pPr>
        <w:spacing w:line="352" w:lineRule="auto" w:before="36"/>
        <w:ind w:left="143" w:right="1740" w:firstLine="0"/>
        <w:jc w:val="left"/>
        <w:rPr>
          <w:rFonts w:ascii="宋体" w:hAnsi="宋体" w:cs="宋体" w:eastAsia="宋体" w:hint="default"/>
          <w:sz w:val="24"/>
          <w:szCs w:val="24"/>
        </w:rPr>
      </w:pPr>
      <w:r>
        <w:rPr>
          <w:rFonts w:ascii="宋体" w:hAnsi="宋体" w:cs="宋体" w:eastAsia="宋体" w:hint="default"/>
          <w:spacing w:val="-1"/>
          <w:sz w:val="24"/>
          <w:szCs w:val="24"/>
        </w:rPr>
        <w:t>认为本次股东大会的召集、召开以及表决程序等相关事宜符合法律、法规以及公司章</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程的规定，本次股东大会形成的决议合法有效。</w:t>
      </w:r>
    </w:p>
    <w:p>
      <w:pPr>
        <w:spacing w:line="352" w:lineRule="auto" w:before="31"/>
        <w:ind w:left="143" w:right="1755" w:firstLine="480"/>
        <w:jc w:val="both"/>
        <w:rPr>
          <w:rFonts w:ascii="宋体" w:hAnsi="宋体" w:cs="宋体" w:eastAsia="宋体" w:hint="default"/>
          <w:sz w:val="24"/>
          <w:szCs w:val="24"/>
        </w:rPr>
      </w:pPr>
      <w:r>
        <w:rPr>
          <w:rFonts w:ascii="宋体" w:hAnsi="宋体" w:cs="宋体" w:eastAsia="宋体" w:hint="default"/>
          <w:spacing w:val="-10"/>
          <w:sz w:val="24"/>
          <w:szCs w:val="24"/>
        </w:rPr>
        <w:t>上述股东大会决议公告在</w:t>
      </w:r>
      <w:r>
        <w:rPr>
          <w:rFonts w:ascii="宋体" w:hAnsi="宋体" w:cs="宋体" w:eastAsia="宋体" w:hint="default"/>
          <w:spacing w:val="-10"/>
          <w:sz w:val="24"/>
          <w:szCs w:val="24"/>
        </w:rPr>
        <w:t>2010</w:t>
      </w:r>
      <w:r>
        <w:rPr>
          <w:rFonts w:ascii="宋体" w:hAnsi="宋体" w:cs="宋体" w:eastAsia="宋体" w:hint="default"/>
          <w:spacing w:val="-10"/>
          <w:sz w:val="24"/>
          <w:szCs w:val="24"/>
        </w:rPr>
        <w:t>年</w:t>
      </w:r>
      <w:r>
        <w:rPr>
          <w:rFonts w:ascii="宋体" w:hAnsi="宋体" w:cs="宋体" w:eastAsia="宋体" w:hint="default"/>
          <w:spacing w:val="-10"/>
          <w:sz w:val="24"/>
          <w:szCs w:val="24"/>
        </w:rPr>
        <w:t>11</w:t>
      </w:r>
      <w:r>
        <w:rPr>
          <w:rFonts w:ascii="宋体" w:hAnsi="宋体" w:cs="宋体" w:eastAsia="宋体" w:hint="default"/>
          <w:spacing w:val="-10"/>
          <w:sz w:val="24"/>
          <w:szCs w:val="24"/>
        </w:rPr>
        <w:t>月</w:t>
      </w:r>
      <w:r>
        <w:rPr>
          <w:rFonts w:ascii="宋体" w:hAnsi="宋体" w:cs="宋体" w:eastAsia="宋体" w:hint="default"/>
          <w:spacing w:val="-10"/>
          <w:sz w:val="24"/>
          <w:szCs w:val="24"/>
        </w:rPr>
        <w:t>6</w:t>
      </w:r>
      <w:r>
        <w:rPr>
          <w:rFonts w:ascii="宋体" w:hAnsi="宋体" w:cs="宋体" w:eastAsia="宋体" w:hint="default"/>
          <w:spacing w:val="-10"/>
          <w:sz w:val="24"/>
          <w:szCs w:val="24"/>
        </w:rPr>
        <w:t>日的《中国证券报》、《证券时报》、巨潮资</w:t>
      </w:r>
      <w:r>
        <w:rPr>
          <w:rFonts w:ascii="宋体" w:hAnsi="宋体" w:cs="宋体" w:eastAsia="宋体" w:hint="default"/>
          <w:sz w:val="24"/>
          <w:szCs w:val="24"/>
        </w:rPr>
        <w:t> 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after="0" w:line="352" w:lineRule="auto"/>
        <w:jc w:val="both"/>
        <w:rPr>
          <w:rFonts w:ascii="宋体" w:hAnsi="宋体" w:cs="宋体" w:eastAsia="宋体" w:hint="default"/>
          <w:sz w:val="24"/>
          <w:szCs w:val="24"/>
        </w:rPr>
        <w:sectPr>
          <w:pgSz w:w="11910" w:h="16840"/>
          <w:pgMar w:header="752" w:footer="955" w:top="1020" w:bottom="1140" w:left="1160" w:right="0"/>
        </w:sectPr>
      </w:pPr>
    </w:p>
    <w:p>
      <w:pPr>
        <w:spacing w:line="240" w:lineRule="auto" w:before="6"/>
        <w:rPr>
          <w:rFonts w:ascii="宋体" w:hAnsi="宋体" w:cs="宋体" w:eastAsia="宋体" w:hint="default"/>
          <w:sz w:val="29"/>
          <w:szCs w:val="29"/>
        </w:rPr>
      </w:pPr>
    </w:p>
    <w:p>
      <w:pPr>
        <w:spacing w:before="14"/>
        <w:ind w:left="619" w:right="1166" w:firstLine="0"/>
        <w:jc w:val="left"/>
        <w:rPr>
          <w:rFonts w:ascii="宋体" w:hAnsi="宋体" w:cs="宋体" w:eastAsia="宋体" w:hint="default"/>
          <w:sz w:val="28"/>
          <w:szCs w:val="28"/>
        </w:rPr>
      </w:pPr>
      <w:r>
        <w:rPr>
          <w:rFonts w:ascii="宋体" w:hAnsi="宋体" w:cs="宋体" w:eastAsia="宋体" w:hint="default"/>
          <w:b/>
          <w:bCs/>
          <w:sz w:val="28"/>
          <w:szCs w:val="28"/>
        </w:rPr>
        <w:t>七、董事会报告</w:t>
      </w:r>
      <w:r>
        <w:rPr>
          <w:rFonts w:ascii="宋体" w:hAnsi="宋体" w:cs="宋体" w:eastAsia="宋体" w:hint="default"/>
          <w:sz w:val="28"/>
          <w:szCs w:val="28"/>
        </w:rPr>
      </w:r>
    </w:p>
    <w:p>
      <w:pPr>
        <w:spacing w:line="357" w:lineRule="auto" w:before="187"/>
        <w:ind w:left="617" w:right="6047" w:firstLine="2"/>
        <w:jc w:val="left"/>
        <w:rPr>
          <w:rFonts w:ascii="宋体" w:hAnsi="宋体" w:cs="宋体" w:eastAsia="宋体" w:hint="default"/>
          <w:sz w:val="24"/>
          <w:szCs w:val="24"/>
        </w:rPr>
      </w:pPr>
      <w:r>
        <w:rPr>
          <w:rFonts w:ascii="宋体" w:hAnsi="宋体" w:cs="宋体" w:eastAsia="宋体" w:hint="default"/>
          <w:sz w:val="24"/>
          <w:szCs w:val="24"/>
        </w:rPr>
        <w:t>（一）公司经营情况的分析与讨论 </w:t>
      </w:r>
      <w:r>
        <w:rPr>
          <w:rFonts w:ascii="宋体" w:hAnsi="宋体" w:cs="宋体" w:eastAsia="宋体" w:hint="default"/>
          <w:sz w:val="24"/>
          <w:szCs w:val="24"/>
        </w:rPr>
        <w:t>1</w:t>
      </w:r>
      <w:r>
        <w:rPr>
          <w:rFonts w:ascii="宋体" w:hAnsi="宋体" w:cs="宋体" w:eastAsia="宋体" w:hint="default"/>
          <w:sz w:val="24"/>
          <w:szCs w:val="24"/>
        </w:rPr>
        <w:t>、报告期内公司经营情况</w:t>
      </w:r>
    </w:p>
    <w:p>
      <w:pPr>
        <w:spacing w:line="357" w:lineRule="auto" w:before="36"/>
        <w:ind w:left="137" w:right="1299" w:firstLine="539"/>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17"/>
          <w:sz w:val="24"/>
          <w:szCs w:val="24"/>
        </w:rPr>
        <w:t> </w:t>
      </w:r>
      <w:r>
        <w:rPr>
          <w:rFonts w:ascii="宋体" w:hAnsi="宋体" w:cs="宋体" w:eastAsia="宋体" w:hint="default"/>
          <w:sz w:val="24"/>
          <w:szCs w:val="24"/>
        </w:rPr>
        <w:t>年度，受原材料价格上涨及国家电网招标改革等因素影响，公司仪器仪表 </w:t>
      </w:r>
      <w:r>
        <w:rPr>
          <w:rFonts w:ascii="宋体" w:hAnsi="宋体" w:cs="宋体" w:eastAsia="宋体" w:hint="default"/>
          <w:spacing w:val="-1"/>
          <w:sz w:val="24"/>
          <w:szCs w:val="24"/>
        </w:rPr>
        <w:t>主营业务利润较上年同期有所下降，而公司青蒿素产业盈利情况仍然没能改善，亏损</w:t>
      </w:r>
      <w:r>
        <w:rPr>
          <w:rFonts w:ascii="宋体" w:hAnsi="宋体" w:cs="宋体" w:eastAsia="宋体" w:hint="default"/>
          <w:sz w:val="24"/>
          <w:szCs w:val="24"/>
        </w:rPr>
        <w:t> 幅度较上年同期有较大增长。因此造成公司</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年继续亏损。</w:t>
      </w:r>
    </w:p>
    <w:p>
      <w:pPr>
        <w:spacing w:line="357" w:lineRule="auto" w:before="36"/>
        <w:ind w:left="137" w:right="1301" w:firstLine="539"/>
        <w:jc w:val="both"/>
        <w:rPr>
          <w:rFonts w:ascii="宋体" w:hAnsi="宋体" w:cs="宋体" w:eastAsia="宋体" w:hint="default"/>
          <w:sz w:val="24"/>
          <w:szCs w:val="24"/>
        </w:rPr>
      </w:pPr>
      <w:r>
        <w:rPr>
          <w:rFonts w:ascii="宋体" w:hAnsi="宋体" w:cs="宋体" w:eastAsia="宋体" w:hint="default"/>
          <w:spacing w:val="-3"/>
          <w:sz w:val="24"/>
          <w:szCs w:val="24"/>
        </w:rPr>
        <w:t>为切实改善公司经营状况，改变公司“仪器仪表”和“医药”双主业的格局，公</w:t>
      </w:r>
      <w:r>
        <w:rPr>
          <w:rFonts w:ascii="宋体" w:hAnsi="宋体" w:cs="宋体" w:eastAsia="宋体" w:hint="default"/>
          <w:sz w:val="24"/>
          <w:szCs w:val="24"/>
        </w:rPr>
        <w:t> </w:t>
      </w:r>
      <w:r>
        <w:rPr>
          <w:rFonts w:ascii="宋体" w:hAnsi="宋体" w:cs="宋体" w:eastAsia="宋体" w:hint="default"/>
          <w:spacing w:val="-1"/>
          <w:sz w:val="24"/>
          <w:szCs w:val="24"/>
        </w:rPr>
        <w:t>司决定退出数年亏损的医药产业，以集中资源发展面向智能电网的技术和仪器仪表产</w:t>
      </w:r>
      <w:r>
        <w:rPr>
          <w:rFonts w:ascii="宋体" w:hAnsi="宋体" w:cs="宋体" w:eastAsia="宋体" w:hint="default"/>
          <w:sz w:val="24"/>
          <w:szCs w:val="24"/>
        </w:rPr>
        <w:t> </w:t>
      </w:r>
      <w:r>
        <w:rPr>
          <w:rFonts w:ascii="宋体" w:hAnsi="宋体" w:cs="宋体" w:eastAsia="宋体" w:hint="default"/>
          <w:spacing w:val="-1"/>
          <w:sz w:val="24"/>
          <w:szCs w:val="24"/>
        </w:rPr>
        <w:t>业。报告期内公司剥离了旗下亏损的大麻产业、青蒿素产业资产，增持了盈利稳定的</w:t>
      </w:r>
      <w:r>
        <w:rPr>
          <w:rFonts w:ascii="宋体" w:hAnsi="宋体" w:cs="宋体" w:eastAsia="宋体" w:hint="default"/>
          <w:sz w:val="24"/>
          <w:szCs w:val="24"/>
        </w:rPr>
        <w:t> </w:t>
      </w:r>
      <w:r>
        <w:rPr>
          <w:rFonts w:ascii="宋体" w:hAnsi="宋体" w:cs="宋体" w:eastAsia="宋体" w:hint="default"/>
          <w:spacing w:val="-2"/>
          <w:sz w:val="24"/>
          <w:szCs w:val="24"/>
        </w:rPr>
        <w:t>华立仪表股权。报告期内公司名称由“重庆华立药业股份有限公司”变更为“重庆华</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pacing w:val="-11"/>
          <w:sz w:val="24"/>
          <w:szCs w:val="24"/>
        </w:rPr>
        <w:t>智控股股份有限公司”。</w:t>
      </w:r>
    </w:p>
    <w:p>
      <w:pPr>
        <w:spacing w:line="357" w:lineRule="auto" w:before="36"/>
        <w:ind w:left="137" w:right="1183" w:firstLine="479"/>
        <w:jc w:val="both"/>
        <w:rPr>
          <w:rFonts w:ascii="宋体" w:hAnsi="宋体" w:cs="宋体" w:eastAsia="宋体" w:hint="default"/>
          <w:sz w:val="24"/>
          <w:szCs w:val="24"/>
        </w:rPr>
      </w:pPr>
      <w:r>
        <w:rPr>
          <w:rFonts w:ascii="宋体" w:hAnsi="宋体" w:cs="宋体" w:eastAsia="宋体" w:hint="default"/>
          <w:spacing w:val="-2"/>
          <w:sz w:val="24"/>
          <w:szCs w:val="24"/>
        </w:rPr>
        <w:t>报告期内公司与中安国泰投资有限公司签署了《股权转让及债权处置协议书》，</w:t>
      </w:r>
      <w:r>
        <w:rPr>
          <w:rFonts w:ascii="宋体" w:hAnsi="宋体" w:cs="宋体" w:eastAsia="宋体" w:hint="default"/>
          <w:sz w:val="24"/>
          <w:szCs w:val="24"/>
        </w:rPr>
        <w:t> 公司拟转让所持有的子公司重庆美联制药有限公司</w:t>
      </w:r>
      <w:r>
        <w:rPr>
          <w:rFonts w:ascii="宋体" w:hAnsi="宋体" w:cs="宋体" w:eastAsia="宋体" w:hint="default"/>
          <w:spacing w:val="-37"/>
          <w:sz w:val="24"/>
          <w:szCs w:val="24"/>
        </w:rPr>
        <w:t> </w:t>
      </w:r>
      <w:r>
        <w:rPr>
          <w:rFonts w:ascii="宋体" w:hAnsi="宋体" w:cs="宋体" w:eastAsia="宋体" w:hint="default"/>
          <w:sz w:val="24"/>
          <w:szCs w:val="24"/>
        </w:rPr>
        <w:t>70%</w:t>
      </w:r>
      <w:r>
        <w:rPr>
          <w:rFonts w:ascii="宋体" w:hAnsi="宋体" w:cs="宋体" w:eastAsia="宋体" w:hint="default"/>
          <w:sz w:val="24"/>
          <w:szCs w:val="24"/>
        </w:rPr>
        <w:t>股权、洪雅美联曼地亚红豆杉 种植有限公司</w:t>
      </w:r>
      <w:r>
        <w:rPr>
          <w:rFonts w:ascii="宋体" w:hAnsi="宋体" w:cs="宋体" w:eastAsia="宋体" w:hint="default"/>
          <w:spacing w:val="-67"/>
          <w:sz w:val="24"/>
          <w:szCs w:val="24"/>
        </w:rPr>
        <w:t> </w:t>
      </w:r>
      <w:r>
        <w:rPr>
          <w:rFonts w:ascii="宋体" w:hAnsi="宋体" w:cs="宋体" w:eastAsia="宋体" w:hint="default"/>
          <w:sz w:val="24"/>
          <w:szCs w:val="24"/>
        </w:rPr>
        <w:t>80%</w:t>
      </w:r>
      <w:r>
        <w:rPr>
          <w:rFonts w:ascii="宋体" w:hAnsi="宋体" w:cs="宋体" w:eastAsia="宋体" w:hint="default"/>
          <w:sz w:val="24"/>
          <w:szCs w:val="24"/>
        </w:rPr>
        <w:t>的股权。</w:t>
      </w:r>
      <w:r>
        <w:rPr>
          <w:rFonts w:ascii="宋体" w:hAnsi="宋体" w:cs="宋体" w:eastAsia="宋体" w:hint="default"/>
          <w:sz w:val="24"/>
          <w:szCs w:val="24"/>
        </w:rPr>
        <w:t>2011</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3</w:t>
      </w:r>
      <w:r>
        <w:rPr>
          <w:rFonts w:ascii="宋体" w:hAnsi="宋体" w:cs="宋体" w:eastAsia="宋体" w:hint="default"/>
          <w:spacing w:val="-66"/>
          <w:sz w:val="24"/>
          <w:szCs w:val="24"/>
        </w:rPr>
        <w:t> </w:t>
      </w:r>
      <w:r>
        <w:rPr>
          <w:rFonts w:ascii="宋体" w:hAnsi="宋体" w:cs="宋体" w:eastAsia="宋体" w:hint="default"/>
          <w:sz w:val="24"/>
          <w:szCs w:val="24"/>
        </w:rPr>
        <w:t>月底公司收到中安国泰投资有限公司《关于重庆 </w:t>
      </w:r>
      <w:r>
        <w:rPr>
          <w:rFonts w:ascii="宋体" w:hAnsi="宋体" w:cs="宋体" w:eastAsia="宋体" w:hint="default"/>
          <w:spacing w:val="4"/>
          <w:sz w:val="24"/>
          <w:szCs w:val="24"/>
        </w:rPr>
        <w:t>美联制药有限公司和洪雅曼地亚红豆杉种植有限公司股权及债权处置相关问题的意</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5"/>
          <w:sz w:val="24"/>
          <w:szCs w:val="24"/>
        </w:rPr>
        <w:t>见》，正积极与对方进行协商，希望早日完成此项股权转让工作，彻底退出医药产业。</w:t>
      </w:r>
    </w:p>
    <w:p>
      <w:pPr>
        <w:spacing w:line="357" w:lineRule="auto" w:before="36"/>
        <w:ind w:left="137" w:right="1299" w:firstLine="479"/>
        <w:jc w:val="both"/>
        <w:rPr>
          <w:rFonts w:ascii="宋体" w:hAnsi="宋体" w:cs="宋体" w:eastAsia="宋体" w:hint="default"/>
          <w:sz w:val="24"/>
          <w:szCs w:val="24"/>
        </w:rPr>
      </w:pPr>
      <w:r>
        <w:rPr>
          <w:rFonts w:ascii="宋体" w:hAnsi="宋体" w:cs="宋体" w:eastAsia="宋体" w:hint="default"/>
          <w:spacing w:val="-4"/>
          <w:sz w:val="24"/>
          <w:szCs w:val="24"/>
        </w:rPr>
        <w:t>子公司华立仪表集团股份有限公司（以下简称：华立仪表）</w:t>
      </w:r>
      <w:r>
        <w:rPr>
          <w:rFonts w:ascii="宋体" w:hAnsi="宋体" w:cs="宋体" w:eastAsia="宋体" w:hint="default"/>
          <w:spacing w:val="-4"/>
          <w:sz w:val="24"/>
          <w:szCs w:val="24"/>
        </w:rPr>
        <w:t>2010</w:t>
      </w:r>
      <w:r>
        <w:rPr>
          <w:rFonts w:ascii="宋体" w:hAnsi="宋体" w:cs="宋体" w:eastAsia="宋体" w:hint="default"/>
          <w:spacing w:val="-42"/>
          <w:sz w:val="24"/>
          <w:szCs w:val="24"/>
        </w:rPr>
        <w:t> </w:t>
      </w:r>
      <w:r>
        <w:rPr>
          <w:rFonts w:ascii="宋体" w:hAnsi="宋体" w:cs="宋体" w:eastAsia="宋体" w:hint="default"/>
          <w:sz w:val="24"/>
          <w:szCs w:val="24"/>
        </w:rPr>
        <w:t>年实现销售收入 </w:t>
      </w:r>
      <w:r>
        <w:rPr>
          <w:rFonts w:ascii="宋体" w:hAnsi="宋体" w:cs="宋体" w:eastAsia="宋体" w:hint="default"/>
          <w:sz w:val="24"/>
          <w:szCs w:val="24"/>
        </w:rPr>
        <w:t>95,630.74</w:t>
      </w:r>
      <w:r>
        <w:rPr>
          <w:rFonts w:ascii="宋体" w:hAnsi="宋体" w:cs="宋体" w:eastAsia="宋体" w:hint="default"/>
          <w:spacing w:val="-68"/>
          <w:sz w:val="24"/>
          <w:szCs w:val="24"/>
        </w:rPr>
        <w:t> </w:t>
      </w:r>
      <w:r>
        <w:rPr>
          <w:rFonts w:ascii="宋体" w:hAnsi="宋体" w:cs="宋体" w:eastAsia="宋体" w:hint="default"/>
          <w:spacing w:val="-5"/>
          <w:sz w:val="24"/>
          <w:szCs w:val="24"/>
        </w:rPr>
        <w:t>万元，同比减少</w:t>
      </w:r>
      <w:r>
        <w:rPr>
          <w:rFonts w:ascii="宋体" w:hAnsi="宋体" w:cs="宋体" w:eastAsia="宋体" w:hint="default"/>
          <w:spacing w:val="-67"/>
          <w:sz w:val="24"/>
          <w:szCs w:val="24"/>
        </w:rPr>
        <w:t> </w:t>
      </w:r>
      <w:r>
        <w:rPr>
          <w:rFonts w:ascii="宋体" w:hAnsi="宋体" w:cs="宋体" w:eastAsia="宋体" w:hint="default"/>
          <w:spacing w:val="-3"/>
          <w:sz w:val="24"/>
          <w:szCs w:val="24"/>
        </w:rPr>
        <w:t>6.71%</w:t>
      </w:r>
      <w:r>
        <w:rPr>
          <w:rFonts w:ascii="宋体" w:hAnsi="宋体" w:cs="宋体" w:eastAsia="宋体" w:hint="default"/>
          <w:spacing w:val="-3"/>
          <w:sz w:val="24"/>
          <w:szCs w:val="24"/>
        </w:rPr>
        <w:t>，营业成本同比增加</w:t>
      </w:r>
      <w:r>
        <w:rPr>
          <w:rFonts w:ascii="宋体" w:hAnsi="宋体" w:cs="宋体" w:eastAsia="宋体" w:hint="default"/>
          <w:spacing w:val="-67"/>
          <w:sz w:val="24"/>
          <w:szCs w:val="24"/>
        </w:rPr>
        <w:t> </w:t>
      </w:r>
      <w:r>
        <w:rPr>
          <w:rFonts w:ascii="宋体" w:hAnsi="宋体" w:cs="宋体" w:eastAsia="宋体" w:hint="default"/>
          <w:sz w:val="24"/>
          <w:szCs w:val="24"/>
        </w:rPr>
        <w:t>8.68%</w:t>
      </w:r>
      <w:r>
        <w:rPr>
          <w:rFonts w:ascii="宋体" w:hAnsi="宋体" w:cs="宋体" w:eastAsia="宋体" w:hint="default"/>
          <w:sz w:val="24"/>
          <w:szCs w:val="24"/>
        </w:rPr>
        <w:t>，毛利率较上年同期减少</w:t>
      </w:r>
    </w:p>
    <w:p>
      <w:pPr>
        <w:spacing w:before="36"/>
        <w:ind w:left="137" w:right="1166" w:firstLine="0"/>
        <w:jc w:val="left"/>
        <w:rPr>
          <w:rFonts w:ascii="宋体" w:hAnsi="宋体" w:cs="宋体" w:eastAsia="宋体" w:hint="default"/>
          <w:sz w:val="24"/>
          <w:szCs w:val="24"/>
        </w:rPr>
      </w:pPr>
      <w:r>
        <w:rPr>
          <w:rFonts w:ascii="宋体" w:hAnsi="宋体" w:cs="宋体" w:eastAsia="宋体" w:hint="default"/>
          <w:sz w:val="24"/>
          <w:szCs w:val="24"/>
        </w:rPr>
        <w:t>10.74%</w:t>
      </w:r>
      <w:r>
        <w:rPr>
          <w:rFonts w:ascii="宋体" w:hAnsi="宋体" w:cs="宋体" w:eastAsia="宋体" w:hint="default"/>
          <w:sz w:val="24"/>
          <w:szCs w:val="24"/>
        </w:rPr>
        <w:t>。主要原因是原材料上涨及国家电网招标制度改革。</w:t>
      </w:r>
    </w:p>
    <w:p>
      <w:pPr>
        <w:spacing w:line="357" w:lineRule="auto" w:before="154"/>
        <w:ind w:left="137" w:right="1296" w:firstLine="479"/>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pacing w:val="-3"/>
          <w:sz w:val="24"/>
          <w:szCs w:val="24"/>
        </w:rPr>
        <w:t>年初华立仪表对其组织机构作了较大调整，新成立了战略投资部、市场合作</w:t>
      </w:r>
      <w:r>
        <w:rPr>
          <w:rFonts w:ascii="宋体" w:hAnsi="宋体" w:cs="宋体" w:eastAsia="宋体" w:hint="default"/>
          <w:sz w:val="24"/>
          <w:szCs w:val="24"/>
        </w:rPr>
        <w:t> </w:t>
      </w:r>
      <w:r>
        <w:rPr>
          <w:rFonts w:ascii="宋体" w:hAnsi="宋体" w:cs="宋体" w:eastAsia="宋体" w:hint="default"/>
          <w:spacing w:val="-2"/>
          <w:sz w:val="24"/>
          <w:szCs w:val="24"/>
        </w:rPr>
        <w:t>部、产品导入部，重组质量管理部、采购部。加强组织的扁平化和专业化，将技术中</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心分拆成国内研发部和海外研发部。</w:t>
      </w:r>
      <w:r>
        <w:rPr>
          <w:rFonts w:ascii="宋体" w:hAnsi="宋体" w:cs="宋体" w:eastAsia="宋体" w:hint="default"/>
          <w:sz w:val="24"/>
          <w:szCs w:val="24"/>
        </w:rPr>
        <w:t>2010</w:t>
      </w:r>
      <w:r>
        <w:rPr>
          <w:rFonts w:ascii="宋体" w:hAnsi="宋体" w:cs="宋体" w:eastAsia="宋体" w:hint="default"/>
          <w:spacing w:val="-77"/>
          <w:sz w:val="24"/>
          <w:szCs w:val="24"/>
        </w:rPr>
        <w:t> </w:t>
      </w:r>
      <w:r>
        <w:rPr>
          <w:rFonts w:ascii="宋体" w:hAnsi="宋体" w:cs="宋体" w:eastAsia="宋体" w:hint="default"/>
          <w:spacing w:val="-4"/>
          <w:sz w:val="24"/>
          <w:szCs w:val="24"/>
        </w:rPr>
        <w:t>年，国内研发部围绕国网、南网和农网开展</w:t>
      </w:r>
      <w:r>
        <w:rPr>
          <w:rFonts w:ascii="宋体" w:hAnsi="宋体" w:cs="宋体" w:eastAsia="宋体" w:hint="default"/>
          <w:sz w:val="24"/>
          <w:szCs w:val="24"/>
        </w:rPr>
        <w:t> 一系列工作，公司研发出符合技术要求的单三相远程费控</w:t>
      </w:r>
      <w:r>
        <w:rPr>
          <w:rFonts w:ascii="宋体" w:hAnsi="宋体" w:cs="宋体" w:eastAsia="宋体" w:hint="default"/>
          <w:sz w:val="24"/>
          <w:szCs w:val="24"/>
        </w:rPr>
        <w:t>/</w:t>
      </w:r>
      <w:r>
        <w:rPr>
          <w:rFonts w:ascii="宋体" w:hAnsi="宋体" w:cs="宋体" w:eastAsia="宋体" w:hint="default"/>
          <w:sz w:val="24"/>
          <w:szCs w:val="24"/>
        </w:rPr>
        <w:t>远程载波</w:t>
      </w:r>
      <w:r>
        <w:rPr>
          <w:rFonts w:ascii="宋体" w:hAnsi="宋体" w:cs="宋体" w:eastAsia="宋体" w:hint="default"/>
          <w:sz w:val="24"/>
          <w:szCs w:val="24"/>
        </w:rPr>
        <w:t>/</w:t>
      </w:r>
      <w:r>
        <w:rPr>
          <w:rFonts w:ascii="宋体" w:hAnsi="宋体" w:cs="宋体" w:eastAsia="宋体" w:hint="default"/>
          <w:sz w:val="24"/>
          <w:szCs w:val="24"/>
        </w:rPr>
        <w:t>本地费控</w:t>
      </w:r>
      <w:r>
        <w:rPr>
          <w:rFonts w:ascii="宋体" w:hAnsi="宋体" w:cs="宋体" w:eastAsia="宋体" w:hint="default"/>
          <w:sz w:val="24"/>
          <w:szCs w:val="24"/>
        </w:rPr>
        <w:t>/</w:t>
      </w:r>
      <w:r>
        <w:rPr>
          <w:rFonts w:ascii="宋体" w:hAnsi="宋体" w:cs="宋体" w:eastAsia="宋体" w:hint="default"/>
          <w:sz w:val="24"/>
          <w:szCs w:val="24"/>
        </w:rPr>
        <w:t>本地</w:t>
      </w:r>
      <w:r>
        <w:rPr>
          <w:rFonts w:ascii="宋体" w:hAnsi="宋体" w:cs="宋体" w:eastAsia="宋体" w:hint="default"/>
          <w:spacing w:val="-45"/>
          <w:sz w:val="24"/>
          <w:szCs w:val="24"/>
        </w:rPr>
        <w:t> </w:t>
      </w:r>
      <w:r>
        <w:rPr>
          <w:rFonts w:ascii="宋体" w:hAnsi="宋体" w:cs="宋体" w:eastAsia="宋体" w:hint="default"/>
          <w:sz w:val="24"/>
          <w:szCs w:val="24"/>
        </w:rPr>
        <w:t>载波、</w:t>
      </w:r>
      <w:r>
        <w:rPr>
          <w:rFonts w:ascii="宋体" w:hAnsi="宋体" w:cs="宋体" w:eastAsia="宋体" w:hint="default"/>
          <w:sz w:val="24"/>
          <w:szCs w:val="24"/>
        </w:rPr>
        <w:t>SOC</w:t>
      </w:r>
      <w:r>
        <w:rPr>
          <w:rFonts w:ascii="宋体" w:hAnsi="宋体" w:cs="宋体" w:eastAsia="宋体" w:hint="default"/>
          <w:spacing w:val="-37"/>
          <w:sz w:val="24"/>
          <w:szCs w:val="24"/>
        </w:rPr>
        <w:t> </w:t>
      </w:r>
      <w:r>
        <w:rPr>
          <w:rFonts w:ascii="宋体" w:hAnsi="宋体" w:cs="宋体" w:eastAsia="宋体" w:hint="default"/>
          <w:sz w:val="24"/>
          <w:szCs w:val="24"/>
        </w:rPr>
        <w:t>方案表、智能表、多功能表以及采集器等新产品。同时，为了提升利润空 间，进行了大量的方案优化和降低成本工作。</w:t>
      </w:r>
    </w:p>
    <w:p>
      <w:pPr>
        <w:spacing w:line="357" w:lineRule="auto" w:before="36"/>
        <w:ind w:left="137" w:right="1168" w:firstLine="539"/>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6"/>
          <w:sz w:val="24"/>
          <w:szCs w:val="24"/>
        </w:rPr>
        <w:t> </w:t>
      </w:r>
      <w:r>
        <w:rPr>
          <w:rFonts w:ascii="宋体" w:hAnsi="宋体" w:cs="宋体" w:eastAsia="宋体" w:hint="default"/>
          <w:spacing w:val="-5"/>
          <w:sz w:val="24"/>
          <w:szCs w:val="24"/>
        </w:rPr>
        <w:t>年，华立仪表在国家电网公司集中规模招标采购项目中共计中标</w:t>
      </w:r>
      <w:r>
        <w:rPr>
          <w:rFonts w:ascii="宋体" w:hAnsi="宋体" w:cs="宋体" w:eastAsia="宋体" w:hint="default"/>
          <w:spacing w:val="-66"/>
          <w:sz w:val="24"/>
          <w:szCs w:val="24"/>
        </w:rPr>
        <w:t> </w:t>
      </w:r>
      <w:r>
        <w:rPr>
          <w:rFonts w:ascii="宋体" w:hAnsi="宋体" w:cs="宋体" w:eastAsia="宋体" w:hint="default"/>
          <w:sz w:val="24"/>
          <w:szCs w:val="24"/>
        </w:rPr>
        <w:t>3.89</w:t>
      </w:r>
      <w:r>
        <w:rPr>
          <w:rFonts w:ascii="宋体" w:hAnsi="宋体" w:cs="宋体" w:eastAsia="宋体" w:hint="default"/>
          <w:spacing w:val="-66"/>
          <w:sz w:val="24"/>
          <w:szCs w:val="24"/>
        </w:rPr>
        <w:t> </w:t>
      </w:r>
      <w:r>
        <w:rPr>
          <w:rFonts w:ascii="宋体" w:hAnsi="宋体" w:cs="宋体" w:eastAsia="宋体" w:hint="default"/>
          <w:sz w:val="24"/>
          <w:szCs w:val="24"/>
        </w:rPr>
        <w:t>亿元。 由于招标价格透明，中标产品毛利率极低。通过供方梳理、优化、价格的洽谈，建立 战略供方合作，提升供方供货能力，从而有效降低采购成本，有力提升公司产品在以 后招标中的竞争力。</w:t>
      </w:r>
    </w:p>
    <w:p>
      <w:pPr>
        <w:spacing w:after="0" w:line="357" w:lineRule="auto"/>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2" w:lineRule="auto" w:before="26"/>
        <w:ind w:left="143" w:right="1753" w:firstLine="540"/>
        <w:jc w:val="both"/>
        <w:rPr>
          <w:rFonts w:ascii="宋体" w:hAnsi="宋体" w:cs="宋体" w:eastAsia="宋体" w:hint="default"/>
          <w:sz w:val="24"/>
          <w:szCs w:val="24"/>
        </w:rPr>
      </w:pPr>
      <w:r>
        <w:rPr>
          <w:rFonts w:ascii="宋体" w:hAnsi="宋体" w:cs="宋体" w:eastAsia="宋体" w:hint="default"/>
          <w:sz w:val="24"/>
          <w:szCs w:val="24"/>
        </w:rPr>
        <w:t>为了有效提升海外市场的销售份额，华立仪表在 </w:t>
      </w:r>
      <w:r>
        <w:rPr>
          <w:rFonts w:ascii="宋体" w:hAnsi="宋体" w:cs="宋体" w:eastAsia="宋体" w:hint="default"/>
          <w:sz w:val="24"/>
          <w:szCs w:val="24"/>
        </w:rPr>
        <w:t>2010</w:t>
      </w:r>
      <w:r>
        <w:rPr>
          <w:rFonts w:ascii="宋体" w:hAnsi="宋体" w:cs="宋体" w:eastAsia="宋体" w:hint="default"/>
          <w:spacing w:val="-96"/>
          <w:sz w:val="24"/>
          <w:szCs w:val="24"/>
        </w:rPr>
        <w:t> </w:t>
      </w:r>
      <w:r>
        <w:rPr>
          <w:rFonts w:ascii="宋体" w:hAnsi="宋体" w:cs="宋体" w:eastAsia="宋体" w:hint="default"/>
          <w:sz w:val="24"/>
          <w:szCs w:val="24"/>
        </w:rPr>
        <w:t>年新成立了海外研发部， </w:t>
      </w:r>
      <w:r>
        <w:rPr>
          <w:rFonts w:ascii="宋体" w:hAnsi="宋体" w:cs="宋体" w:eastAsia="宋体" w:hint="default"/>
          <w:spacing w:val="-4"/>
          <w:sz w:val="24"/>
          <w:szCs w:val="24"/>
        </w:rPr>
        <w:t>并增加了研发投入。经过近一年的努力，已有明显起色。</w:t>
      </w:r>
      <w:r>
        <w:rPr>
          <w:rFonts w:ascii="宋体" w:hAnsi="宋体" w:cs="宋体" w:eastAsia="宋体" w:hint="default"/>
          <w:spacing w:val="-4"/>
          <w:sz w:val="24"/>
          <w:szCs w:val="24"/>
        </w:rPr>
        <w:t>2010</w:t>
      </w:r>
      <w:r>
        <w:rPr>
          <w:rFonts w:ascii="宋体" w:hAnsi="宋体" w:cs="宋体" w:eastAsia="宋体" w:hint="default"/>
          <w:spacing w:val="-42"/>
          <w:sz w:val="24"/>
          <w:szCs w:val="24"/>
        </w:rPr>
        <w:t> </w:t>
      </w:r>
      <w:r>
        <w:rPr>
          <w:rFonts w:ascii="宋体" w:hAnsi="宋体" w:cs="宋体" w:eastAsia="宋体" w:hint="default"/>
          <w:sz w:val="24"/>
          <w:szCs w:val="24"/>
        </w:rPr>
        <w:t>年已研发出澳洲单三相</w:t>
      </w:r>
      <w:r>
        <w:rPr>
          <w:rFonts w:ascii="宋体" w:hAnsi="宋体" w:cs="宋体" w:eastAsia="宋体" w:hint="default"/>
          <w:spacing w:val="-118"/>
          <w:sz w:val="24"/>
          <w:szCs w:val="24"/>
        </w:rPr>
        <w:t> </w:t>
      </w:r>
      <w:r>
        <w:rPr>
          <w:rFonts w:ascii="宋体" w:hAnsi="宋体" w:cs="宋体" w:eastAsia="宋体" w:hint="default"/>
          <w:sz w:val="24"/>
          <w:szCs w:val="24"/>
        </w:rPr>
        <w:t>普通表、印尼</w:t>
      </w:r>
      <w:r>
        <w:rPr>
          <w:rFonts w:ascii="Times New Roman" w:hAnsi="Times New Roman" w:cs="Times New Roman" w:eastAsia="Times New Roman" w:hint="default"/>
          <w:sz w:val="24"/>
          <w:szCs w:val="24"/>
        </w:rPr>
        <w:t>/</w:t>
      </w:r>
      <w:r>
        <w:rPr>
          <w:rFonts w:ascii="宋体" w:hAnsi="宋体" w:cs="宋体" w:eastAsia="宋体" w:hint="default"/>
          <w:sz w:val="24"/>
          <w:szCs w:val="24"/>
        </w:rPr>
        <w:t>非洲</w:t>
      </w:r>
      <w:r>
        <w:rPr>
          <w:rFonts w:ascii="Times New Roman" w:hAnsi="Times New Roman" w:cs="Times New Roman" w:eastAsia="Times New Roman" w:hint="default"/>
          <w:sz w:val="24"/>
          <w:szCs w:val="24"/>
        </w:rPr>
        <w:t>/</w:t>
      </w:r>
      <w:r>
        <w:rPr>
          <w:rFonts w:ascii="宋体" w:hAnsi="宋体" w:cs="宋体" w:eastAsia="宋体" w:hint="default"/>
          <w:sz w:val="24"/>
          <w:szCs w:val="24"/>
        </w:rPr>
        <w:t>肯尼亚预付费系列表、荷兰</w:t>
      </w:r>
      <w:r>
        <w:rPr>
          <w:rFonts w:ascii="Times New Roman" w:hAnsi="Times New Roman" w:cs="Times New Roman" w:eastAsia="Times New Roman" w:hint="default"/>
          <w:sz w:val="24"/>
          <w:szCs w:val="24"/>
        </w:rPr>
        <w:t>/</w:t>
      </w:r>
      <w:r>
        <w:rPr>
          <w:rFonts w:ascii="宋体" w:hAnsi="宋体" w:cs="宋体" w:eastAsia="宋体" w:hint="default"/>
          <w:sz w:val="24"/>
          <w:szCs w:val="24"/>
        </w:rPr>
        <w:t>澳洲单相智能表、三相普通以及三相 </w:t>
      </w:r>
      <w:r>
        <w:rPr>
          <w:rFonts w:ascii="宋体" w:hAnsi="宋体" w:cs="宋体" w:eastAsia="宋体" w:hint="default"/>
          <w:sz w:val="24"/>
          <w:szCs w:val="24"/>
        </w:rPr>
        <w:t>GPRS</w:t>
      </w:r>
      <w:r>
        <w:rPr>
          <w:rFonts w:ascii="宋体" w:hAnsi="宋体" w:cs="宋体" w:eastAsia="宋体" w:hint="default"/>
          <w:spacing w:val="-76"/>
          <w:sz w:val="24"/>
          <w:szCs w:val="24"/>
        </w:rPr>
        <w:t> </w:t>
      </w:r>
      <w:r>
        <w:rPr>
          <w:rFonts w:ascii="宋体" w:hAnsi="宋体" w:cs="宋体" w:eastAsia="宋体" w:hint="default"/>
          <w:spacing w:val="-6"/>
          <w:sz w:val="24"/>
          <w:szCs w:val="24"/>
        </w:rPr>
        <w:t>表、智能集中器和</w:t>
      </w:r>
      <w:r>
        <w:rPr>
          <w:rFonts w:ascii="宋体" w:hAnsi="宋体" w:cs="宋体" w:eastAsia="宋体" w:hint="default"/>
          <w:spacing w:val="-76"/>
          <w:sz w:val="24"/>
          <w:szCs w:val="24"/>
        </w:rPr>
        <w:t> </w:t>
      </w:r>
      <w:r>
        <w:rPr>
          <w:rFonts w:ascii="宋体" w:hAnsi="宋体" w:cs="宋体" w:eastAsia="宋体" w:hint="default"/>
          <w:sz w:val="24"/>
          <w:szCs w:val="24"/>
        </w:rPr>
        <w:t>AMI</w:t>
      </w:r>
      <w:r>
        <w:rPr>
          <w:rFonts w:ascii="宋体" w:hAnsi="宋体" w:cs="宋体" w:eastAsia="宋体" w:hint="default"/>
          <w:spacing w:val="-76"/>
          <w:sz w:val="24"/>
          <w:szCs w:val="24"/>
        </w:rPr>
        <w:t> </w:t>
      </w:r>
      <w:r>
        <w:rPr>
          <w:rFonts w:ascii="宋体" w:hAnsi="宋体" w:cs="宋体" w:eastAsia="宋体" w:hint="default"/>
          <w:sz w:val="24"/>
          <w:szCs w:val="24"/>
        </w:rPr>
        <w:t>表计等一系列新产品。由于产品研发完成与销售取得成绩 赢得客户信赖存在一定的时间差，因此这些研发成果没有在 </w:t>
      </w:r>
      <w:r>
        <w:rPr>
          <w:rFonts w:ascii="宋体" w:hAnsi="宋体" w:cs="宋体" w:eastAsia="宋体" w:hint="default"/>
          <w:sz w:val="24"/>
          <w:szCs w:val="24"/>
        </w:rPr>
        <w:t>2010</w:t>
      </w:r>
      <w:r>
        <w:rPr>
          <w:rFonts w:ascii="宋体" w:hAnsi="宋体" w:cs="宋体" w:eastAsia="宋体" w:hint="default"/>
          <w:spacing w:val="-36"/>
          <w:sz w:val="24"/>
          <w:szCs w:val="24"/>
        </w:rPr>
        <w:t> </w:t>
      </w:r>
      <w:r>
        <w:rPr>
          <w:rFonts w:ascii="宋体" w:hAnsi="宋体" w:cs="宋体" w:eastAsia="宋体" w:hint="default"/>
          <w:sz w:val="24"/>
          <w:szCs w:val="24"/>
        </w:rPr>
        <w:t>年的海外销售中得</w:t>
      </w:r>
    </w:p>
    <w:p>
      <w:pPr>
        <w:spacing w:before="41"/>
        <w:ind w:left="143" w:right="0" w:firstLine="0"/>
        <w:jc w:val="left"/>
        <w:rPr>
          <w:rFonts w:ascii="宋体" w:hAnsi="宋体" w:cs="宋体" w:eastAsia="宋体" w:hint="default"/>
          <w:sz w:val="24"/>
          <w:szCs w:val="24"/>
        </w:rPr>
      </w:pPr>
      <w:r>
        <w:rPr>
          <w:rFonts w:ascii="宋体" w:hAnsi="宋体" w:cs="宋体" w:eastAsia="宋体" w:hint="default"/>
          <w:sz w:val="24"/>
          <w:szCs w:val="24"/>
        </w:rPr>
        <w:t>到充分反映，但从</w:t>
      </w:r>
      <w:r>
        <w:rPr>
          <w:rFonts w:ascii="宋体" w:hAnsi="宋体" w:cs="宋体" w:eastAsia="宋体" w:hint="default"/>
          <w:spacing w:val="-81"/>
          <w:sz w:val="24"/>
          <w:szCs w:val="24"/>
        </w:rPr>
        <w:t> </w:t>
      </w:r>
      <w:r>
        <w:rPr>
          <w:rFonts w:ascii="宋体" w:hAnsi="宋体" w:cs="宋体" w:eastAsia="宋体" w:hint="default"/>
          <w:sz w:val="24"/>
          <w:szCs w:val="24"/>
        </w:rPr>
        <w:t>2010</w:t>
      </w:r>
      <w:r>
        <w:rPr>
          <w:rFonts w:ascii="宋体" w:hAnsi="宋体" w:cs="宋体" w:eastAsia="宋体" w:hint="default"/>
          <w:spacing w:val="-81"/>
          <w:sz w:val="24"/>
          <w:szCs w:val="24"/>
        </w:rPr>
        <w:t> </w:t>
      </w:r>
      <w:r>
        <w:rPr>
          <w:rFonts w:ascii="宋体" w:hAnsi="宋体" w:cs="宋体" w:eastAsia="宋体" w:hint="default"/>
          <w:sz w:val="24"/>
          <w:szCs w:val="24"/>
        </w:rPr>
        <w:t>年底开始，公司已分别在乌兹别克、孟加拉、荷兰、菲律宾、</w:t>
      </w:r>
    </w:p>
    <w:p>
      <w:pPr>
        <w:spacing w:line="357" w:lineRule="auto" w:before="154"/>
        <w:ind w:left="623" w:right="1740" w:hanging="480"/>
        <w:jc w:val="left"/>
        <w:rPr>
          <w:rFonts w:ascii="宋体" w:hAnsi="宋体" w:cs="宋体" w:eastAsia="宋体" w:hint="default"/>
          <w:sz w:val="24"/>
          <w:szCs w:val="24"/>
        </w:rPr>
      </w:pPr>
      <w:r>
        <w:rPr>
          <w:rFonts w:ascii="宋体" w:hAnsi="宋体" w:cs="宋体" w:eastAsia="宋体" w:hint="default"/>
          <w:sz w:val="24"/>
          <w:szCs w:val="24"/>
        </w:rPr>
        <w:t>印度等市场陆续中标，为公司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年海外销售目标的有效达成打下一定基础。 </w:t>
      </w:r>
      <w:r>
        <w:rPr>
          <w:rFonts w:ascii="宋体" w:hAnsi="宋体" w:cs="宋体" w:eastAsia="宋体" w:hint="default"/>
          <w:spacing w:val="5"/>
          <w:sz w:val="24"/>
          <w:szCs w:val="24"/>
        </w:rPr>
        <w:t>为了减少子公司华立仪表的关联交易，有利于子公司华立仪表整合海外销售网</w:t>
      </w:r>
    </w:p>
    <w:p>
      <w:pPr>
        <w:spacing w:line="357" w:lineRule="auto" w:before="37"/>
        <w:ind w:left="143" w:right="1739" w:firstLine="0"/>
        <w:jc w:val="left"/>
        <w:rPr>
          <w:rFonts w:ascii="宋体" w:hAnsi="宋体" w:cs="宋体" w:eastAsia="宋体" w:hint="default"/>
          <w:sz w:val="24"/>
          <w:szCs w:val="24"/>
        </w:rPr>
      </w:pPr>
      <w:r>
        <w:rPr>
          <w:rFonts w:ascii="宋体" w:hAnsi="宋体" w:cs="宋体" w:eastAsia="宋体" w:hint="default"/>
          <w:sz w:val="24"/>
          <w:szCs w:val="24"/>
        </w:rPr>
        <w:t>络、拓展海外销售渠道。子公司华立仪表于</w:t>
      </w:r>
      <w:r>
        <w:rPr>
          <w:rFonts w:ascii="宋体" w:hAnsi="宋体" w:cs="宋体" w:eastAsia="宋体" w:hint="default"/>
          <w:spacing w:val="-38"/>
          <w:sz w:val="24"/>
          <w:szCs w:val="24"/>
        </w:rPr>
        <w:t> </w:t>
      </w:r>
      <w:r>
        <w:rPr>
          <w:rFonts w:ascii="宋体" w:hAnsi="宋体" w:cs="宋体" w:eastAsia="宋体" w:hint="default"/>
          <w:sz w:val="24"/>
          <w:szCs w:val="24"/>
        </w:rPr>
        <w:t>2011</w:t>
      </w:r>
      <w:r>
        <w:rPr>
          <w:rFonts w:ascii="宋体" w:hAnsi="宋体" w:cs="宋体" w:eastAsia="宋体" w:hint="default"/>
          <w:spacing w:val="-38"/>
          <w:sz w:val="24"/>
          <w:szCs w:val="24"/>
        </w:rPr>
        <w:t> </w:t>
      </w:r>
      <w:r>
        <w:rPr>
          <w:rFonts w:ascii="宋体" w:hAnsi="宋体" w:cs="宋体" w:eastAsia="宋体" w:hint="default"/>
          <w:sz w:val="24"/>
          <w:szCs w:val="24"/>
        </w:rPr>
        <w:t>年初出资</w:t>
      </w:r>
      <w:r>
        <w:rPr>
          <w:rFonts w:ascii="宋体" w:hAnsi="宋体" w:cs="宋体" w:eastAsia="宋体" w:hint="default"/>
          <w:spacing w:val="-39"/>
          <w:sz w:val="24"/>
          <w:szCs w:val="24"/>
        </w:rPr>
        <w:t> </w:t>
      </w:r>
      <w:r>
        <w:rPr>
          <w:rFonts w:ascii="宋体" w:hAnsi="宋体" w:cs="宋体" w:eastAsia="宋体" w:hint="default"/>
          <w:sz w:val="24"/>
          <w:szCs w:val="24"/>
        </w:rPr>
        <w:t>2237.77</w:t>
      </w:r>
      <w:r>
        <w:rPr>
          <w:rFonts w:ascii="宋体" w:hAnsi="宋体" w:cs="宋体" w:eastAsia="宋体" w:hint="default"/>
          <w:spacing w:val="-41"/>
          <w:sz w:val="24"/>
          <w:szCs w:val="24"/>
        </w:rPr>
        <w:t> </w:t>
      </w:r>
      <w:r>
        <w:rPr>
          <w:rFonts w:ascii="宋体" w:hAnsi="宋体" w:cs="宋体" w:eastAsia="宋体" w:hint="default"/>
          <w:sz w:val="24"/>
          <w:szCs w:val="24"/>
        </w:rPr>
        <w:t>万元收购了关联 方浙江华立国际发展有限公司持有的华立集团（泰国）电气有限公司</w:t>
      </w:r>
      <w:r>
        <w:rPr>
          <w:rFonts w:ascii="宋体" w:hAnsi="宋体" w:cs="宋体" w:eastAsia="宋体" w:hint="default"/>
          <w:spacing w:val="-60"/>
          <w:sz w:val="24"/>
          <w:szCs w:val="24"/>
        </w:rPr>
        <w:t> </w:t>
      </w:r>
      <w:r>
        <w:rPr>
          <w:rFonts w:ascii="宋体" w:hAnsi="宋体" w:cs="宋体" w:eastAsia="宋体" w:hint="default"/>
          <w:sz w:val="24"/>
          <w:szCs w:val="24"/>
        </w:rPr>
        <w:t>100%</w:t>
      </w:r>
      <w:r>
        <w:rPr>
          <w:rFonts w:ascii="宋体" w:hAnsi="宋体" w:cs="宋体" w:eastAsia="宋体" w:hint="default"/>
          <w:sz w:val="24"/>
          <w:szCs w:val="24"/>
        </w:rPr>
        <w:t>的股权。</w:t>
      </w:r>
    </w:p>
    <w:p>
      <w:pPr>
        <w:spacing w:line="357" w:lineRule="auto" w:before="36"/>
        <w:ind w:left="143" w:right="1750" w:firstLine="540"/>
        <w:jc w:val="both"/>
        <w:rPr>
          <w:rFonts w:ascii="宋体" w:hAnsi="宋体" w:cs="宋体" w:eastAsia="宋体" w:hint="default"/>
          <w:sz w:val="24"/>
          <w:szCs w:val="24"/>
        </w:rPr>
      </w:pPr>
      <w:r>
        <w:rPr>
          <w:rFonts w:ascii="宋体" w:hAnsi="宋体" w:cs="宋体" w:eastAsia="宋体" w:hint="default"/>
          <w:sz w:val="24"/>
          <w:szCs w:val="24"/>
        </w:rPr>
        <w:t>华立仪表与法国萨基姆通讯公司（以下简称：</w:t>
      </w:r>
      <w:r>
        <w:rPr>
          <w:rFonts w:ascii="宋体" w:hAnsi="宋体" w:cs="宋体" w:eastAsia="宋体" w:hint="default"/>
          <w:sz w:val="24"/>
          <w:szCs w:val="24"/>
        </w:rPr>
        <w:t>SAGEMCOM</w:t>
      </w:r>
      <w:r>
        <w:rPr>
          <w:rFonts w:ascii="宋体" w:hAnsi="宋体" w:cs="宋体" w:eastAsia="宋体" w:hint="default"/>
          <w:spacing w:val="14"/>
          <w:sz w:val="24"/>
          <w:szCs w:val="24"/>
        </w:rPr>
        <w:t> </w:t>
      </w:r>
      <w:r>
        <w:rPr>
          <w:rFonts w:ascii="宋体" w:hAnsi="宋体" w:cs="宋体" w:eastAsia="宋体" w:hint="default"/>
          <w:sz w:val="24"/>
          <w:szCs w:val="24"/>
        </w:rPr>
        <w:t>公司）进行合作谈判贯 穿了全年。自</w:t>
      </w:r>
      <w:r>
        <w:rPr>
          <w:rFonts w:ascii="宋体" w:hAnsi="宋体" w:cs="宋体" w:eastAsia="宋体" w:hint="default"/>
          <w:spacing w:val="-67"/>
          <w:sz w:val="24"/>
          <w:szCs w:val="24"/>
        </w:rPr>
        <w:t> </w:t>
      </w:r>
      <w:r>
        <w:rPr>
          <w:rFonts w:ascii="宋体" w:hAnsi="宋体" w:cs="宋体" w:eastAsia="宋体" w:hint="default"/>
          <w:sz w:val="24"/>
          <w:szCs w:val="24"/>
        </w:rPr>
        <w:t>2010</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3</w:t>
      </w:r>
      <w:r>
        <w:rPr>
          <w:rFonts w:ascii="宋体" w:hAnsi="宋体" w:cs="宋体" w:eastAsia="宋体" w:hint="default"/>
          <w:spacing w:val="-67"/>
          <w:sz w:val="24"/>
          <w:szCs w:val="24"/>
        </w:rPr>
        <w:t> </w:t>
      </w:r>
      <w:r>
        <w:rPr>
          <w:rFonts w:ascii="宋体" w:hAnsi="宋体" w:cs="宋体" w:eastAsia="宋体" w:hint="default"/>
          <w:sz w:val="24"/>
          <w:szCs w:val="24"/>
        </w:rPr>
        <w:t>月与</w:t>
      </w:r>
      <w:r>
        <w:rPr>
          <w:rFonts w:ascii="宋体" w:hAnsi="宋体" w:cs="宋体" w:eastAsia="宋体" w:hint="default"/>
          <w:spacing w:val="-67"/>
          <w:sz w:val="24"/>
          <w:szCs w:val="24"/>
        </w:rPr>
        <w:t> </w:t>
      </w:r>
      <w:r>
        <w:rPr>
          <w:rFonts w:ascii="宋体" w:hAnsi="宋体" w:cs="宋体" w:eastAsia="宋体" w:hint="default"/>
          <w:sz w:val="24"/>
          <w:szCs w:val="24"/>
        </w:rPr>
        <w:t>SAGEMCOM</w:t>
      </w:r>
      <w:r>
        <w:rPr>
          <w:rFonts w:ascii="宋体" w:hAnsi="宋体" w:cs="宋体" w:eastAsia="宋体" w:hint="default"/>
          <w:spacing w:val="-67"/>
          <w:sz w:val="24"/>
          <w:szCs w:val="24"/>
        </w:rPr>
        <w:t> </w:t>
      </w:r>
      <w:r>
        <w:rPr>
          <w:rFonts w:ascii="宋体" w:hAnsi="宋体" w:cs="宋体" w:eastAsia="宋体" w:hint="default"/>
          <w:sz w:val="24"/>
          <w:szCs w:val="24"/>
        </w:rPr>
        <w:t>公司签署了《合作备忘录》后，双方依据备忘 </w:t>
      </w:r>
      <w:r>
        <w:rPr>
          <w:rFonts w:ascii="宋体" w:hAnsi="宋体" w:cs="宋体" w:eastAsia="宋体" w:hint="default"/>
          <w:spacing w:val="-1"/>
          <w:sz w:val="24"/>
          <w:szCs w:val="24"/>
        </w:rPr>
        <w:t>录内容，为达成合作进行了不懈努力，但由于合作方案的复杂性，尚未就合作的详细</w:t>
      </w:r>
      <w:r>
        <w:rPr>
          <w:rFonts w:ascii="宋体" w:hAnsi="宋体" w:cs="宋体" w:eastAsia="宋体" w:hint="default"/>
          <w:sz w:val="24"/>
          <w:szCs w:val="24"/>
        </w:rPr>
        <w:t> 方案达成一致，也未签署正式协议。双方于</w:t>
      </w:r>
      <w:r>
        <w:rPr>
          <w:rFonts w:ascii="宋体" w:hAnsi="宋体" w:cs="宋体" w:eastAsia="宋体" w:hint="default"/>
          <w:spacing w:val="-47"/>
          <w:sz w:val="24"/>
          <w:szCs w:val="24"/>
        </w:rPr>
        <w:t> </w:t>
      </w:r>
      <w:r>
        <w:rPr>
          <w:rFonts w:ascii="宋体" w:hAnsi="宋体" w:cs="宋体" w:eastAsia="宋体" w:hint="default"/>
          <w:sz w:val="24"/>
          <w:szCs w:val="24"/>
        </w:rPr>
        <w:t>2010</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12</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31</w:t>
      </w:r>
      <w:r>
        <w:rPr>
          <w:rFonts w:ascii="宋体" w:hAnsi="宋体" w:cs="宋体" w:eastAsia="宋体" w:hint="default"/>
          <w:spacing w:val="-47"/>
          <w:sz w:val="24"/>
          <w:szCs w:val="24"/>
        </w:rPr>
        <w:t> </w:t>
      </w:r>
      <w:r>
        <w:rPr>
          <w:rFonts w:ascii="宋体" w:hAnsi="宋体" w:cs="宋体" w:eastAsia="宋体" w:hint="default"/>
          <w:sz w:val="24"/>
          <w:szCs w:val="24"/>
        </w:rPr>
        <w:t>日签署了《关于同意合 </w:t>
      </w:r>
      <w:r>
        <w:rPr>
          <w:rFonts w:ascii="宋体" w:hAnsi="宋体" w:cs="宋体" w:eastAsia="宋体" w:hint="default"/>
          <w:spacing w:val="-2"/>
          <w:sz w:val="24"/>
          <w:szCs w:val="24"/>
        </w:rPr>
        <w:t>作备忘录延期的确认函》，双方同意继续谈判以争取达成一致的交易方案，并同意将</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备忘录的有效期延至</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before="36"/>
        <w:ind w:left="626" w:right="174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、公司主营业务范围及经营状况</w:t>
      </w:r>
    </w:p>
    <w:p>
      <w:pPr>
        <w:spacing w:before="154"/>
        <w:ind w:left="626" w:right="174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）公司主营业务范围：制造、销售仪器仪表及原材料等。</w:t>
      </w:r>
    </w:p>
    <w:p>
      <w:pPr>
        <w:spacing w:line="357" w:lineRule="auto" w:before="154"/>
        <w:ind w:left="143" w:right="1754" w:firstLine="482"/>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）公司生产经营的主要产品为华立（</w:t>
      </w:r>
      <w:r>
        <w:rPr>
          <w:rFonts w:ascii="宋体" w:hAnsi="宋体" w:cs="宋体" w:eastAsia="宋体" w:hint="default"/>
          <w:sz w:val="24"/>
          <w:szCs w:val="24"/>
        </w:rPr>
        <w:t>HOLLEY</w:t>
      </w:r>
      <w:r>
        <w:rPr>
          <w:rFonts w:ascii="宋体" w:hAnsi="宋体" w:cs="宋体" w:eastAsia="宋体" w:hint="default"/>
          <w:sz w:val="24"/>
          <w:szCs w:val="24"/>
        </w:rPr>
        <w:t>）牌系列电能表。全年实现营业 总收入</w:t>
      </w:r>
      <w:r>
        <w:rPr>
          <w:rFonts w:ascii="宋体" w:hAnsi="宋体" w:cs="宋体" w:eastAsia="宋体" w:hint="default"/>
          <w:spacing w:val="-61"/>
          <w:sz w:val="24"/>
          <w:szCs w:val="24"/>
        </w:rPr>
        <w:t> </w:t>
      </w:r>
      <w:r>
        <w:rPr>
          <w:rFonts w:ascii="宋体" w:hAnsi="宋体" w:cs="宋体" w:eastAsia="宋体" w:hint="default"/>
          <w:sz w:val="24"/>
          <w:szCs w:val="24"/>
        </w:rPr>
        <w:t>11.95</w:t>
      </w:r>
      <w:r>
        <w:rPr>
          <w:rFonts w:ascii="宋体" w:hAnsi="宋体" w:cs="宋体" w:eastAsia="宋体" w:hint="default"/>
          <w:spacing w:val="-60"/>
          <w:sz w:val="24"/>
          <w:szCs w:val="24"/>
        </w:rPr>
        <w:t> </w:t>
      </w:r>
      <w:r>
        <w:rPr>
          <w:rFonts w:ascii="宋体" w:hAnsi="宋体" w:cs="宋体" w:eastAsia="宋体" w:hint="default"/>
          <w:sz w:val="24"/>
          <w:szCs w:val="24"/>
        </w:rPr>
        <w:t>亿元，归属于母公司所有者的净利润为</w:t>
      </w:r>
      <w:r>
        <w:rPr>
          <w:rFonts w:ascii="宋体" w:hAnsi="宋体" w:cs="宋体" w:eastAsia="宋体" w:hint="default"/>
          <w:sz w:val="24"/>
          <w:szCs w:val="24"/>
        </w:rPr>
        <w:t>-1.66</w:t>
      </w:r>
      <w:r>
        <w:rPr>
          <w:rFonts w:ascii="宋体" w:hAnsi="宋体" w:cs="宋体" w:eastAsia="宋体" w:hint="default"/>
          <w:spacing w:val="-60"/>
          <w:sz w:val="24"/>
          <w:szCs w:val="24"/>
        </w:rPr>
        <w:t> </w:t>
      </w:r>
      <w:r>
        <w:rPr>
          <w:rFonts w:ascii="宋体" w:hAnsi="宋体" w:cs="宋体" w:eastAsia="宋体" w:hint="default"/>
          <w:sz w:val="24"/>
          <w:szCs w:val="24"/>
        </w:rPr>
        <w:t>亿元。</w:t>
      </w:r>
    </w:p>
    <w:p>
      <w:pPr>
        <w:tabs>
          <w:tab w:pos="5546" w:val="left" w:leader="none"/>
        </w:tabs>
        <w:spacing w:before="36"/>
        <w:ind w:left="626" w:right="1740" w:firstLine="0"/>
        <w:jc w:val="left"/>
        <w:rPr>
          <w:rFonts w:ascii="宋体" w:hAnsi="宋体" w:cs="宋体" w:eastAsia="宋体" w:hint="default"/>
          <w:sz w:val="24"/>
          <w:szCs w:val="24"/>
        </w:rPr>
      </w:pPr>
      <w:r>
        <w:rPr>
          <w:rFonts w:ascii="宋体" w:hAnsi="宋体" w:cs="宋体" w:eastAsia="宋体" w:hint="default"/>
          <w:spacing w:val="-1"/>
          <w:sz w:val="24"/>
          <w:szCs w:val="24"/>
        </w:rPr>
        <w:t>报告期内主营业务分行业、分产品构成情况</w:t>
        <w:tab/>
      </w:r>
      <w:r>
        <w:rPr>
          <w:rFonts w:ascii="宋体" w:hAnsi="宋体" w:cs="宋体" w:eastAsia="宋体" w:hint="default"/>
          <w:sz w:val="24"/>
          <w:szCs w:val="24"/>
        </w:rPr>
        <w:t>（单位：人民币万元）</w:t>
      </w:r>
    </w:p>
    <w:p>
      <w:pPr>
        <w:spacing w:line="240" w:lineRule="auto" w:before="1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400"/>
        <w:gridCol w:w="1172"/>
        <w:gridCol w:w="1154"/>
        <w:gridCol w:w="840"/>
        <w:gridCol w:w="1260"/>
        <w:gridCol w:w="1261"/>
        <w:gridCol w:w="1154"/>
      </w:tblGrid>
      <w:tr>
        <w:trPr>
          <w:trHeight w:val="398" w:hRule="exact"/>
        </w:trPr>
        <w:tc>
          <w:tcPr>
            <w:tcW w:w="92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8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5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3"/>
              <w:ind w:left="10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34" w:firstLine="76"/>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7"/>
                <w:sz w:val="21"/>
                <w:szCs w:val="21"/>
              </w:rPr>
              <w:t>上年增减（</w:t>
            </w:r>
            <w:r>
              <w:rPr>
                <w:rFonts w:ascii="宋体" w:hAnsi="宋体" w:cs="宋体" w:eastAsia="宋体" w:hint="default"/>
                <w:spacing w:val="-17"/>
                <w:sz w:val="21"/>
                <w:szCs w:val="21"/>
              </w:rPr>
              <w:t>%</w:t>
            </w:r>
            <w:r>
              <w:rPr>
                <w:rFonts w:ascii="宋体" w:hAnsi="宋体" w:cs="宋体" w:eastAsia="宋体" w:hint="default"/>
                <w:spacing w:val="-17"/>
                <w:sz w:val="21"/>
                <w:szCs w:val="21"/>
              </w:rPr>
              <w:t>）</w:t>
            </w:r>
            <w:r>
              <w:rPr>
                <w:rFonts w:ascii="宋体" w:hAnsi="宋体" w:cs="宋体" w:eastAsia="宋体" w:hint="default"/>
                <w:sz w:val="21"/>
                <w:szCs w:val="21"/>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34" w:firstLine="7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7"/>
                <w:sz w:val="21"/>
                <w:szCs w:val="21"/>
              </w:rPr>
              <w:t>上年增减（</w:t>
            </w:r>
            <w:r>
              <w:rPr>
                <w:rFonts w:ascii="宋体" w:hAnsi="宋体" w:cs="宋体" w:eastAsia="宋体" w:hint="default"/>
                <w:spacing w:val="-17"/>
                <w:sz w:val="21"/>
                <w:szCs w:val="21"/>
              </w:rPr>
              <w:t>%</w:t>
            </w:r>
            <w:r>
              <w:rPr>
                <w:rFonts w:ascii="宋体" w:hAnsi="宋体" w:cs="宋体" w:eastAsia="宋体" w:hint="default"/>
                <w:spacing w:val="-17"/>
                <w:sz w:val="21"/>
                <w:szCs w:val="21"/>
              </w:rPr>
              <w:t>）</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37" w:firstLine="2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9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仪表行业</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宋体" w:hAnsi="宋体" w:cs="宋体" w:eastAsia="宋体" w:hint="default"/>
                <w:sz w:val="21"/>
                <w:szCs w:val="21"/>
              </w:rPr>
            </w:pPr>
            <w:r>
              <w:rPr>
                <w:rFonts w:ascii="宋体"/>
                <w:spacing w:val="-1"/>
                <w:sz w:val="21"/>
              </w:rPr>
              <w:t>95,630.74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宋体" w:hAnsi="宋体" w:cs="宋体" w:eastAsia="宋体" w:hint="default"/>
                <w:sz w:val="21"/>
                <w:szCs w:val="21"/>
              </w:rPr>
            </w:pPr>
            <w:r>
              <w:rPr>
                <w:rFonts w:ascii="宋体"/>
                <w:spacing w:val="-1"/>
                <w:sz w:val="21"/>
              </w:rPr>
              <w:t>72,496.25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1"/>
                <w:szCs w:val="21"/>
              </w:rPr>
            </w:pPr>
            <w:r>
              <w:rPr>
                <w:rFonts w:ascii="宋体"/>
                <w:sz w:val="21"/>
              </w:rPr>
              <w:t>24.19%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1"/>
                <w:szCs w:val="21"/>
              </w:rPr>
            </w:pPr>
            <w:r>
              <w:rPr>
                <w:rFonts w:ascii="宋体"/>
                <w:sz w:val="21"/>
              </w:rPr>
              <w:t>-6.71%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1"/>
                <w:szCs w:val="21"/>
              </w:rPr>
            </w:pPr>
            <w:r>
              <w:rPr>
                <w:rFonts w:ascii="宋体"/>
                <w:sz w:val="21"/>
              </w:rPr>
              <w:t>8.68%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1"/>
                <w:szCs w:val="21"/>
              </w:rPr>
            </w:pPr>
            <w:r>
              <w:rPr>
                <w:rFonts w:ascii="宋体"/>
                <w:spacing w:val="-1"/>
                <w:sz w:val="21"/>
              </w:rPr>
              <w:t>-10.74%</w:t>
            </w:r>
          </w:p>
        </w:tc>
      </w:tr>
      <w:tr>
        <w:trPr>
          <w:trHeight w:val="39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8,228.48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4,807.35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41.58%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pacing w:val="-1"/>
                <w:sz w:val="21"/>
              </w:rPr>
              <w:t>-15.09%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pacing w:val="-1"/>
                <w:sz w:val="21"/>
              </w:rPr>
              <w:t>-26.31%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8.90%</w:t>
            </w:r>
          </w:p>
        </w:tc>
      </w:tr>
      <w:tr>
        <w:trPr>
          <w:trHeight w:val="39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1,513.37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1,234.29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18.44%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-9.59%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-0.34%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-7.57%</w:t>
            </w:r>
          </w:p>
        </w:tc>
      </w:tr>
      <w:tr>
        <w:trPr>
          <w:trHeight w:val="39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5,756.60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3,899.32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32.26%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pacing w:val="-1"/>
                <w:sz w:val="21"/>
              </w:rPr>
              <w:t>-37.03%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pacing w:val="-1"/>
                <w:sz w:val="21"/>
              </w:rPr>
              <w:t>-40.51%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3.97%</w:t>
            </w:r>
          </w:p>
        </w:tc>
      </w:tr>
      <w:tr>
        <w:trPr>
          <w:trHeight w:val="398" w:hRule="exact"/>
        </w:trPr>
        <w:tc>
          <w:tcPr>
            <w:tcW w:w="92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9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21"/>
                <w:szCs w:val="21"/>
              </w:rPr>
            </w:pPr>
            <w:r>
              <w:rPr>
                <w:rFonts w:ascii="宋体"/>
                <w:spacing w:val="-1"/>
                <w:sz w:val="21"/>
              </w:rPr>
              <w:t>94,178.75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21"/>
                <w:szCs w:val="21"/>
              </w:rPr>
            </w:pPr>
            <w:r>
              <w:rPr>
                <w:rFonts w:ascii="宋体"/>
                <w:spacing w:val="-1"/>
                <w:sz w:val="21"/>
              </w:rPr>
              <w:t>71,403.78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z w:val="21"/>
              </w:rPr>
              <w:t>24.18%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z w:val="21"/>
              </w:rPr>
              <w:t>-6.94%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z w:val="21"/>
              </w:rPr>
              <w:t>8.54%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pacing w:val="-1"/>
                <w:sz w:val="21"/>
              </w:rPr>
              <w:t>-10.81%</w:t>
            </w:r>
          </w:p>
        </w:tc>
      </w:tr>
    </w:tbl>
    <w:p>
      <w:pPr>
        <w:spacing w:after="0" w:line="240" w:lineRule="auto"/>
        <w:jc w:val="right"/>
        <w:rPr>
          <w:rFonts w:ascii="宋体" w:hAnsi="宋体" w:cs="宋体" w:eastAsia="宋体" w:hint="default"/>
          <w:sz w:val="21"/>
          <w:szCs w:val="21"/>
        </w:rPr>
        <w:sectPr>
          <w:pgSz w:w="11910" w:h="16840"/>
          <w:pgMar w:header="752" w:footer="955" w:top="1020" w:bottom="1140" w:left="11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2415"/>
        <w:gridCol w:w="1157"/>
        <w:gridCol w:w="1155"/>
        <w:gridCol w:w="840"/>
        <w:gridCol w:w="1260"/>
        <w:gridCol w:w="1261"/>
        <w:gridCol w:w="1154"/>
      </w:tblGrid>
      <w:tr>
        <w:trPr>
          <w:trHeight w:val="399"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21"/>
                <w:szCs w:val="21"/>
              </w:rPr>
            </w:pPr>
            <w:r>
              <w:rPr>
                <w:rFonts w:ascii="宋体"/>
                <w:sz w:val="21"/>
              </w:rPr>
              <w:t>1,451.99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21"/>
                <w:szCs w:val="21"/>
              </w:rPr>
            </w:pPr>
            <w:r>
              <w:rPr>
                <w:rFonts w:ascii="宋体"/>
                <w:sz w:val="21"/>
              </w:rPr>
              <w:t>1,092.47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7" w:right="0"/>
              <w:jc w:val="left"/>
              <w:rPr>
                <w:rFonts w:ascii="宋体" w:hAnsi="宋体" w:cs="宋体" w:eastAsia="宋体" w:hint="default"/>
                <w:sz w:val="21"/>
                <w:szCs w:val="21"/>
              </w:rPr>
            </w:pPr>
            <w:r>
              <w:rPr>
                <w:rFonts w:ascii="宋体"/>
                <w:sz w:val="21"/>
              </w:rPr>
              <w:t>24.76%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97" w:right="0"/>
              <w:jc w:val="left"/>
              <w:rPr>
                <w:rFonts w:ascii="宋体" w:hAnsi="宋体" w:cs="宋体" w:eastAsia="宋体" w:hint="default"/>
                <w:sz w:val="21"/>
                <w:szCs w:val="21"/>
              </w:rPr>
            </w:pPr>
            <w:r>
              <w:rPr>
                <w:rFonts w:ascii="宋体"/>
                <w:sz w:val="21"/>
              </w:rPr>
              <w:t>11.38%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98" w:right="0"/>
              <w:jc w:val="left"/>
              <w:rPr>
                <w:rFonts w:ascii="宋体" w:hAnsi="宋体" w:cs="宋体" w:eastAsia="宋体" w:hint="default"/>
                <w:sz w:val="21"/>
                <w:szCs w:val="21"/>
              </w:rPr>
            </w:pPr>
            <w:r>
              <w:rPr>
                <w:rFonts w:ascii="宋体"/>
                <w:sz w:val="21"/>
              </w:rPr>
              <w:t>19.06%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2" w:right="0"/>
              <w:jc w:val="left"/>
              <w:rPr>
                <w:rFonts w:ascii="宋体" w:hAnsi="宋体" w:cs="宋体" w:eastAsia="宋体" w:hint="default"/>
                <w:sz w:val="21"/>
                <w:szCs w:val="21"/>
              </w:rPr>
            </w:pPr>
            <w:r>
              <w:rPr>
                <w:rFonts w:ascii="宋体"/>
                <w:sz w:val="21"/>
              </w:rPr>
              <w:t>-4.85%</w:t>
            </w:r>
          </w:p>
        </w:tc>
      </w:tr>
    </w:tbl>
    <w:p>
      <w:pPr>
        <w:spacing w:before="79"/>
        <w:ind w:left="619"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）占营业收入或营业利润</w:t>
      </w:r>
      <w:r>
        <w:rPr>
          <w:rFonts w:ascii="宋体" w:hAnsi="宋体" w:cs="宋体" w:eastAsia="宋体" w:hint="default"/>
          <w:sz w:val="24"/>
          <w:szCs w:val="24"/>
        </w:rPr>
        <w:t>10%</w:t>
      </w:r>
      <w:r>
        <w:rPr>
          <w:rFonts w:ascii="宋体" w:hAnsi="宋体" w:cs="宋体" w:eastAsia="宋体" w:hint="default"/>
          <w:sz w:val="24"/>
          <w:szCs w:val="24"/>
        </w:rPr>
        <w:t>以上的产品 （单位：人民币万元）</w:t>
      </w:r>
    </w:p>
    <w:p>
      <w:pPr>
        <w:spacing w:line="240" w:lineRule="auto" w:before="0"/>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386"/>
        <w:gridCol w:w="1154"/>
        <w:gridCol w:w="1080"/>
        <w:gridCol w:w="840"/>
        <w:gridCol w:w="1366"/>
        <w:gridCol w:w="1366"/>
        <w:gridCol w:w="1363"/>
      </w:tblGrid>
      <w:tr>
        <w:trPr>
          <w:trHeight w:val="689"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45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47" w:right="43" w:firstLine="52"/>
              <w:jc w:val="left"/>
              <w:rPr>
                <w:rFonts w:ascii="宋体" w:hAnsi="宋体" w:cs="宋体" w:eastAsia="宋体" w:hint="default"/>
                <w:sz w:val="21"/>
                <w:szCs w:val="21"/>
              </w:rPr>
            </w:pPr>
            <w:r>
              <w:rPr>
                <w:rFonts w:ascii="宋体" w:hAnsi="宋体" w:cs="宋体" w:eastAsia="宋体" w:hint="default"/>
                <w:sz w:val="21"/>
                <w:szCs w:val="21"/>
              </w:rPr>
              <w:t>营业利</w:t>
            </w:r>
            <w:r>
              <w:rPr>
                <w:rFonts w:ascii="宋体" w:hAnsi="宋体" w:cs="宋体" w:eastAsia="宋体" w:hint="default"/>
                <w:w w:val="100"/>
                <w:sz w:val="21"/>
                <w:szCs w:val="21"/>
              </w:rPr>
              <w:t> </w:t>
            </w:r>
            <w:r>
              <w:rPr>
                <w:rFonts w:ascii="宋体" w:hAnsi="宋体" w:cs="宋体" w:eastAsia="宋体" w:hint="default"/>
                <w:sz w:val="21"/>
                <w:szCs w:val="21"/>
              </w:rPr>
              <w:t>润率</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00" w:right="43" w:hanging="53"/>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00" w:right="44" w:hanging="53"/>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24" w:right="-37" w:firstLine="24"/>
              <w:jc w:val="left"/>
              <w:rPr>
                <w:rFonts w:ascii="宋体" w:hAnsi="宋体" w:cs="宋体" w:eastAsia="宋体" w:hint="default"/>
                <w:sz w:val="21"/>
                <w:szCs w:val="21"/>
              </w:rPr>
            </w:pPr>
            <w:r>
              <w:rPr>
                <w:rFonts w:ascii="宋体" w:hAnsi="宋体" w:cs="宋体" w:eastAsia="宋体" w:hint="default"/>
                <w:sz w:val="21"/>
                <w:szCs w:val="21"/>
              </w:rPr>
              <w:t>营业利润率比</w:t>
            </w:r>
            <w:r>
              <w:rPr>
                <w:rFonts w:ascii="宋体" w:hAnsi="宋体" w:cs="宋体" w:eastAsia="宋体" w:hint="default"/>
                <w:w w:val="100"/>
                <w:sz w:val="21"/>
                <w:szCs w:val="21"/>
              </w:rPr>
              <w:t> </w:t>
            </w:r>
            <w:r>
              <w:rPr>
                <w:rFonts w:ascii="宋体" w:hAnsi="宋体" w:cs="宋体" w:eastAsia="宋体" w:hint="default"/>
                <w:spacing w:val="-2"/>
                <w:sz w:val="21"/>
                <w:szCs w:val="21"/>
              </w:rPr>
              <w:t>上年增减（</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57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7" w:right="0"/>
              <w:jc w:val="left"/>
              <w:rPr>
                <w:rFonts w:ascii="宋体" w:hAnsi="宋体" w:cs="宋体" w:eastAsia="宋体" w:hint="default"/>
                <w:sz w:val="21"/>
                <w:szCs w:val="21"/>
              </w:rPr>
            </w:pPr>
            <w:r>
              <w:rPr>
                <w:rFonts w:ascii="宋体"/>
                <w:sz w:val="21"/>
              </w:rPr>
              <w:t>94,178.75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71,403.78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7" w:right="0"/>
              <w:jc w:val="left"/>
              <w:rPr>
                <w:rFonts w:ascii="宋体" w:hAnsi="宋体" w:cs="宋体" w:eastAsia="宋体" w:hint="default"/>
                <w:sz w:val="21"/>
                <w:szCs w:val="21"/>
              </w:rPr>
            </w:pPr>
            <w:r>
              <w:rPr>
                <w:rFonts w:ascii="宋体"/>
                <w:sz w:val="21"/>
              </w:rPr>
              <w:t>24.18%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0" w:right="0"/>
              <w:jc w:val="left"/>
              <w:rPr>
                <w:rFonts w:ascii="宋体" w:hAnsi="宋体" w:cs="宋体" w:eastAsia="宋体" w:hint="default"/>
                <w:sz w:val="21"/>
                <w:szCs w:val="21"/>
              </w:rPr>
            </w:pPr>
            <w:r>
              <w:rPr>
                <w:rFonts w:ascii="宋体"/>
                <w:sz w:val="21"/>
              </w:rPr>
              <w:t>-6.94%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6" w:right="0"/>
              <w:jc w:val="left"/>
              <w:rPr>
                <w:rFonts w:ascii="宋体" w:hAnsi="宋体" w:cs="宋体" w:eastAsia="宋体" w:hint="default"/>
                <w:sz w:val="21"/>
                <w:szCs w:val="21"/>
              </w:rPr>
            </w:pPr>
            <w:r>
              <w:rPr>
                <w:rFonts w:ascii="宋体"/>
                <w:sz w:val="21"/>
              </w:rPr>
              <w:t>8.54%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7" w:right="0"/>
              <w:jc w:val="left"/>
              <w:rPr>
                <w:rFonts w:ascii="宋体" w:hAnsi="宋体" w:cs="宋体" w:eastAsia="宋体" w:hint="default"/>
                <w:sz w:val="21"/>
                <w:szCs w:val="21"/>
              </w:rPr>
            </w:pPr>
            <w:r>
              <w:rPr>
                <w:rFonts w:ascii="宋体"/>
                <w:sz w:val="21"/>
              </w:rPr>
              <w:t>-10.81%</w:t>
            </w:r>
          </w:p>
        </w:tc>
      </w:tr>
    </w:tbl>
    <w:p>
      <w:pPr>
        <w:pStyle w:val="BodyText"/>
        <w:tabs>
          <w:tab w:pos="3980" w:val="left" w:leader="none"/>
        </w:tabs>
        <w:spacing w:line="240" w:lineRule="auto" w:before="79"/>
        <w:ind w:left="617" w:right="1166"/>
        <w:jc w:val="left"/>
      </w:pPr>
      <w:r>
        <w:rPr>
          <w:spacing w:val="-1"/>
          <w:sz w:val="24"/>
          <w:szCs w:val="24"/>
        </w:rPr>
        <w:t>（</w:t>
      </w:r>
      <w:r>
        <w:rPr>
          <w:rFonts w:ascii="宋体" w:hAnsi="宋体" w:cs="宋体" w:eastAsia="宋体" w:hint="default"/>
          <w:spacing w:val="-1"/>
          <w:sz w:val="24"/>
          <w:szCs w:val="24"/>
        </w:rPr>
        <w:t>4</w:t>
      </w:r>
      <w:r>
        <w:rPr>
          <w:spacing w:val="-1"/>
          <w:sz w:val="24"/>
          <w:szCs w:val="24"/>
        </w:rPr>
        <w:t>）主</w:t>
      </w:r>
      <w:r>
        <w:rPr>
          <w:spacing w:val="-1"/>
        </w:rPr>
        <w:t>营业务分地区情况</w:t>
        <w:tab/>
      </w:r>
      <w:r>
        <w:rPr>
          <w:spacing w:val="-2"/>
        </w:rPr>
        <w:t>（单位：人民币万元）</w:t>
      </w:r>
    </w:p>
    <w:p>
      <w:pPr>
        <w:spacing w:line="240" w:lineRule="auto" w:before="0"/>
        <w:rPr>
          <w:rFonts w:ascii="宋体" w:hAnsi="宋体" w:cs="宋体" w:eastAsia="宋体" w:hint="default"/>
          <w:sz w:val="24"/>
          <w:szCs w:val="24"/>
        </w:rPr>
      </w:pPr>
    </w:p>
    <w:tbl>
      <w:tblPr>
        <w:tblW w:w="0" w:type="auto"/>
        <w:jc w:val="left"/>
        <w:tblInd w:w="866" w:type="dxa"/>
        <w:tblLayout w:type="fixed"/>
        <w:tblCellMar>
          <w:top w:w="0" w:type="dxa"/>
          <w:left w:w="0" w:type="dxa"/>
          <w:bottom w:w="0" w:type="dxa"/>
          <w:right w:w="0" w:type="dxa"/>
        </w:tblCellMar>
        <w:tblLook w:val="01E0"/>
      </w:tblPr>
      <w:tblGrid>
        <w:gridCol w:w="2417"/>
        <w:gridCol w:w="2204"/>
        <w:gridCol w:w="3152"/>
      </w:tblGrid>
      <w:tr>
        <w:trPr>
          <w:trHeight w:val="4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地</w:t>
              <w:tab/>
              <w:t>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5,551.67</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sz w:val="21"/>
              </w:rPr>
              <w:t>-68.55%</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29,404.67</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sz w:val="21"/>
              </w:rPr>
              <w:t>-38.36%</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14,906.66</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sz w:val="21"/>
              </w:rPr>
              <w:t>-72.98%</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8,303.81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sz w:val="21"/>
              </w:rPr>
              <w:t>-66.03%</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28,856.72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sz w:val="21"/>
              </w:rPr>
              <w:t>115.55%</w:t>
            </w:r>
          </w:p>
        </w:tc>
      </w:tr>
      <w:tr>
        <w:trPr>
          <w:trHeight w:val="4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3,709.92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sz w:val="21"/>
              </w:rPr>
              <w:t>-37.97%</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3,541.27</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sz w:val="21"/>
              </w:rPr>
              <w:t>-35.24%</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636" w:val="left" w:leader="none"/>
              </w:tabs>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境</w:t>
              <w:tab/>
              <w:t>外</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16,855.22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-2.08%</w:t>
            </w:r>
          </w:p>
        </w:tc>
      </w:tr>
    </w:tbl>
    <w:p>
      <w:pPr>
        <w:tabs>
          <w:tab w:pos="4097" w:val="left" w:leader="none"/>
        </w:tabs>
        <w:spacing w:before="80"/>
        <w:ind w:left="617" w:right="116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、主要供应商、客户情况</w:t>
        <w:tab/>
        <w:t>（</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tbl>
      <w:tblPr>
        <w:tblW w:w="0" w:type="auto"/>
        <w:jc w:val="left"/>
        <w:tblInd w:w="235" w:type="dxa"/>
        <w:tblLayout w:type="fixed"/>
        <w:tblCellMar>
          <w:top w:w="0" w:type="dxa"/>
          <w:left w:w="0" w:type="dxa"/>
          <w:bottom w:w="0" w:type="dxa"/>
          <w:right w:w="0" w:type="dxa"/>
        </w:tblCellMar>
        <w:tblLook w:val="01E0"/>
      </w:tblPr>
      <w:tblGrid>
        <w:gridCol w:w="2835"/>
        <w:gridCol w:w="1920"/>
        <w:gridCol w:w="2756"/>
        <w:gridCol w:w="1205"/>
      </w:tblGrid>
      <w:tr>
        <w:trPr>
          <w:trHeight w:val="46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前五名供应商采购总额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71" w:right="0"/>
              <w:jc w:val="left"/>
              <w:rPr>
                <w:rFonts w:ascii="宋体" w:hAnsi="宋体" w:cs="宋体" w:eastAsia="宋体" w:hint="default"/>
                <w:sz w:val="21"/>
                <w:szCs w:val="21"/>
              </w:rPr>
            </w:pPr>
            <w:r>
              <w:rPr>
                <w:rFonts w:ascii="宋体"/>
                <w:sz w:val="21"/>
              </w:rPr>
              <w:t>49,967,455.28</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74" w:right="0"/>
              <w:jc w:val="left"/>
              <w:rPr>
                <w:rFonts w:ascii="宋体" w:hAnsi="宋体" w:cs="宋体" w:eastAsia="宋体" w:hint="default"/>
                <w:sz w:val="21"/>
                <w:szCs w:val="21"/>
              </w:rPr>
            </w:pPr>
            <w:r>
              <w:rPr>
                <w:rFonts w:ascii="宋体" w:hAnsi="宋体" w:cs="宋体" w:eastAsia="宋体" w:hint="default"/>
                <w:sz w:val="21"/>
                <w:szCs w:val="21"/>
              </w:rPr>
              <w:t>占采购总额比例（</w:t>
            </w:r>
            <w:r>
              <w:rPr>
                <w:rFonts w:ascii="宋体" w:hAnsi="宋体" w:cs="宋体" w:eastAsia="宋体" w:hint="default"/>
                <w:sz w:val="21"/>
                <w:szCs w:val="21"/>
              </w:rPr>
              <w:t>%</w:t>
            </w:r>
            <w:r>
              <w:rPr>
                <w:rFonts w:ascii="宋体" w:hAnsi="宋体" w:cs="宋体" w:eastAsia="宋体" w:hint="default"/>
                <w:sz w:val="21"/>
                <w:szCs w:val="21"/>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11.24%</w:t>
            </w:r>
          </w:p>
        </w:tc>
      </w:tr>
      <w:tr>
        <w:trPr>
          <w:trHeight w:val="470"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前五名客户销售总额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18" w:right="0"/>
              <w:jc w:val="left"/>
              <w:rPr>
                <w:rFonts w:ascii="宋体" w:hAnsi="宋体" w:cs="宋体" w:eastAsia="宋体" w:hint="default"/>
                <w:sz w:val="21"/>
                <w:szCs w:val="21"/>
              </w:rPr>
            </w:pPr>
            <w:r>
              <w:rPr>
                <w:rFonts w:ascii="宋体"/>
                <w:sz w:val="21"/>
              </w:rPr>
              <w:t>109,188,524.32</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74" w:right="0"/>
              <w:jc w:val="left"/>
              <w:rPr>
                <w:rFonts w:ascii="宋体" w:hAnsi="宋体" w:cs="宋体" w:eastAsia="宋体" w:hint="default"/>
                <w:sz w:val="21"/>
                <w:szCs w:val="21"/>
              </w:rPr>
            </w:pPr>
            <w:r>
              <w:rPr>
                <w:rFonts w:ascii="宋体" w:hAnsi="宋体" w:cs="宋体" w:eastAsia="宋体" w:hint="default"/>
                <w:sz w:val="21"/>
                <w:szCs w:val="21"/>
              </w:rPr>
              <w:t>占销售总额比例（</w:t>
            </w:r>
            <w:r>
              <w:rPr>
                <w:rFonts w:ascii="宋体" w:hAnsi="宋体" w:cs="宋体" w:eastAsia="宋体" w:hint="default"/>
                <w:sz w:val="21"/>
                <w:szCs w:val="21"/>
              </w:rPr>
              <w:t>%</w:t>
            </w:r>
            <w:r>
              <w:rPr>
                <w:rFonts w:ascii="宋体" w:hAnsi="宋体" w:cs="宋体" w:eastAsia="宋体" w:hint="default"/>
                <w:sz w:val="21"/>
                <w:szCs w:val="21"/>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9.13%</w:t>
            </w:r>
          </w:p>
        </w:tc>
      </w:tr>
    </w:tbl>
    <w:p>
      <w:pPr>
        <w:spacing w:before="79"/>
        <w:ind w:left="617" w:right="1166"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、报告期内公司资产构成同比发生重大变动事项的说明（</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tbl>
      <w:tblPr>
        <w:tblW w:w="0" w:type="auto"/>
        <w:jc w:val="left"/>
        <w:tblInd w:w="202" w:type="dxa"/>
        <w:tblLayout w:type="fixed"/>
        <w:tblCellMar>
          <w:top w:w="0" w:type="dxa"/>
          <w:left w:w="0" w:type="dxa"/>
          <w:bottom w:w="0" w:type="dxa"/>
          <w:right w:w="0" w:type="dxa"/>
        </w:tblCellMar>
        <w:tblLook w:val="01E0"/>
      </w:tblPr>
      <w:tblGrid>
        <w:gridCol w:w="1562"/>
        <w:gridCol w:w="1791"/>
        <w:gridCol w:w="1796"/>
        <w:gridCol w:w="1790"/>
        <w:gridCol w:w="951"/>
        <w:gridCol w:w="821"/>
      </w:tblGrid>
      <w:tr>
        <w:trPr>
          <w:trHeight w:val="610" w:hRule="exact"/>
        </w:trPr>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5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5" w:right="-3"/>
              <w:jc w:val="left"/>
              <w:rPr>
                <w:rFonts w:ascii="宋体" w:hAnsi="宋体" w:cs="宋体" w:eastAsia="宋体" w:hint="default"/>
                <w:sz w:val="21"/>
                <w:szCs w:val="21"/>
              </w:rPr>
            </w:pPr>
            <w:r>
              <w:rPr>
                <w:rFonts w:ascii="宋体" w:hAnsi="宋体" w:cs="宋体" w:eastAsia="宋体" w:hint="default"/>
                <w:spacing w:val="-106"/>
                <w:w w:val="100"/>
                <w:sz w:val="21"/>
                <w:szCs w:val="21"/>
              </w:rPr>
              <w:t>日</w:t>
            </w:r>
            <w:r>
              <w:rPr>
                <w:rFonts w:ascii="宋体" w:hAnsi="宋体" w:cs="宋体" w:eastAsia="宋体" w:hint="default"/>
                <w:w w:val="100"/>
                <w:sz w:val="21"/>
                <w:szCs w:val="21"/>
              </w:rPr>
              <w:t>（或</w:t>
            </w:r>
            <w:r>
              <w:rPr>
                <w:rFonts w:ascii="宋体" w:hAnsi="宋体" w:cs="宋体" w:eastAsia="宋体" w:hint="default"/>
                <w:spacing w:val="-54"/>
                <w:sz w:val="21"/>
                <w:szCs w:val="21"/>
              </w:rPr>
              <w:t> </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6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8" w:right="-3"/>
              <w:jc w:val="left"/>
              <w:rPr>
                <w:rFonts w:ascii="宋体" w:hAnsi="宋体" w:cs="宋体" w:eastAsia="宋体" w:hint="default"/>
                <w:sz w:val="21"/>
                <w:szCs w:val="21"/>
              </w:rPr>
            </w:pPr>
            <w:r>
              <w:rPr>
                <w:rFonts w:ascii="宋体" w:hAnsi="宋体" w:cs="宋体" w:eastAsia="宋体" w:hint="default"/>
                <w:spacing w:val="-104"/>
                <w:w w:val="100"/>
                <w:sz w:val="21"/>
                <w:szCs w:val="21"/>
              </w:rPr>
              <w:t>日</w:t>
            </w:r>
            <w:r>
              <w:rPr>
                <w:rFonts w:ascii="宋体" w:hAnsi="宋体" w:cs="宋体" w:eastAsia="宋体" w:hint="default"/>
                <w:w w:val="100"/>
                <w:sz w:val="21"/>
                <w:szCs w:val="21"/>
              </w:rPr>
              <w:t>（或</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61" w:right="0"/>
              <w:jc w:val="left"/>
              <w:rPr>
                <w:rFonts w:ascii="宋体" w:hAnsi="宋体" w:cs="宋体" w:eastAsia="宋体" w:hint="default"/>
                <w:sz w:val="21"/>
                <w:szCs w:val="21"/>
              </w:rPr>
            </w:pPr>
            <w:r>
              <w:rPr>
                <w:rFonts w:ascii="宋体" w:hAnsi="宋体" w:cs="宋体" w:eastAsia="宋体" w:hint="default"/>
                <w:sz w:val="21"/>
                <w:szCs w:val="21"/>
              </w:rPr>
              <w:t>差异变动金额</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20"/>
              <w:ind w:left="156" w:right="155"/>
              <w:jc w:val="left"/>
              <w:rPr>
                <w:rFonts w:ascii="宋体" w:hAnsi="宋体" w:cs="宋体" w:eastAsia="宋体" w:hint="default"/>
                <w:sz w:val="21"/>
                <w:szCs w:val="21"/>
              </w:rPr>
            </w:pPr>
            <w:r>
              <w:rPr>
                <w:rFonts w:ascii="宋体" w:hAnsi="宋体" w:cs="宋体" w:eastAsia="宋体" w:hint="default"/>
                <w:sz w:val="21"/>
                <w:szCs w:val="21"/>
              </w:rPr>
              <w:t>差异变</w:t>
            </w:r>
            <w:r>
              <w:rPr>
                <w:rFonts w:ascii="宋体" w:hAnsi="宋体" w:cs="宋体" w:eastAsia="宋体" w:hint="default"/>
                <w:spacing w:val="-102"/>
                <w:sz w:val="21"/>
                <w:szCs w:val="21"/>
              </w:rPr>
              <w:t> </w:t>
            </w:r>
            <w:r>
              <w:rPr>
                <w:rFonts w:ascii="宋体" w:hAnsi="宋体" w:cs="宋体" w:eastAsia="宋体" w:hint="default"/>
                <w:sz w:val="21"/>
                <w:szCs w:val="21"/>
              </w:rPr>
              <w:t>动幅度</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20"/>
              <w:ind w:left="199" w:right="192"/>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pacing w:val="-103"/>
                <w:sz w:val="21"/>
                <w:szCs w:val="21"/>
              </w:rPr>
              <w:t> </w:t>
            </w:r>
            <w:r>
              <w:rPr>
                <w:rFonts w:ascii="宋体" w:hAnsi="宋体" w:cs="宋体" w:eastAsia="宋体" w:hint="default"/>
                <w:sz w:val="21"/>
                <w:szCs w:val="21"/>
              </w:rPr>
              <w:t>分析</w:t>
            </w:r>
          </w:p>
        </w:tc>
      </w:tr>
      <w:tr>
        <w:trPr>
          <w:trHeight w:val="458" w:hRule="exact"/>
        </w:trPr>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sz w:val="21"/>
              </w:rPr>
              <w:t>254,986,132.32</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434,578,888.77</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-179,592,756.45</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-41.33%</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59" w:hRule="exact"/>
        </w:trPr>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sz w:val="21"/>
              </w:rPr>
              <w:t>345,779,445.41</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243,512,603.13</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102,266,842.28</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6" w:right="0"/>
              <w:jc w:val="center"/>
              <w:rPr>
                <w:rFonts w:ascii="宋体" w:hAnsi="宋体" w:cs="宋体" w:eastAsia="宋体" w:hint="default"/>
                <w:sz w:val="21"/>
                <w:szCs w:val="21"/>
              </w:rPr>
            </w:pPr>
            <w:r>
              <w:rPr>
                <w:rFonts w:ascii="宋体"/>
                <w:sz w:val="21"/>
              </w:rPr>
              <w:t>42.00%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461" w:hRule="exact"/>
        </w:trPr>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-229,352,252.61</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-63,016,322.92</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-166,335,929.69</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263.96%</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bl>
    <w:p>
      <w:pPr>
        <w:pStyle w:val="Heading3"/>
        <w:spacing w:line="240" w:lineRule="auto" w:before="79"/>
        <w:ind w:left="617" w:right="1166"/>
        <w:jc w:val="left"/>
      </w:pPr>
      <w:r>
        <w:rPr/>
        <w:t>注</w:t>
      </w:r>
      <w:r>
        <w:rPr>
          <w:spacing w:val="-60"/>
        </w:rPr>
        <w:t> </w:t>
      </w:r>
      <w:r>
        <w:rPr>
          <w:rFonts w:ascii="宋体" w:hAnsi="宋体" w:cs="宋体" w:eastAsia="宋体" w:hint="default"/>
        </w:rPr>
        <w:t>1</w:t>
      </w:r>
      <w:r>
        <w:rPr/>
        <w:t>：主要系公司借款减少；</w:t>
      </w:r>
    </w:p>
    <w:p>
      <w:pPr>
        <w:spacing w:line="357" w:lineRule="auto" w:before="154"/>
        <w:ind w:left="137" w:right="1310" w:firstLine="479"/>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：主要系本年在银行借款减少的情况下，为满足生产经营需要，公司合理利 用外部供应商给予的付款信用期，导致应付账款增加；</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：主要系本年净利润大幅下滑所致。</w:t>
      </w:r>
    </w:p>
    <w:p>
      <w:pPr>
        <w:spacing w:after="0"/>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703" w:right="1738"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、采用公允价值计量的项目的情况 </w:t>
      </w:r>
      <w:r>
        <w:rPr>
          <w:rFonts w:ascii="宋体" w:hAnsi="宋体" w:cs="宋体" w:eastAsia="宋体" w:hint="default"/>
          <w:spacing w:val="-1"/>
          <w:sz w:val="24"/>
          <w:szCs w:val="24"/>
        </w:rPr>
        <w:t>报告期内，公司主要资产均采用历史成本法计量，公司无采用公允价值计量的项</w:t>
      </w:r>
    </w:p>
    <w:p>
      <w:pPr>
        <w:spacing w:before="36"/>
        <w:ind w:left="223" w:right="1740" w:firstLine="0"/>
        <w:jc w:val="left"/>
        <w:rPr>
          <w:rFonts w:ascii="宋体" w:hAnsi="宋体" w:cs="宋体" w:eastAsia="宋体" w:hint="default"/>
          <w:sz w:val="24"/>
          <w:szCs w:val="24"/>
        </w:rPr>
      </w:pPr>
      <w:r>
        <w:rPr>
          <w:rFonts w:ascii="宋体" w:hAnsi="宋体" w:cs="宋体" w:eastAsia="宋体" w:hint="default"/>
          <w:sz w:val="24"/>
          <w:szCs w:val="24"/>
        </w:rPr>
        <w:t>目。</w:t>
      </w:r>
    </w:p>
    <w:p>
      <w:pPr>
        <w:tabs>
          <w:tab w:pos="6944" w:val="left" w:leader="none"/>
        </w:tabs>
        <w:spacing w:before="154"/>
        <w:ind w:left="583" w:right="1740"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、报告期内公司利润表项目同比发生重大变动的说明</w:t>
        <w:tab/>
      </w:r>
      <w:r>
        <w:rPr>
          <w:rFonts w:ascii="宋体" w:hAnsi="宋体" w:cs="宋体" w:eastAsia="宋体" w:hint="default"/>
          <w:sz w:val="24"/>
          <w:szCs w:val="24"/>
        </w:rPr>
        <w:t>(</w:t>
      </w:r>
      <w:r>
        <w:rPr>
          <w:rFonts w:ascii="宋体" w:hAnsi="宋体" w:cs="宋体" w:eastAsia="宋体" w:hint="default"/>
          <w:sz w:val="24"/>
          <w:szCs w:val="24"/>
        </w:rPr>
        <w:t>单位：人民币元</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733"/>
        <w:gridCol w:w="1897"/>
        <w:gridCol w:w="1896"/>
        <w:gridCol w:w="1790"/>
        <w:gridCol w:w="1001"/>
        <w:gridCol w:w="744"/>
      </w:tblGrid>
      <w:tr>
        <w:trPr>
          <w:trHeight w:val="631" w:hRule="exact"/>
        </w:trPr>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6"/>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6"/>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差异变动金额</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182" w:right="179"/>
              <w:jc w:val="left"/>
              <w:rPr>
                <w:rFonts w:ascii="宋体" w:hAnsi="宋体" w:cs="宋体" w:eastAsia="宋体" w:hint="default"/>
                <w:sz w:val="21"/>
                <w:szCs w:val="21"/>
              </w:rPr>
            </w:pPr>
            <w:r>
              <w:rPr>
                <w:rFonts w:ascii="宋体" w:hAnsi="宋体" w:cs="宋体" w:eastAsia="宋体" w:hint="default"/>
                <w:sz w:val="21"/>
                <w:szCs w:val="21"/>
              </w:rPr>
              <w:t>差异变</w:t>
            </w:r>
            <w:r>
              <w:rPr>
                <w:rFonts w:ascii="宋体" w:hAnsi="宋体" w:cs="宋体" w:eastAsia="宋体" w:hint="default"/>
                <w:spacing w:val="-102"/>
                <w:sz w:val="21"/>
                <w:szCs w:val="21"/>
              </w:rPr>
              <w:t> </w:t>
            </w:r>
            <w:r>
              <w:rPr>
                <w:rFonts w:ascii="宋体" w:hAnsi="宋体" w:cs="宋体" w:eastAsia="宋体" w:hint="default"/>
                <w:sz w:val="21"/>
                <w:szCs w:val="21"/>
              </w:rPr>
              <w:t>动幅度</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158" w:right="156"/>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pacing w:val="-103"/>
                <w:sz w:val="21"/>
                <w:szCs w:val="21"/>
              </w:rPr>
              <w:t> </w:t>
            </w:r>
            <w:r>
              <w:rPr>
                <w:rFonts w:ascii="宋体" w:hAnsi="宋体" w:cs="宋体" w:eastAsia="宋体" w:hint="default"/>
                <w:sz w:val="21"/>
                <w:szCs w:val="21"/>
              </w:rPr>
              <w:t>分析</w:t>
            </w:r>
          </w:p>
        </w:tc>
      </w:tr>
      <w:tr>
        <w:trPr>
          <w:trHeight w:val="458" w:hRule="exact"/>
        </w:trPr>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1,194,860,445.99</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1,955,611,259.51</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-760,750,813.52</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-38.90%</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61" w:hRule="exact"/>
        </w:trPr>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899,535,297.72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1,476,103,245.76</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-576,567,948.04</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-39.06%</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59" w:hRule="exact"/>
        </w:trPr>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1"/>
                <w:szCs w:val="21"/>
              </w:rPr>
            </w:pPr>
            <w:r>
              <w:rPr>
                <w:rFonts w:ascii="宋体"/>
                <w:spacing w:val="-1"/>
                <w:sz w:val="21"/>
              </w:rPr>
              <w:t>43,420,336.99</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71,584,282.58</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sz w:val="21"/>
              </w:rPr>
              <w:t>-28,163,945.59</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-39.34%</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bl>
    <w:p>
      <w:pPr>
        <w:spacing w:line="357" w:lineRule="auto" w:before="79"/>
        <w:ind w:left="223" w:right="1740"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37"/>
          <w:sz w:val="24"/>
          <w:szCs w:val="24"/>
        </w:rPr>
        <w:t> </w:t>
      </w:r>
      <w:r>
        <w:rPr>
          <w:rFonts w:ascii="宋体" w:hAnsi="宋体" w:cs="宋体" w:eastAsia="宋体" w:hint="default"/>
          <w:sz w:val="24"/>
          <w:szCs w:val="24"/>
        </w:rPr>
        <w:t>1</w:t>
      </w:r>
      <w:r>
        <w:rPr>
          <w:rFonts w:ascii="宋体" w:hAnsi="宋体" w:cs="宋体" w:eastAsia="宋体" w:hint="default"/>
          <w:sz w:val="24"/>
          <w:szCs w:val="24"/>
        </w:rPr>
        <w:t>：主要系药品批发销售及其他药品销售份额的减少，原从事此部份业务的子 公司已于上年处置；</w:t>
      </w:r>
    </w:p>
    <w:p>
      <w:pPr>
        <w:tabs>
          <w:tab w:pos="7544" w:val="left" w:leader="none"/>
        </w:tabs>
        <w:spacing w:line="357" w:lineRule="auto" w:before="36"/>
        <w:ind w:left="703" w:right="2079"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z w:val="24"/>
          <w:szCs w:val="24"/>
        </w:rPr>
        <w:t>：主要系公司借款减少，影响借款利息支出减少所致。 </w:t>
      </w:r>
      <w:r>
        <w:rPr>
          <w:rFonts w:ascii="宋体" w:hAnsi="宋体" w:cs="宋体" w:eastAsia="宋体" w:hint="default"/>
          <w:sz w:val="24"/>
          <w:szCs w:val="24"/>
        </w:rPr>
        <w:t>7</w:t>
      </w:r>
      <w:r>
        <w:rPr>
          <w:rFonts w:ascii="宋体" w:hAnsi="宋体" w:cs="宋体" w:eastAsia="宋体" w:hint="default"/>
          <w:sz w:val="24"/>
          <w:szCs w:val="24"/>
        </w:rPr>
        <w:t>、报告期公司现金流量构成情况说明 报告期内，公司现金流量没有发生异常变动。 </w:t>
      </w:r>
      <w:r>
        <w:rPr>
          <w:rFonts w:ascii="宋体" w:hAnsi="宋体" w:cs="宋体" w:eastAsia="宋体" w:hint="default"/>
          <w:spacing w:val="-1"/>
          <w:sz w:val="24"/>
          <w:szCs w:val="24"/>
        </w:rPr>
        <w:t>8</w:t>
      </w:r>
      <w:r>
        <w:rPr>
          <w:rFonts w:ascii="宋体" w:hAnsi="宋体" w:cs="宋体" w:eastAsia="宋体" w:hint="default"/>
          <w:spacing w:val="-1"/>
          <w:sz w:val="24"/>
          <w:szCs w:val="24"/>
        </w:rPr>
        <w:t>、主要控股子公司经营情况及业绩</w:t>
        <w:tab/>
      </w:r>
      <w:r>
        <w:rPr>
          <w:rFonts w:ascii="宋体" w:hAnsi="宋体" w:cs="宋体" w:eastAsia="宋体" w:hint="default"/>
          <w:sz w:val="24"/>
          <w:szCs w:val="24"/>
        </w:rPr>
        <w:t>单位：万元</w:t>
      </w:r>
    </w:p>
    <w:p>
      <w:pPr>
        <w:spacing w:line="240" w:lineRule="auto" w:before="1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680"/>
        <w:gridCol w:w="840"/>
        <w:gridCol w:w="841"/>
        <w:gridCol w:w="1848"/>
        <w:gridCol w:w="1198"/>
        <w:gridCol w:w="1472"/>
        <w:gridCol w:w="1574"/>
      </w:tblGrid>
      <w:tr>
        <w:trPr>
          <w:trHeight w:val="69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1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206" w:right="199"/>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207" w:right="19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left="1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right="1"/>
              <w:jc w:val="center"/>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77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6" w:right="199"/>
              <w:jc w:val="left"/>
              <w:rPr>
                <w:rFonts w:ascii="宋体" w:hAnsi="宋体" w:cs="宋体" w:eastAsia="宋体" w:hint="default"/>
                <w:sz w:val="21"/>
                <w:szCs w:val="21"/>
              </w:rPr>
            </w:pPr>
            <w:r>
              <w:rPr>
                <w:rFonts w:ascii="宋体" w:hAnsi="宋体" w:cs="宋体" w:eastAsia="宋体" w:hint="default"/>
                <w:sz w:val="21"/>
                <w:szCs w:val="21"/>
              </w:rPr>
              <w:t>华立仪表集团</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21"/>
                <w:szCs w:val="21"/>
              </w:rPr>
            </w:pPr>
            <w:r>
              <w:rPr>
                <w:rFonts w:ascii="宋体"/>
                <w:sz w:val="21"/>
              </w:rPr>
              <w:t>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90" w:right="106" w:hanging="180"/>
              <w:jc w:val="left"/>
              <w:rPr>
                <w:rFonts w:ascii="宋体" w:hAnsi="宋体" w:cs="宋体" w:eastAsia="宋体" w:hint="default"/>
                <w:sz w:val="18"/>
                <w:szCs w:val="18"/>
              </w:rPr>
            </w:pPr>
            <w:r>
              <w:rPr>
                <w:rFonts w:ascii="宋体" w:hAnsi="宋体" w:cs="宋体" w:eastAsia="宋体" w:hint="default"/>
                <w:sz w:val="18"/>
                <w:szCs w:val="18"/>
              </w:rPr>
              <w:t>电力仪器仪表及元器 件的制造销售等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sz w:val="21"/>
              </w:rPr>
              <w:t>18,155.28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21"/>
                <w:szCs w:val="21"/>
              </w:rPr>
            </w:pPr>
            <w:r>
              <w:rPr>
                <w:rFonts w:ascii="宋体"/>
                <w:sz w:val="21"/>
              </w:rPr>
              <w:t>157,374.42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21"/>
                <w:szCs w:val="21"/>
              </w:rPr>
            </w:pPr>
            <w:r>
              <w:rPr>
                <w:rFonts w:ascii="宋体"/>
                <w:sz w:val="21"/>
              </w:rPr>
              <w:t>1,228.23</w:t>
            </w:r>
          </w:p>
        </w:tc>
      </w:tr>
    </w:tbl>
    <w:p>
      <w:pPr>
        <w:spacing w:line="357" w:lineRule="auto" w:before="79"/>
        <w:ind w:left="703" w:right="6623" w:firstLine="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、公司控制的特殊目的主体情况 公司无控制的特殊目的主体。</w:t>
      </w:r>
    </w:p>
    <w:p>
      <w:pPr>
        <w:spacing w:line="357" w:lineRule="auto" w:before="36"/>
        <w:ind w:left="703" w:right="1738" w:firstLine="2"/>
        <w:jc w:val="left"/>
        <w:rPr>
          <w:rFonts w:ascii="宋体" w:hAnsi="宋体" w:cs="宋体" w:eastAsia="宋体" w:hint="default"/>
          <w:sz w:val="24"/>
          <w:szCs w:val="24"/>
        </w:rPr>
      </w:pPr>
      <w:r>
        <w:rPr>
          <w:rFonts w:ascii="宋体" w:hAnsi="宋体" w:cs="宋体" w:eastAsia="宋体" w:hint="default"/>
          <w:sz w:val="24"/>
          <w:szCs w:val="24"/>
        </w:rPr>
        <w:t>（二）对公司未来发展的展望 </w:t>
      </w:r>
      <w:r>
        <w:rPr>
          <w:rFonts w:ascii="宋体" w:hAnsi="宋体" w:cs="宋体" w:eastAsia="宋体" w:hint="default"/>
          <w:sz w:val="24"/>
          <w:szCs w:val="24"/>
        </w:rPr>
        <w:t>1</w:t>
      </w:r>
      <w:r>
        <w:rPr>
          <w:rFonts w:ascii="宋体" w:hAnsi="宋体" w:cs="宋体" w:eastAsia="宋体" w:hint="default"/>
          <w:sz w:val="24"/>
          <w:szCs w:val="24"/>
        </w:rPr>
        <w:t>、公司管理层对公司主要产品的市场空间和竞争格局的分析。 </w:t>
      </w:r>
      <w:r>
        <w:rPr>
          <w:rFonts w:ascii="宋体" w:hAnsi="宋体" w:cs="宋体" w:eastAsia="宋体" w:hint="default"/>
          <w:spacing w:val="-1"/>
          <w:sz w:val="24"/>
          <w:szCs w:val="24"/>
        </w:rPr>
        <w:t>受国家扩大内需和电网改造的影响，对计量仪表的市场需求比较旺盛。就具体产</w:t>
      </w:r>
    </w:p>
    <w:p>
      <w:pPr>
        <w:spacing w:line="357" w:lineRule="auto" w:before="37"/>
        <w:ind w:left="223" w:right="1753" w:firstLine="0"/>
        <w:jc w:val="both"/>
        <w:rPr>
          <w:rFonts w:ascii="宋体" w:hAnsi="宋体" w:cs="宋体" w:eastAsia="宋体" w:hint="default"/>
          <w:sz w:val="24"/>
          <w:szCs w:val="24"/>
        </w:rPr>
      </w:pPr>
      <w:r>
        <w:rPr>
          <w:rFonts w:ascii="宋体" w:hAnsi="宋体" w:cs="宋体" w:eastAsia="宋体" w:hint="default"/>
          <w:spacing w:val="-1"/>
          <w:sz w:val="24"/>
          <w:szCs w:val="24"/>
        </w:rPr>
        <w:t>品而言，日益激烈的技术和研发竞争使得电力计量器具的生命周期越来越短，产品的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升级换代日益频繁，产品结构从低端到高端的演进的速度加快，这对企业的市场分析</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能力、研发创新能力提出了更高的要求。在市场营销环节，由于主要客户的招投标模</w:t>
      </w:r>
      <w:r>
        <w:rPr>
          <w:rFonts w:ascii="宋体" w:hAnsi="宋体" w:cs="宋体" w:eastAsia="宋体" w:hint="default"/>
          <w:sz w:val="24"/>
          <w:szCs w:val="24"/>
        </w:rPr>
        <w:t> </w:t>
      </w:r>
      <w:r>
        <w:rPr>
          <w:rFonts w:ascii="宋体" w:hAnsi="宋体" w:cs="宋体" w:eastAsia="宋体" w:hint="default"/>
          <w:spacing w:val="-1"/>
          <w:sz w:val="24"/>
          <w:szCs w:val="24"/>
        </w:rPr>
        <w:t>式从地方自行采购向集团招投标转化，又从集团招标向统一技术标准和统一设计方向</w:t>
      </w:r>
      <w:r>
        <w:rPr>
          <w:rFonts w:ascii="宋体" w:hAnsi="宋体" w:cs="宋体" w:eastAsia="宋体" w:hint="default"/>
          <w:sz w:val="24"/>
          <w:szCs w:val="24"/>
        </w:rPr>
        <w:t> </w:t>
      </w:r>
      <w:r>
        <w:rPr>
          <w:rFonts w:ascii="宋体" w:hAnsi="宋体" w:cs="宋体" w:eastAsia="宋体" w:hint="default"/>
          <w:spacing w:val="-1"/>
          <w:sz w:val="24"/>
          <w:szCs w:val="24"/>
        </w:rPr>
        <w:t>发展；集团招标的层次也逐渐从原来的省公司拔高到国家电网公司。客户的需求正逐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渐从产品需求向服务需求转化。市场对企业综合能力的考验达到了新的高度，对企业</w:t>
      </w:r>
    </w:p>
    <w:p>
      <w:pPr>
        <w:spacing w:after="0" w:line="357" w:lineRule="auto"/>
        <w:jc w:val="both"/>
        <w:rPr>
          <w:rFonts w:ascii="宋体" w:hAnsi="宋体" w:cs="宋体" w:eastAsia="宋体" w:hint="default"/>
          <w:sz w:val="24"/>
          <w:szCs w:val="24"/>
        </w:rPr>
        <w:sectPr>
          <w:pgSz w:w="11910" w:h="16840"/>
          <w:pgMar w:header="752" w:footer="955" w:top="1020" w:bottom="1140" w:left="1080" w:right="0"/>
        </w:sectPr>
      </w:pPr>
    </w:p>
    <w:p>
      <w:pPr>
        <w:spacing w:line="240" w:lineRule="auto" w:before="1"/>
        <w:rPr>
          <w:rFonts w:ascii="宋体" w:hAnsi="宋体" w:cs="宋体" w:eastAsia="宋体" w:hint="default"/>
          <w:sz w:val="29"/>
          <w:szCs w:val="29"/>
        </w:rPr>
      </w:pPr>
    </w:p>
    <w:p>
      <w:pPr>
        <w:spacing w:line="357" w:lineRule="auto" w:before="26"/>
        <w:ind w:left="619" w:right="1847" w:hanging="483"/>
        <w:jc w:val="left"/>
        <w:rPr>
          <w:rFonts w:ascii="宋体" w:hAnsi="宋体" w:cs="宋体" w:eastAsia="宋体" w:hint="default"/>
          <w:sz w:val="24"/>
          <w:szCs w:val="24"/>
        </w:rPr>
      </w:pPr>
      <w:r>
        <w:rPr>
          <w:rFonts w:ascii="宋体" w:hAnsi="宋体" w:cs="宋体" w:eastAsia="宋体" w:hint="default"/>
          <w:sz w:val="24"/>
          <w:szCs w:val="24"/>
        </w:rPr>
        <w:t>而言，在面临新的机遇的同时，也面临着新的挑战。 </w:t>
      </w:r>
      <w:r>
        <w:rPr>
          <w:rFonts w:ascii="宋体" w:hAnsi="宋体" w:cs="宋体" w:eastAsia="宋体" w:hint="default"/>
          <w:sz w:val="24"/>
          <w:szCs w:val="24"/>
        </w:rPr>
        <w:t>2</w:t>
      </w:r>
      <w:r>
        <w:rPr>
          <w:rFonts w:ascii="宋体" w:hAnsi="宋体" w:cs="宋体" w:eastAsia="宋体" w:hint="default"/>
          <w:sz w:val="24"/>
          <w:szCs w:val="24"/>
        </w:rPr>
        <w:t>、面对当前的市场竞争格局，公司已经采取了一系列针对性的调整步骤。</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）技术研发方面：通过分工合作，优化资源配置，实现协同效应。</w:t>
      </w:r>
    </w:p>
    <w:p>
      <w:pPr>
        <w:spacing w:line="357" w:lineRule="auto" w:before="154"/>
        <w:ind w:left="137" w:right="1166" w:firstLine="479"/>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2</w:t>
      </w:r>
      <w:r>
        <w:rPr>
          <w:rFonts w:ascii="宋体" w:hAnsi="宋体" w:cs="宋体" w:eastAsia="宋体" w:hint="default"/>
          <w:spacing w:val="2"/>
          <w:sz w:val="24"/>
          <w:szCs w:val="24"/>
        </w:rPr>
        <w:t>）国内市场营销方面：培育市场功能，服务国网、南网统一招标；重视信息 </w:t>
      </w:r>
      <w:r>
        <w:rPr>
          <w:rFonts w:ascii="宋体" w:hAnsi="宋体" w:cs="宋体" w:eastAsia="宋体" w:hint="default"/>
          <w:spacing w:val="-5"/>
          <w:sz w:val="24"/>
          <w:szCs w:val="24"/>
        </w:rPr>
        <w:t>管理，做好产品规划；策划品牌宣传，提升公司形象；创新销售模式，重塑销售优势，</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实现销售突破。</w:t>
      </w:r>
    </w:p>
    <w:p>
      <w:pPr>
        <w:spacing w:line="357" w:lineRule="auto" w:before="36"/>
        <w:ind w:left="137" w:right="1267" w:firstLine="479"/>
        <w:jc w:val="both"/>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3</w:t>
      </w:r>
      <w:r>
        <w:rPr>
          <w:rFonts w:ascii="宋体" w:hAnsi="宋体" w:cs="宋体" w:eastAsia="宋体" w:hint="default"/>
          <w:spacing w:val="2"/>
          <w:sz w:val="24"/>
          <w:szCs w:val="24"/>
        </w:rPr>
        <w:t>）海外经营方面：夯实基础，蓄势待发。完善产品国际认证；培养、强化销 </w:t>
      </w:r>
      <w:r>
        <w:rPr>
          <w:rFonts w:ascii="宋体" w:hAnsi="宋体" w:cs="宋体" w:eastAsia="宋体" w:hint="default"/>
          <w:sz w:val="24"/>
          <w:szCs w:val="24"/>
        </w:rPr>
        <w:t>售队伍。目标聚焦，突破增长聚焦重点市场；聚焦重点产品。主动跟随，填缺补空。</w:t>
      </w:r>
      <w:r>
        <w:rPr>
          <w:rFonts w:ascii="宋体" w:hAnsi="宋体" w:cs="宋体" w:eastAsia="宋体" w:hint="default"/>
          <w:sz w:val="24"/>
          <w:szCs w:val="24"/>
        </w:rPr>
        <w:t> 积极参与国际投标；争取发达国家智能电表项目。</w:t>
      </w:r>
    </w:p>
    <w:p>
      <w:pPr>
        <w:spacing w:line="357" w:lineRule="auto" w:before="36"/>
        <w:ind w:left="137" w:right="1302"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）生产制造方面：加强中层骨干、工艺、</w:t>
      </w:r>
      <w:r>
        <w:rPr>
          <w:rFonts w:ascii="宋体" w:hAnsi="宋体" w:cs="宋体" w:eastAsia="宋体" w:hint="default"/>
          <w:spacing w:val="-36"/>
          <w:sz w:val="24"/>
          <w:szCs w:val="24"/>
        </w:rPr>
        <w:t> </w:t>
      </w:r>
      <w:r>
        <w:rPr>
          <w:rFonts w:ascii="宋体" w:hAnsi="宋体" w:cs="宋体" w:eastAsia="宋体" w:hint="default"/>
          <w:sz w:val="24"/>
          <w:szCs w:val="24"/>
        </w:rPr>
        <w:t>PE</w:t>
      </w:r>
      <w:r>
        <w:rPr>
          <w:rFonts w:ascii="宋体" w:hAnsi="宋体" w:cs="宋体" w:eastAsia="宋体" w:hint="default"/>
          <w:sz w:val="24"/>
          <w:szCs w:val="24"/>
        </w:rPr>
        <w:t>、检测、售后服务人员等队伍建 </w:t>
      </w:r>
      <w:r>
        <w:rPr>
          <w:rFonts w:ascii="宋体" w:hAnsi="宋体" w:cs="宋体" w:eastAsia="宋体" w:hint="default"/>
          <w:spacing w:val="-1"/>
          <w:sz w:val="24"/>
          <w:szCs w:val="24"/>
        </w:rPr>
        <w:t>设；组织培训结合精益生产对骨干员工进行系统培训。提升产品品质，实现自动化和</w:t>
      </w:r>
      <w:r>
        <w:rPr>
          <w:rFonts w:ascii="宋体" w:hAnsi="宋体" w:cs="宋体" w:eastAsia="宋体" w:hint="default"/>
          <w:sz w:val="24"/>
          <w:szCs w:val="24"/>
        </w:rPr>
        <w:t> 半自动化保证。控制人力、设备与能耗以及管理成本。</w:t>
      </w:r>
    </w:p>
    <w:p>
      <w:pPr>
        <w:spacing w:line="357" w:lineRule="auto" w:before="36"/>
        <w:ind w:left="137" w:right="1166" w:firstLine="479"/>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5</w:t>
      </w:r>
      <w:r>
        <w:rPr>
          <w:rFonts w:ascii="宋体" w:hAnsi="宋体" w:cs="宋体" w:eastAsia="宋体" w:hint="default"/>
          <w:spacing w:val="-2"/>
          <w:sz w:val="24"/>
          <w:szCs w:val="24"/>
        </w:rPr>
        <w:t>）采购供应方面：健全供方管理体系；梳理计划、采购执行与生产衔接流程；</w:t>
      </w:r>
      <w:r>
        <w:rPr>
          <w:rFonts w:ascii="宋体" w:hAnsi="宋体" w:cs="宋体" w:eastAsia="宋体" w:hint="default"/>
          <w:sz w:val="24"/>
          <w:szCs w:val="24"/>
        </w:rPr>
        <w:t> 实施采购预测管理；降低物料采购成本。</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）职能管理方面</w:t>
      </w:r>
    </w:p>
    <w:p>
      <w:pPr>
        <w:spacing w:line="357" w:lineRule="auto" w:before="154"/>
        <w:ind w:left="137" w:right="1300" w:firstLine="479"/>
        <w:jc w:val="left"/>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）质量管理方面：重点由末端控制过渡为前端质量管理，构建责任文化，加强</w:t>
      </w:r>
      <w:r>
        <w:rPr>
          <w:rFonts w:ascii="宋体" w:hAnsi="宋体" w:cs="宋体" w:eastAsia="宋体" w:hint="default"/>
          <w:sz w:val="24"/>
          <w:szCs w:val="24"/>
        </w:rPr>
        <w:t> 执行力，实现质量管理的持续改进。</w:t>
      </w:r>
    </w:p>
    <w:p>
      <w:pPr>
        <w:spacing w:line="357" w:lineRule="auto" w:before="36"/>
        <w:ind w:left="137" w:right="1298" w:firstLine="383"/>
        <w:jc w:val="left"/>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）人力资源管理方面：从基础做起，努力构建分层分类的职位体系及任职资格评</w:t>
      </w:r>
      <w:r>
        <w:rPr>
          <w:rFonts w:ascii="宋体" w:hAnsi="宋体" w:cs="宋体" w:eastAsia="宋体" w:hint="default"/>
          <w:sz w:val="24"/>
          <w:szCs w:val="24"/>
        </w:rPr>
        <w:t> 价体系；完善</w:t>
      </w:r>
      <w:r>
        <w:rPr>
          <w:rFonts w:ascii="宋体" w:hAnsi="宋体" w:cs="宋体" w:eastAsia="宋体" w:hint="default"/>
          <w:spacing w:val="-61"/>
          <w:sz w:val="24"/>
          <w:szCs w:val="24"/>
        </w:rPr>
        <w:t> </w:t>
      </w:r>
      <w:r>
        <w:rPr>
          <w:rFonts w:ascii="宋体" w:hAnsi="宋体" w:cs="宋体" w:eastAsia="宋体" w:hint="default"/>
          <w:sz w:val="24"/>
          <w:szCs w:val="24"/>
        </w:rPr>
        <w:t>KPI</w:t>
      </w:r>
      <w:r>
        <w:rPr>
          <w:rFonts w:ascii="宋体" w:hAnsi="宋体" w:cs="宋体" w:eastAsia="宋体" w:hint="default"/>
          <w:spacing w:val="-60"/>
          <w:sz w:val="24"/>
          <w:szCs w:val="24"/>
        </w:rPr>
        <w:t> </w:t>
      </w:r>
      <w:r>
        <w:rPr>
          <w:rFonts w:ascii="宋体" w:hAnsi="宋体" w:cs="宋体" w:eastAsia="宋体" w:hint="default"/>
          <w:sz w:val="24"/>
          <w:szCs w:val="24"/>
        </w:rPr>
        <w:t>指标考核办法，健全绩效考核与薪酬激励有效挂钩的机制。</w:t>
      </w:r>
    </w:p>
    <w:p>
      <w:pPr>
        <w:spacing w:line="357" w:lineRule="auto" w:before="36"/>
        <w:ind w:left="137" w:right="1298" w:firstLine="383"/>
        <w:jc w:val="left"/>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）财务管理方面：以降低成本、开源节流为首要工作目标，切实加强分子公司财</w:t>
      </w:r>
      <w:r>
        <w:rPr>
          <w:rFonts w:ascii="宋体" w:hAnsi="宋体" w:cs="宋体" w:eastAsia="宋体" w:hint="default"/>
          <w:sz w:val="24"/>
          <w:szCs w:val="24"/>
        </w:rPr>
        <w:t> 务管控与监督，降低财务管理和经营风险。</w:t>
      </w:r>
    </w:p>
    <w:p>
      <w:pPr>
        <w:spacing w:line="357" w:lineRule="auto" w:before="36"/>
        <w:ind w:left="137" w:right="1300" w:firstLine="479"/>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7</w:t>
      </w:r>
      <w:r>
        <w:rPr>
          <w:rFonts w:ascii="宋体" w:hAnsi="宋体" w:cs="宋体" w:eastAsia="宋体" w:hint="default"/>
          <w:spacing w:val="2"/>
          <w:sz w:val="24"/>
          <w:szCs w:val="24"/>
        </w:rPr>
        <w:t>）子公司管理方面：规范各级子公司治理结构，防范重大经营风险。加强子 </w:t>
      </w:r>
      <w:r>
        <w:rPr>
          <w:rFonts w:ascii="宋体" w:hAnsi="宋体" w:cs="宋体" w:eastAsia="宋体" w:hint="default"/>
          <w:sz w:val="24"/>
          <w:szCs w:val="24"/>
        </w:rPr>
        <w:t>公司战略管控，促进子公司经营质量和资产质量的提高。</w:t>
      </w:r>
    </w:p>
    <w:p>
      <w:pPr>
        <w:spacing w:line="357" w:lineRule="auto" w:before="37"/>
        <w:ind w:left="619" w:right="5447" w:hanging="12"/>
        <w:jc w:val="left"/>
        <w:rPr>
          <w:rFonts w:ascii="宋体" w:hAnsi="宋体" w:cs="宋体" w:eastAsia="宋体" w:hint="default"/>
          <w:sz w:val="24"/>
          <w:szCs w:val="24"/>
        </w:rPr>
      </w:pPr>
      <w:r>
        <w:rPr>
          <w:rFonts w:ascii="宋体" w:hAnsi="宋体" w:cs="宋体" w:eastAsia="宋体" w:hint="default"/>
          <w:sz w:val="24"/>
          <w:szCs w:val="24"/>
        </w:rPr>
        <w:t>（三）报告期内的投资情况 </w:t>
      </w:r>
      <w:r>
        <w:rPr>
          <w:rFonts w:ascii="宋体" w:hAnsi="宋体" w:cs="宋体" w:eastAsia="宋体" w:hint="default"/>
          <w:sz w:val="24"/>
          <w:szCs w:val="24"/>
        </w:rPr>
        <w:t>1</w:t>
      </w:r>
      <w:r>
        <w:rPr>
          <w:rFonts w:ascii="宋体" w:hAnsi="宋体" w:cs="宋体" w:eastAsia="宋体" w:hint="default"/>
          <w:sz w:val="24"/>
          <w:szCs w:val="24"/>
        </w:rPr>
        <w:t>、报告期内公司无对外长期投资情况。</w:t>
      </w:r>
    </w:p>
    <w:p>
      <w:pPr>
        <w:spacing w:line="357" w:lineRule="auto" w:before="36"/>
        <w:ind w:left="137" w:right="1300" w:firstLine="479"/>
        <w:jc w:val="left"/>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、报告期内，公司无募集资金投资情况；也无报告期之前募集资金的使用延续 </w:t>
      </w:r>
      <w:r>
        <w:rPr>
          <w:rFonts w:ascii="宋体" w:hAnsi="宋体" w:cs="宋体" w:eastAsia="宋体" w:hint="default"/>
          <w:sz w:val="24"/>
          <w:szCs w:val="24"/>
        </w:rPr>
        <w:t>到报告期内的情况。</w:t>
      </w:r>
    </w:p>
    <w:p>
      <w:pPr>
        <w:spacing w:line="357" w:lineRule="auto" w:before="36"/>
        <w:ind w:left="617" w:right="5209" w:firstLine="0"/>
        <w:jc w:val="left"/>
        <w:rPr>
          <w:rFonts w:ascii="宋体" w:hAnsi="宋体" w:cs="宋体" w:eastAsia="宋体" w:hint="default"/>
          <w:sz w:val="24"/>
          <w:szCs w:val="24"/>
        </w:rPr>
      </w:pPr>
      <w:r>
        <w:rPr>
          <w:rFonts w:ascii="宋体" w:hAnsi="宋体" w:cs="宋体" w:eastAsia="宋体" w:hint="default"/>
          <w:sz w:val="24"/>
          <w:szCs w:val="24"/>
        </w:rPr>
        <w:t>（四）董事会日常工作情况 </w:t>
      </w:r>
      <w:r>
        <w:rPr>
          <w:rFonts w:ascii="宋体" w:hAnsi="宋体" w:cs="宋体" w:eastAsia="宋体" w:hint="default"/>
          <w:sz w:val="24"/>
          <w:szCs w:val="24"/>
        </w:rPr>
        <w:t>1</w:t>
      </w:r>
      <w:r>
        <w:rPr>
          <w:rFonts w:ascii="宋体" w:hAnsi="宋体" w:cs="宋体" w:eastAsia="宋体" w:hint="default"/>
          <w:sz w:val="24"/>
          <w:szCs w:val="24"/>
        </w:rPr>
        <w:t>、报告期内董事会的会议情况及决议内容</w:t>
      </w:r>
    </w:p>
    <w:p>
      <w:pPr>
        <w:spacing w:after="0" w:line="357" w:lineRule="auto"/>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143" w:right="1750" w:firstLine="480"/>
        <w:jc w:val="left"/>
        <w:rPr>
          <w:rFonts w:ascii="宋体" w:hAnsi="宋体" w:cs="宋体" w:eastAsia="宋体" w:hint="default"/>
          <w:sz w:val="24"/>
          <w:szCs w:val="24"/>
        </w:rPr>
      </w:pPr>
      <w:r>
        <w:rPr>
          <w:rFonts w:ascii="宋体" w:hAnsi="宋体" w:cs="宋体" w:eastAsia="宋体" w:hint="default"/>
          <w:spacing w:val="-11"/>
          <w:sz w:val="24"/>
          <w:szCs w:val="24"/>
        </w:rPr>
        <w:t>报告期内共召开</w:t>
      </w:r>
      <w:r>
        <w:rPr>
          <w:rFonts w:ascii="宋体" w:hAnsi="宋体" w:cs="宋体" w:eastAsia="宋体" w:hint="default"/>
          <w:spacing w:val="-11"/>
          <w:sz w:val="24"/>
          <w:szCs w:val="24"/>
        </w:rPr>
        <w:t>9</w:t>
      </w:r>
      <w:r>
        <w:rPr>
          <w:rFonts w:ascii="宋体" w:hAnsi="宋体" w:cs="宋体" w:eastAsia="宋体" w:hint="default"/>
          <w:spacing w:val="-11"/>
          <w:sz w:val="24"/>
          <w:szCs w:val="24"/>
        </w:rPr>
        <w:t>次董事会，所有公告均刊登在《中国证券报》、《证券时报》、巨</w:t>
      </w:r>
      <w:r>
        <w:rPr>
          <w:rFonts w:ascii="宋体" w:hAnsi="宋体" w:cs="宋体" w:eastAsia="宋体" w:hint="default"/>
          <w:sz w:val="24"/>
          <w:szCs w:val="24"/>
        </w:rPr>
        <w:t> 潮资讯网（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line="240" w:lineRule="auto" w:before="11"/>
        <w:rPr>
          <w:rFonts w:ascii="宋体" w:hAnsi="宋体" w:cs="宋体" w:eastAsia="宋体" w:hint="default"/>
          <w:sz w:val="5"/>
          <w:szCs w:val="5"/>
        </w:rPr>
      </w:pPr>
    </w:p>
    <w:tbl>
      <w:tblPr>
        <w:tblW w:w="0" w:type="auto"/>
        <w:jc w:val="left"/>
        <w:tblInd w:w="244" w:type="dxa"/>
        <w:tblLayout w:type="fixed"/>
        <w:tblCellMar>
          <w:top w:w="0" w:type="dxa"/>
          <w:left w:w="0" w:type="dxa"/>
          <w:bottom w:w="0" w:type="dxa"/>
          <w:right w:w="0" w:type="dxa"/>
        </w:tblCellMar>
        <w:tblLook w:val="01E0"/>
      </w:tblPr>
      <w:tblGrid>
        <w:gridCol w:w="1574"/>
        <w:gridCol w:w="1366"/>
        <w:gridCol w:w="4935"/>
        <w:gridCol w:w="1366"/>
      </w:tblGrid>
      <w:tr>
        <w:trPr>
          <w:trHeight w:val="77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董事会届次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467" w:right="149" w:hanging="317"/>
              <w:jc w:val="left"/>
              <w:rPr>
                <w:rFonts w:ascii="宋体" w:hAnsi="宋体" w:cs="宋体" w:eastAsia="宋体" w:hint="default"/>
                <w:sz w:val="21"/>
                <w:szCs w:val="21"/>
              </w:rPr>
            </w:pPr>
            <w:r>
              <w:rPr>
                <w:rFonts w:ascii="宋体" w:hAnsi="宋体" w:cs="宋体" w:eastAsia="宋体" w:hint="default"/>
                <w:sz w:val="21"/>
                <w:szCs w:val="21"/>
              </w:rPr>
              <w:t>董事会会议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董事会议题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256" w:right="149" w:hanging="106"/>
              <w:jc w:val="left"/>
              <w:rPr>
                <w:rFonts w:ascii="宋体" w:hAnsi="宋体" w:cs="宋体" w:eastAsia="宋体" w:hint="default"/>
                <w:sz w:val="21"/>
                <w:szCs w:val="21"/>
              </w:rPr>
            </w:pPr>
            <w:r>
              <w:rPr>
                <w:rFonts w:ascii="宋体" w:hAnsi="宋体" w:cs="宋体" w:eastAsia="宋体" w:hint="default"/>
                <w:sz w:val="21"/>
                <w:szCs w:val="21"/>
              </w:rPr>
              <w:t>董事会决议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公告时间</w:t>
            </w:r>
          </w:p>
        </w:tc>
      </w:tr>
      <w:tr>
        <w:trPr>
          <w:trHeight w:val="100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六届七次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2010.02.08</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88"/>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审</w:t>
            </w:r>
            <w:r>
              <w:rPr>
                <w:rFonts w:ascii="宋体" w:hAnsi="宋体" w:cs="宋体" w:eastAsia="宋体" w:hint="default"/>
                <w:w w:val="100"/>
                <w:sz w:val="21"/>
                <w:szCs w:val="21"/>
              </w:rPr>
              <w:t>计机</w:t>
            </w:r>
            <w:r>
              <w:rPr>
                <w:rFonts w:ascii="宋体" w:hAnsi="宋体" w:cs="宋体" w:eastAsia="宋体" w:hint="default"/>
                <w:spacing w:val="-3"/>
                <w:w w:val="100"/>
                <w:sz w:val="21"/>
                <w:szCs w:val="21"/>
              </w:rPr>
              <w:t>构</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年</w:t>
            </w:r>
            <w:r>
              <w:rPr>
                <w:rFonts w:ascii="宋体" w:hAnsi="宋体" w:cs="宋体" w:eastAsia="宋体" w:hint="default"/>
                <w:w w:val="100"/>
                <w:sz w:val="21"/>
                <w:szCs w:val="21"/>
              </w:rPr>
              <w:t>报</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差</w:t>
            </w:r>
            <w:r>
              <w:rPr>
                <w:rFonts w:ascii="宋体" w:hAnsi="宋体" w:cs="宋体" w:eastAsia="宋体" w:hint="default"/>
                <w:w w:val="100"/>
                <w:sz w:val="21"/>
                <w:szCs w:val="21"/>
              </w:rPr>
              <w:t>错责</w:t>
            </w:r>
            <w:r>
              <w:rPr>
                <w:rFonts w:ascii="宋体" w:hAnsi="宋体" w:cs="宋体" w:eastAsia="宋体" w:hint="default"/>
                <w:spacing w:val="-3"/>
                <w:w w:val="100"/>
                <w:sz w:val="21"/>
                <w:szCs w:val="21"/>
              </w:rPr>
              <w:t>任</w:t>
            </w:r>
            <w:r>
              <w:rPr>
                <w:rFonts w:ascii="宋体" w:hAnsi="宋体" w:cs="宋体" w:eastAsia="宋体" w:hint="default"/>
                <w:w w:val="100"/>
                <w:sz w:val="21"/>
                <w:szCs w:val="21"/>
              </w:rPr>
              <w:t>追</w:t>
            </w:r>
            <w:r>
              <w:rPr>
                <w:rFonts w:ascii="宋体" w:hAnsi="宋体" w:cs="宋体" w:eastAsia="宋体" w:hint="default"/>
                <w:spacing w:val="-3"/>
                <w:w w:val="100"/>
                <w:sz w:val="21"/>
                <w:szCs w:val="21"/>
              </w:rPr>
              <w:t>究</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第一</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2010.02.09</w:t>
            </w:r>
          </w:p>
        </w:tc>
      </w:tr>
      <w:tr>
        <w:trPr>
          <w:trHeight w:val="69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六届八次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宋体" w:hAnsi="宋体" w:cs="宋体" w:eastAsia="宋体" w:hint="default"/>
                <w:sz w:val="21"/>
                <w:szCs w:val="21"/>
              </w:rPr>
            </w:pPr>
            <w:r>
              <w:rPr>
                <w:rFonts w:ascii="宋体"/>
                <w:sz w:val="21"/>
              </w:rPr>
              <w:t>2010.03.18</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w w:val="100"/>
                <w:sz w:val="21"/>
                <w:szCs w:val="21"/>
              </w:rPr>
              <w:t>工</w:t>
            </w:r>
            <w:r>
              <w:rPr>
                <w:rFonts w:ascii="宋体" w:hAnsi="宋体" w:cs="宋体" w:eastAsia="宋体" w:hint="default"/>
                <w:spacing w:val="-3"/>
                <w:w w:val="100"/>
                <w:sz w:val="21"/>
                <w:szCs w:val="21"/>
              </w:rPr>
              <w:t>作报</w:t>
            </w:r>
            <w:r>
              <w:rPr>
                <w:rFonts w:ascii="宋体" w:hAnsi="宋体" w:cs="宋体" w:eastAsia="宋体" w:hint="default"/>
                <w:w w:val="100"/>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算报</w:t>
            </w:r>
            <w:r>
              <w:rPr>
                <w:rFonts w:ascii="宋体" w:hAnsi="宋体" w:cs="宋体" w:eastAsia="宋体" w:hint="default"/>
                <w:w w:val="100"/>
                <w:sz w:val="21"/>
                <w:szCs w:val="21"/>
              </w:rPr>
              <w:t>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及报</w:t>
            </w:r>
            <w:r>
              <w:rPr>
                <w:rFonts w:ascii="宋体" w:hAnsi="宋体" w:cs="宋体" w:eastAsia="宋体" w:hint="default"/>
                <w:w w:val="100"/>
                <w:sz w:val="21"/>
                <w:szCs w:val="21"/>
              </w:rPr>
              <w:t>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配预</w:t>
            </w:r>
            <w:r>
              <w:rPr>
                <w:rFonts w:ascii="宋体" w:hAnsi="宋体" w:cs="宋体" w:eastAsia="宋体" w:hint="default"/>
                <w:w w:val="100"/>
                <w:sz w:val="21"/>
                <w:szCs w:val="21"/>
              </w:rPr>
              <w:t>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部控</w:t>
            </w:r>
            <w:r>
              <w:rPr>
                <w:rFonts w:ascii="宋体" w:hAnsi="宋体" w:cs="宋体" w:eastAsia="宋体" w:hint="default"/>
                <w:w w:val="100"/>
                <w:sz w:val="21"/>
                <w:szCs w:val="21"/>
              </w:rPr>
              <w:t>制自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增</w:t>
            </w:r>
            <w:r>
              <w:rPr>
                <w:rFonts w:ascii="宋体" w:hAnsi="宋体" w:cs="宋体" w:eastAsia="宋体" w:hint="default"/>
                <w:w w:val="100"/>
                <w:sz w:val="21"/>
                <w:szCs w:val="21"/>
              </w:rPr>
              <w:t>补</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提</w:t>
            </w:r>
            <w:r>
              <w:rPr>
                <w:rFonts w:ascii="宋体" w:hAnsi="宋体" w:cs="宋体" w:eastAsia="宋体" w:hint="default"/>
                <w:w w:val="100"/>
                <w:sz w:val="21"/>
                <w:szCs w:val="21"/>
              </w:rPr>
              <w:t>供担</w:t>
            </w:r>
            <w:r>
              <w:rPr>
                <w:rFonts w:ascii="宋体" w:hAnsi="宋体" w:cs="宋体" w:eastAsia="宋体" w:hint="default"/>
                <w:spacing w:val="-3"/>
                <w:w w:val="100"/>
                <w:sz w:val="21"/>
                <w:szCs w:val="21"/>
              </w:rPr>
              <w:t>保</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w w:val="100"/>
                <w:sz w:val="21"/>
                <w:szCs w:val="21"/>
              </w:rPr>
              <w:t>9</w:t>
            </w:r>
            <w:r>
              <w:rPr>
                <w:rFonts w:ascii="宋体" w:hAnsi="宋体" w:cs="宋体" w:eastAsia="宋体" w:hint="default"/>
                <w:spacing w:val="-2"/>
                <w:w w:val="100"/>
                <w:sz w:val="21"/>
                <w:szCs w:val="21"/>
              </w:rPr>
              <w:t>、《公司子公司为华立集团股份有限公司及其子公</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司提供担保额度的议案》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借</w:t>
            </w:r>
            <w:r>
              <w:rPr>
                <w:rFonts w:ascii="宋体" w:hAnsi="宋体" w:cs="宋体" w:eastAsia="宋体" w:hint="default"/>
                <w:spacing w:val="-3"/>
                <w:w w:val="100"/>
                <w:sz w:val="21"/>
                <w:szCs w:val="21"/>
              </w:rPr>
              <w:t>款收</w:t>
            </w:r>
            <w:r>
              <w:rPr>
                <w:rFonts w:ascii="宋体" w:hAnsi="宋体" w:cs="宋体" w:eastAsia="宋体" w:hint="default"/>
                <w:w w:val="100"/>
                <w:sz w:val="21"/>
                <w:szCs w:val="21"/>
              </w:rPr>
              <w:t>取担</w:t>
            </w:r>
            <w:r>
              <w:rPr>
                <w:rFonts w:ascii="宋体" w:hAnsi="宋体" w:cs="宋体" w:eastAsia="宋体" w:hint="default"/>
                <w:spacing w:val="-3"/>
                <w:w w:val="100"/>
                <w:sz w:val="21"/>
                <w:szCs w:val="21"/>
              </w:rPr>
              <w:t>保</w:t>
            </w:r>
            <w:r>
              <w:rPr>
                <w:rFonts w:ascii="宋体" w:hAnsi="宋体" w:cs="宋体" w:eastAsia="宋体" w:hint="default"/>
                <w:w w:val="100"/>
                <w:sz w:val="21"/>
                <w:szCs w:val="21"/>
              </w:rPr>
              <w:t>费</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2"/>
                <w:w w:val="100"/>
                <w:sz w:val="21"/>
                <w:szCs w:val="21"/>
              </w:rPr>
              <w:t>11</w:t>
            </w:r>
            <w:r>
              <w:rPr>
                <w:rFonts w:ascii="宋体" w:hAnsi="宋体" w:cs="宋体" w:eastAsia="宋体" w:hint="default"/>
                <w:spacing w:val="2"/>
                <w:w w:val="100"/>
                <w:sz w:val="21"/>
                <w:szCs w:val="21"/>
              </w:rPr>
              <w:t>、《关于授权公司向华立集团股份有限公司融资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的议案》</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计</w:t>
            </w:r>
            <w:r>
              <w:rPr>
                <w:rFonts w:ascii="宋体" w:hAnsi="宋体" w:cs="宋体" w:eastAsia="宋体" w:hint="default"/>
                <w:spacing w:val="-3"/>
                <w:w w:val="100"/>
                <w:sz w:val="21"/>
                <w:szCs w:val="21"/>
              </w:rPr>
              <w:t>提</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准</w:t>
            </w:r>
            <w:r>
              <w:rPr>
                <w:rFonts w:ascii="宋体" w:hAnsi="宋体" w:cs="宋体" w:eastAsia="宋体" w:hint="default"/>
                <w:spacing w:val="-3"/>
                <w:w w:val="100"/>
                <w:sz w:val="21"/>
                <w:szCs w:val="21"/>
              </w:rPr>
              <w:t>备的</w:t>
            </w:r>
            <w:r>
              <w:rPr>
                <w:rFonts w:ascii="宋体" w:hAnsi="宋体" w:cs="宋体" w:eastAsia="宋体" w:hint="default"/>
                <w:w w:val="100"/>
                <w:sz w:val="21"/>
                <w:szCs w:val="21"/>
              </w:rPr>
              <w:t>议案》</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5"/>
                <w:w w:val="100"/>
                <w:sz w:val="21"/>
                <w:szCs w:val="21"/>
              </w:rPr>
              <w:t>13</w:t>
            </w:r>
            <w:r>
              <w:rPr>
                <w:rFonts w:ascii="宋体" w:hAnsi="宋体" w:cs="宋体" w:eastAsia="宋体" w:hint="default"/>
                <w:spacing w:val="-15"/>
                <w:w w:val="100"/>
                <w:sz w:val="21"/>
                <w:szCs w:val="21"/>
              </w:rPr>
              <w:t>、《华立仪表</w:t>
            </w:r>
            <w:r>
              <w:rPr>
                <w:rFonts w:ascii="宋体" w:hAnsi="宋体" w:cs="宋体" w:eastAsia="宋体" w:hint="default"/>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年度向关联方出租资产的日常</w:t>
            </w:r>
            <w:r>
              <w:rPr>
                <w:rFonts w:ascii="宋体" w:hAnsi="宋体" w:cs="宋体" w:eastAsia="宋体" w:hint="default"/>
                <w:w w:val="100"/>
                <w:sz w:val="21"/>
                <w:szCs w:val="21"/>
              </w:rPr>
              <w:t> </w:t>
            </w:r>
            <w:r>
              <w:rPr>
                <w:rFonts w:ascii="宋体" w:hAnsi="宋体" w:cs="宋体" w:eastAsia="宋体" w:hint="default"/>
                <w:sz w:val="21"/>
                <w:szCs w:val="21"/>
              </w:rPr>
              <w:t>关联交易议案》</w:t>
            </w:r>
          </w:p>
          <w:p>
            <w:pPr>
              <w:pStyle w:val="TableParagraph"/>
              <w:spacing w:line="27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14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日常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预</w:t>
            </w:r>
            <w:r>
              <w:rPr>
                <w:rFonts w:ascii="宋体" w:hAnsi="宋体" w:cs="宋体" w:eastAsia="宋体" w:hint="default"/>
                <w:w w:val="100"/>
                <w:sz w:val="21"/>
                <w:szCs w:val="21"/>
              </w:rPr>
              <w:t>估</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2"/>
                <w:w w:val="100"/>
                <w:sz w:val="21"/>
                <w:szCs w:val="21"/>
              </w:rPr>
              <w:t>案</w:t>
            </w:r>
            <w:r>
              <w:rPr>
                <w:rFonts w:ascii="宋体" w:hAnsi="宋体" w:cs="宋体" w:eastAsia="宋体" w:hint="default"/>
                <w:w w:val="100"/>
                <w:sz w:val="21"/>
                <w:szCs w:val="21"/>
              </w:rPr>
              <w:t>》</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2"/>
                <w:w w:val="100"/>
                <w:sz w:val="21"/>
                <w:szCs w:val="21"/>
              </w:rPr>
              <w:t>15</w:t>
            </w:r>
            <w:r>
              <w:rPr>
                <w:rFonts w:ascii="宋体" w:hAnsi="宋体" w:cs="宋体" w:eastAsia="宋体" w:hint="default"/>
                <w:spacing w:val="2"/>
                <w:w w:val="100"/>
                <w:sz w:val="21"/>
                <w:szCs w:val="21"/>
              </w:rPr>
              <w:t>、《关于转让子公司云南工业大麻股份有限公司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股权的议案》</w:t>
            </w:r>
            <w:r>
              <w:rPr>
                <w:rFonts w:ascii="宋体" w:hAnsi="宋体" w:cs="宋体" w:eastAsia="宋体" w:hint="default"/>
                <w:w w:val="100"/>
                <w:sz w:val="21"/>
                <w:szCs w:val="21"/>
              </w:rPr>
              <w:t> </w:t>
            </w:r>
            <w:r>
              <w:rPr>
                <w:rFonts w:ascii="宋体" w:hAnsi="宋体" w:cs="宋体" w:eastAsia="宋体" w:hint="default"/>
                <w:spacing w:val="-7"/>
                <w:w w:val="100"/>
                <w:sz w:val="21"/>
                <w:szCs w:val="21"/>
              </w:rPr>
              <w:t>16</w:t>
            </w:r>
            <w:r>
              <w:rPr>
                <w:rFonts w:ascii="宋体" w:hAnsi="宋体" w:cs="宋体" w:eastAsia="宋体" w:hint="default"/>
                <w:spacing w:val="-7"/>
                <w:w w:val="100"/>
                <w:sz w:val="21"/>
                <w:szCs w:val="21"/>
              </w:rPr>
              <w:t>、《内幕信息知情人登记备案制度》</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外</w:t>
            </w:r>
            <w:r>
              <w:rPr>
                <w:rFonts w:ascii="宋体" w:hAnsi="宋体" w:cs="宋体" w:eastAsia="宋体" w:hint="default"/>
                <w:spacing w:val="-3"/>
                <w:w w:val="100"/>
                <w:sz w:val="21"/>
                <w:szCs w:val="21"/>
              </w:rPr>
              <w:t>部</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报</w:t>
            </w:r>
            <w:r>
              <w:rPr>
                <w:rFonts w:ascii="宋体" w:hAnsi="宋体" w:cs="宋体" w:eastAsia="宋体" w:hint="default"/>
                <w:spacing w:val="-3"/>
                <w:w w:val="100"/>
                <w:sz w:val="21"/>
                <w:szCs w:val="21"/>
              </w:rPr>
              <w:t>送</w:t>
            </w:r>
            <w:r>
              <w:rPr>
                <w:rFonts w:ascii="宋体" w:hAnsi="宋体" w:cs="宋体" w:eastAsia="宋体" w:hint="default"/>
                <w:w w:val="100"/>
                <w:sz w:val="21"/>
                <w:szCs w:val="21"/>
              </w:rPr>
              <w:t>和</w:t>
            </w:r>
            <w:r>
              <w:rPr>
                <w:rFonts w:ascii="宋体" w:hAnsi="宋体" w:cs="宋体" w:eastAsia="宋体" w:hint="default"/>
                <w:spacing w:val="-3"/>
                <w:w w:val="100"/>
                <w:sz w:val="21"/>
                <w:szCs w:val="21"/>
              </w:rPr>
              <w:t>使用</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选</w:t>
            </w:r>
            <w:r>
              <w:rPr>
                <w:rFonts w:ascii="宋体" w:hAnsi="宋体" w:cs="宋体" w:eastAsia="宋体" w:hint="default"/>
                <w:spacing w:val="-3"/>
                <w:w w:val="100"/>
                <w:sz w:val="21"/>
                <w:szCs w:val="21"/>
              </w:rPr>
              <w:t>聘制</w:t>
            </w:r>
            <w:r>
              <w:rPr>
                <w:rFonts w:ascii="宋体" w:hAnsi="宋体" w:cs="宋体" w:eastAsia="宋体" w:hint="default"/>
                <w:w w:val="100"/>
                <w:sz w:val="21"/>
                <w:szCs w:val="21"/>
              </w:rPr>
              <w:t>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19</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机</w:t>
            </w:r>
            <w:r>
              <w:rPr>
                <w:rFonts w:ascii="宋体" w:hAnsi="宋体" w:cs="宋体" w:eastAsia="宋体" w:hint="default"/>
                <w:spacing w:val="-3"/>
                <w:w w:val="100"/>
                <w:sz w:val="21"/>
                <w:szCs w:val="21"/>
              </w:rPr>
              <w:t>构从</w:t>
            </w:r>
            <w:r>
              <w:rPr>
                <w:rFonts w:ascii="宋体" w:hAnsi="宋体" w:cs="宋体" w:eastAsia="宋体" w:hint="default"/>
                <w:w w:val="100"/>
                <w:sz w:val="21"/>
                <w:szCs w:val="21"/>
              </w:rPr>
              <w:t>事</w:t>
            </w:r>
            <w:r>
              <w:rPr>
                <w:rFonts w:ascii="宋体" w:hAnsi="宋体" w:cs="宋体" w:eastAsia="宋体" w:hint="default"/>
                <w:spacing w:val="-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9</w:t>
            </w:r>
            <w:r>
              <w:rPr>
                <w:rFonts w:ascii="宋体" w:hAnsi="宋体" w:cs="宋体" w:eastAsia="宋体" w:hint="default"/>
                <w:spacing w:val="-5"/>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总</w:t>
            </w:r>
            <w:r>
              <w:rPr>
                <w:rFonts w:ascii="宋体" w:hAnsi="宋体" w:cs="宋体" w:eastAsia="宋体" w:hint="default"/>
                <w:w w:val="100"/>
                <w:sz w:val="21"/>
                <w:szCs w:val="21"/>
              </w:rPr>
              <w:t>结报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告及聘请公司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年度审计机构的议案》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召开</w:t>
            </w:r>
            <w:r>
              <w:rPr>
                <w:rFonts w:ascii="宋体" w:hAnsi="宋体" w:cs="宋体" w:eastAsia="宋体" w:hint="default"/>
                <w:spacing w:val="-55"/>
                <w:sz w:val="21"/>
                <w:szCs w:val="21"/>
              </w:rPr>
              <w:t> </w:t>
            </w:r>
            <w:r>
              <w:rPr>
                <w:rFonts w:ascii="宋体" w:hAnsi="宋体" w:cs="宋体" w:eastAsia="宋体" w:hint="default"/>
                <w:w w:val="100"/>
                <w:sz w:val="21"/>
                <w:szCs w:val="21"/>
              </w:rPr>
              <w:t>2009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2010.03.20</w:t>
            </w:r>
          </w:p>
        </w:tc>
      </w:tr>
      <w:tr>
        <w:trPr>
          <w:trHeight w:val="52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六届九次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2010.04.08</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《关于聘任公司财务总监的议案》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2010.04.10</w:t>
            </w:r>
          </w:p>
        </w:tc>
      </w:tr>
      <w:tr>
        <w:trPr>
          <w:trHeight w:val="183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六届十次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2010.04.26</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9"/>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美</w:t>
            </w:r>
            <w:r>
              <w:rPr>
                <w:rFonts w:ascii="宋体" w:hAnsi="宋体" w:cs="宋体" w:eastAsia="宋体" w:hint="default"/>
                <w:w w:val="100"/>
                <w:sz w:val="21"/>
                <w:szCs w:val="21"/>
              </w:rPr>
              <w:t>联</w:t>
            </w:r>
            <w:r>
              <w:rPr>
                <w:rFonts w:ascii="宋体" w:hAnsi="宋体" w:cs="宋体" w:eastAsia="宋体" w:hint="default"/>
                <w:spacing w:val="-3"/>
                <w:w w:val="100"/>
                <w:sz w:val="21"/>
                <w:szCs w:val="21"/>
              </w:rPr>
              <w:t>制</w:t>
            </w:r>
            <w:r>
              <w:rPr>
                <w:rFonts w:ascii="宋体" w:hAnsi="宋体" w:cs="宋体" w:eastAsia="宋体" w:hint="default"/>
                <w:w w:val="100"/>
                <w:sz w:val="21"/>
                <w:szCs w:val="21"/>
              </w:rPr>
              <w:t>药有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37" w:lineRule="auto" w:before="2"/>
              <w:ind w:left="103" w:right="104"/>
              <w:jc w:val="left"/>
              <w:rPr>
                <w:rFonts w:ascii="宋体" w:hAnsi="宋体" w:cs="宋体" w:eastAsia="宋体" w:hint="default"/>
                <w:sz w:val="21"/>
                <w:szCs w:val="21"/>
              </w:rPr>
            </w:pPr>
            <w:r>
              <w:rPr>
                <w:rFonts w:ascii="宋体" w:hAnsi="宋体" w:cs="宋体" w:eastAsia="宋体" w:hint="default"/>
                <w:spacing w:val="-2"/>
                <w:w w:val="100"/>
                <w:sz w:val="21"/>
                <w:szCs w:val="21"/>
              </w:rPr>
              <w:t>2</w:t>
            </w:r>
            <w:r>
              <w:rPr>
                <w:rFonts w:ascii="宋体" w:hAnsi="宋体" w:cs="宋体" w:eastAsia="宋体" w:hint="default"/>
                <w:spacing w:val="-2"/>
                <w:w w:val="100"/>
                <w:sz w:val="21"/>
                <w:szCs w:val="21"/>
              </w:rPr>
              <w:t>、《关于转让洪雅美联曼地亚红豆杉种植有限公司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股权的议案》</w:t>
            </w:r>
            <w:r>
              <w:rPr>
                <w:rFonts w:ascii="宋体" w:hAnsi="宋体" w:cs="宋体" w:eastAsia="宋体" w:hint="default"/>
                <w:w w:val="100"/>
                <w:sz w:val="21"/>
                <w:szCs w:val="21"/>
              </w:rPr>
              <w:t> </w:t>
            </w:r>
            <w:r>
              <w:rPr>
                <w:rFonts w:ascii="宋体" w:hAnsi="宋体" w:cs="宋体" w:eastAsia="宋体" w:hint="default"/>
                <w:spacing w:val="-2"/>
                <w:w w:val="100"/>
                <w:sz w:val="21"/>
                <w:szCs w:val="21"/>
              </w:rPr>
              <w:t>3</w:t>
            </w:r>
            <w:r>
              <w:rPr>
                <w:rFonts w:ascii="宋体" w:hAnsi="宋体" w:cs="宋体" w:eastAsia="宋体" w:hint="default"/>
                <w:spacing w:val="-2"/>
                <w:w w:val="100"/>
                <w:sz w:val="21"/>
                <w:szCs w:val="21"/>
              </w:rPr>
              <w:t>、《关于转让广州市华立健药业有限公司股权的议</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季度</w:t>
            </w:r>
            <w:r>
              <w:rPr>
                <w:rFonts w:ascii="宋体" w:hAnsi="宋体" w:cs="宋体" w:eastAsia="宋体" w:hint="default"/>
                <w:w w:val="100"/>
                <w:sz w:val="21"/>
                <w:szCs w:val="21"/>
              </w:rPr>
              <w:t>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2010.04.27</w:t>
            </w:r>
          </w:p>
        </w:tc>
      </w:tr>
    </w:tbl>
    <w:p>
      <w:pPr>
        <w:spacing w:after="0" w:line="240" w:lineRule="auto"/>
        <w:jc w:val="center"/>
        <w:rPr>
          <w:rFonts w:ascii="宋体" w:hAnsi="宋体" w:cs="宋体" w:eastAsia="宋体" w:hint="default"/>
          <w:sz w:val="21"/>
          <w:szCs w:val="21"/>
        </w:rPr>
        <w:sectPr>
          <w:pgSz w:w="11910" w:h="16840"/>
          <w:pgMar w:header="752" w:footer="955" w:top="1020" w:bottom="1140" w:left="11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38" w:type="dxa"/>
        <w:tblLayout w:type="fixed"/>
        <w:tblCellMar>
          <w:top w:w="0" w:type="dxa"/>
          <w:left w:w="0" w:type="dxa"/>
          <w:bottom w:w="0" w:type="dxa"/>
          <w:right w:w="0" w:type="dxa"/>
        </w:tblCellMar>
        <w:tblLook w:val="01E0"/>
      </w:tblPr>
      <w:tblGrid>
        <w:gridCol w:w="1574"/>
        <w:gridCol w:w="1366"/>
        <w:gridCol w:w="4935"/>
        <w:gridCol w:w="1366"/>
      </w:tblGrid>
      <w:tr>
        <w:trPr>
          <w:trHeight w:val="2638"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六届十一次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2010.08.30</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03" w:right="104"/>
              <w:jc w:val="left"/>
              <w:rPr>
                <w:rFonts w:ascii="宋体" w:hAnsi="宋体" w:cs="宋体" w:eastAsia="宋体" w:hint="default"/>
                <w:sz w:val="21"/>
                <w:szCs w:val="21"/>
              </w:rPr>
            </w:pP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、《关于转让子公司华立科泰股权及收购子公司华</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立仪表股权的议案》</w:t>
            </w:r>
            <w:r>
              <w:rPr>
                <w:rFonts w:ascii="宋体" w:hAnsi="宋体" w:cs="宋体" w:eastAsia="宋体" w:hint="default"/>
                <w:w w:val="100"/>
                <w:sz w:val="21"/>
                <w:szCs w:val="21"/>
              </w:rPr>
              <w:t> </w:t>
            </w:r>
            <w:r>
              <w:rPr>
                <w:rFonts w:ascii="宋体" w:hAnsi="宋体" w:cs="宋体" w:eastAsia="宋体" w:hint="default"/>
                <w:spacing w:val="-2"/>
                <w:w w:val="100"/>
                <w:sz w:val="21"/>
                <w:szCs w:val="21"/>
              </w:rPr>
              <w:t>2</w:t>
            </w:r>
            <w:r>
              <w:rPr>
                <w:rFonts w:ascii="宋体" w:hAnsi="宋体" w:cs="宋体" w:eastAsia="宋体" w:hint="default"/>
                <w:spacing w:val="-2"/>
                <w:w w:val="100"/>
                <w:sz w:val="21"/>
                <w:szCs w:val="21"/>
              </w:rPr>
              <w:t>、《关于变更公司名称、证券简称、经营范围的议</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告及</w:t>
            </w:r>
            <w:r>
              <w:rPr>
                <w:rFonts w:ascii="宋体" w:hAnsi="宋体" w:cs="宋体" w:eastAsia="宋体" w:hint="default"/>
                <w:w w:val="100"/>
                <w:sz w:val="21"/>
                <w:szCs w:val="21"/>
              </w:rPr>
              <w:t>报告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调</w:t>
            </w:r>
            <w:r>
              <w:rPr>
                <w:rFonts w:ascii="宋体" w:hAnsi="宋体" w:cs="宋体" w:eastAsia="宋体" w:hint="default"/>
                <w:w w:val="100"/>
                <w:sz w:val="21"/>
                <w:szCs w:val="21"/>
              </w:rPr>
              <w:t>整</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spacing w:val="-1"/>
                <w:w w:val="100"/>
                <w:sz w:val="21"/>
                <w:szCs w:val="21"/>
              </w:rPr>
              <w:t>改</w:t>
            </w:r>
            <w:r>
              <w:rPr>
                <w:rFonts w:ascii="宋体" w:hAnsi="宋体" w:cs="宋体" w:eastAsia="宋体" w:hint="default"/>
                <w:spacing w:val="-3"/>
                <w:w w:val="100"/>
                <w:sz w:val="21"/>
                <w:szCs w:val="21"/>
              </w:rPr>
              <w:t>&lt;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章程</w:t>
            </w:r>
            <w:r>
              <w:rPr>
                <w:rFonts w:ascii="宋体" w:hAnsi="宋体" w:cs="宋体" w:eastAsia="宋体" w:hint="default"/>
                <w:spacing w:val="-3"/>
                <w:w w:val="100"/>
                <w:sz w:val="21"/>
                <w:szCs w:val="21"/>
              </w:rPr>
              <w:t>&gt;</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第二</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2010.08.31</w:t>
            </w:r>
          </w:p>
        </w:tc>
      </w:tr>
      <w:tr>
        <w:trPr>
          <w:trHeight w:val="48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2"/>
              <w:jc w:val="right"/>
              <w:rPr>
                <w:rFonts w:ascii="宋体" w:hAnsi="宋体" w:cs="宋体" w:eastAsia="宋体" w:hint="default"/>
                <w:sz w:val="21"/>
                <w:szCs w:val="21"/>
              </w:rPr>
            </w:pPr>
            <w:r>
              <w:rPr>
                <w:rFonts w:ascii="宋体" w:hAnsi="宋体" w:cs="宋体" w:eastAsia="宋体" w:hint="default"/>
                <w:spacing w:val="-1"/>
                <w:sz w:val="21"/>
                <w:szCs w:val="21"/>
              </w:rPr>
              <w:t>六届十二次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2010.09.21</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选</w:t>
            </w:r>
            <w:r>
              <w:rPr>
                <w:rFonts w:ascii="宋体" w:hAnsi="宋体" w:cs="宋体" w:eastAsia="宋体" w:hint="default"/>
                <w:w w:val="100"/>
                <w:sz w:val="21"/>
                <w:szCs w:val="21"/>
              </w:rPr>
              <w:t>举</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长</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2010.09.27</w:t>
            </w:r>
          </w:p>
        </w:tc>
      </w:tr>
      <w:tr>
        <w:trPr>
          <w:trHeight w:val="108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六届十三次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2010.10.14</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104"/>
              <w:jc w:val="left"/>
              <w:rPr>
                <w:rFonts w:ascii="宋体" w:hAnsi="宋体" w:cs="宋体" w:eastAsia="宋体" w:hint="default"/>
                <w:sz w:val="21"/>
                <w:szCs w:val="21"/>
              </w:rPr>
            </w:pP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、《关于转让子公司华立科泰股权及收购子公司华</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立仪表股权的议案》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第三</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2010.10.20</w:t>
            </w:r>
          </w:p>
        </w:tc>
      </w:tr>
      <w:tr>
        <w:trPr>
          <w:trHeight w:val="4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2"/>
              <w:jc w:val="right"/>
              <w:rPr>
                <w:rFonts w:ascii="宋体" w:hAnsi="宋体" w:cs="宋体" w:eastAsia="宋体" w:hint="default"/>
                <w:sz w:val="21"/>
                <w:szCs w:val="21"/>
              </w:rPr>
            </w:pPr>
            <w:r>
              <w:rPr>
                <w:rFonts w:ascii="宋体" w:hAnsi="宋体" w:cs="宋体" w:eastAsia="宋体" w:hint="default"/>
                <w:spacing w:val="-1"/>
                <w:sz w:val="21"/>
                <w:szCs w:val="21"/>
              </w:rPr>
              <w:t>六届十四次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2010.10.28</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年第三季度报告》</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2"/>
              <w:jc w:val="right"/>
              <w:rPr>
                <w:rFonts w:ascii="宋体" w:hAnsi="宋体" w:cs="宋体" w:eastAsia="宋体" w:hint="default"/>
                <w:sz w:val="21"/>
                <w:szCs w:val="21"/>
              </w:rPr>
            </w:pPr>
            <w:r>
              <w:rPr>
                <w:rFonts w:ascii="宋体" w:hAnsi="宋体" w:cs="宋体" w:eastAsia="宋体" w:hint="default"/>
                <w:spacing w:val="-1"/>
                <w:sz w:val="21"/>
                <w:szCs w:val="21"/>
              </w:rPr>
              <w:t>六届十五次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2010.11.05</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4"/>
                <w:szCs w:val="24"/>
              </w:rPr>
            </w:pPr>
            <w:r>
              <w:rPr>
                <w:rFonts w:ascii="宋体" w:hAnsi="宋体" w:cs="宋体" w:eastAsia="宋体" w:hint="default"/>
                <w:sz w:val="24"/>
                <w:szCs w:val="24"/>
              </w:rPr>
              <w:t>《关于调整部分高管的议案》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2010.11.06</w:t>
            </w:r>
          </w:p>
        </w:tc>
      </w:tr>
    </w:tbl>
    <w:p>
      <w:pPr>
        <w:spacing w:line="357" w:lineRule="auto" w:before="79"/>
        <w:ind w:left="617" w:right="1166"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、董事会对股东大会决议的执行情况 </w:t>
      </w:r>
      <w:r>
        <w:rPr>
          <w:rFonts w:ascii="宋体" w:hAnsi="宋体" w:cs="宋体" w:eastAsia="宋体" w:hint="default"/>
          <w:spacing w:val="-2"/>
          <w:sz w:val="24"/>
          <w:szCs w:val="24"/>
        </w:rPr>
        <w:t>报告期内，公司董事会依法、诚信、认真地执行了股东大会的各项决议。股东大</w:t>
      </w:r>
    </w:p>
    <w:p>
      <w:pPr>
        <w:spacing w:line="357" w:lineRule="auto" w:before="36"/>
        <w:ind w:left="617" w:right="6169" w:hanging="480"/>
        <w:jc w:val="left"/>
        <w:rPr>
          <w:rFonts w:ascii="宋体" w:hAnsi="宋体" w:cs="宋体" w:eastAsia="宋体" w:hint="default"/>
          <w:sz w:val="24"/>
          <w:szCs w:val="24"/>
        </w:rPr>
      </w:pPr>
      <w:r>
        <w:rPr>
          <w:rFonts w:ascii="宋体" w:hAnsi="宋体" w:cs="宋体" w:eastAsia="宋体" w:hint="default"/>
          <w:sz w:val="24"/>
          <w:szCs w:val="24"/>
        </w:rPr>
        <w:t>会通过的决议，均得到了落实。 </w:t>
      </w:r>
      <w:r>
        <w:rPr>
          <w:rFonts w:ascii="宋体" w:hAnsi="宋体" w:cs="宋体" w:eastAsia="宋体" w:hint="default"/>
          <w:sz w:val="24"/>
          <w:szCs w:val="24"/>
        </w:rPr>
        <w:t>3</w:t>
      </w:r>
      <w:r>
        <w:rPr>
          <w:rFonts w:ascii="宋体" w:hAnsi="宋体" w:cs="宋体" w:eastAsia="宋体" w:hint="default"/>
          <w:sz w:val="24"/>
          <w:szCs w:val="24"/>
        </w:rPr>
        <w:t>、董事会审计委员会的履职情况</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）审计委员会严格按照相关规定开展工作，报告期内履职情况如下： </w:t>
      </w:r>
      <w:r>
        <w:rPr>
          <w:rFonts w:ascii="宋体" w:hAnsi="宋体" w:cs="宋体" w:eastAsia="宋体" w:hint="default"/>
          <w:spacing w:val="-2"/>
          <w:sz w:val="24"/>
          <w:szCs w:val="24"/>
        </w:rPr>
        <w:t>公司董事会审计委员会根据中国证监会、深圳证券交易所有关规定及公司董事会</w:t>
      </w:r>
    </w:p>
    <w:p>
      <w:pPr>
        <w:spacing w:line="357" w:lineRule="auto" w:before="36"/>
        <w:ind w:left="137" w:right="1166" w:firstLine="0"/>
        <w:jc w:val="left"/>
        <w:rPr>
          <w:rFonts w:ascii="宋体" w:hAnsi="宋体" w:cs="宋体" w:eastAsia="宋体" w:hint="default"/>
          <w:sz w:val="24"/>
          <w:szCs w:val="24"/>
        </w:rPr>
      </w:pPr>
      <w:r>
        <w:rPr>
          <w:rFonts w:ascii="宋体" w:hAnsi="宋体" w:cs="宋体" w:eastAsia="宋体" w:hint="default"/>
          <w:spacing w:val="-5"/>
          <w:sz w:val="24"/>
          <w:szCs w:val="24"/>
        </w:rPr>
        <w:t>审计委员会实施细则、公司独立董事年报工作制度、董事会审计委员会年报工作程序，</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公司董事会审计委员会本着勤勉尽责的原则，主要履行了以下工作职责：</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）审计委员会认真审阅了公司</w:t>
      </w:r>
      <w:r>
        <w:rPr>
          <w:rFonts w:ascii="宋体" w:hAnsi="宋体" w:cs="宋体" w:eastAsia="宋体" w:hint="default"/>
          <w:spacing w:val="-78"/>
          <w:sz w:val="24"/>
          <w:szCs w:val="24"/>
        </w:rPr>
        <w:t> </w:t>
      </w:r>
      <w:r>
        <w:rPr>
          <w:rFonts w:ascii="宋体" w:hAnsi="宋体" w:cs="宋体" w:eastAsia="宋体" w:hint="default"/>
          <w:sz w:val="24"/>
          <w:szCs w:val="24"/>
        </w:rPr>
        <w:t>2010</w:t>
      </w:r>
      <w:r>
        <w:rPr>
          <w:rFonts w:ascii="宋体" w:hAnsi="宋体" w:cs="宋体" w:eastAsia="宋体" w:hint="default"/>
          <w:spacing w:val="-78"/>
          <w:sz w:val="24"/>
          <w:szCs w:val="24"/>
        </w:rPr>
        <w:t> </w:t>
      </w:r>
      <w:r>
        <w:rPr>
          <w:rFonts w:ascii="宋体" w:hAnsi="宋体" w:cs="宋体" w:eastAsia="宋体" w:hint="default"/>
          <w:sz w:val="24"/>
          <w:szCs w:val="24"/>
        </w:rPr>
        <w:t>年年度审计工作计划及相关资料，与负责公</w:t>
      </w:r>
    </w:p>
    <w:p>
      <w:pPr>
        <w:spacing w:line="357" w:lineRule="auto" w:before="154"/>
        <w:ind w:left="137" w:right="1166" w:firstLine="0"/>
        <w:jc w:val="left"/>
        <w:rPr>
          <w:rFonts w:ascii="宋体" w:hAnsi="宋体" w:cs="宋体" w:eastAsia="宋体" w:hint="default"/>
          <w:sz w:val="24"/>
          <w:szCs w:val="24"/>
        </w:rPr>
      </w:pPr>
      <w:r>
        <w:rPr>
          <w:rFonts w:ascii="宋体" w:hAnsi="宋体" w:cs="宋体" w:eastAsia="宋体" w:hint="default"/>
          <w:sz w:val="24"/>
          <w:szCs w:val="24"/>
        </w:rPr>
        <w:t>司年度审计工作的天健正信会计师事务所有限公司注册会计师协商确定了公司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111"/>
          <w:sz w:val="24"/>
          <w:szCs w:val="24"/>
        </w:rPr>
        <w:t> </w:t>
      </w:r>
      <w:r>
        <w:rPr>
          <w:rFonts w:ascii="宋体" w:hAnsi="宋体" w:cs="宋体" w:eastAsia="宋体" w:hint="default"/>
          <w:sz w:val="24"/>
          <w:szCs w:val="24"/>
        </w:rPr>
        <w:t>年年度财务报告审计工作的时间安排；</w:t>
      </w:r>
    </w:p>
    <w:p>
      <w:pPr>
        <w:spacing w:line="357" w:lineRule="auto" w:before="36"/>
        <w:ind w:left="137" w:right="1303" w:firstLine="479"/>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）在年审注册会计师进场前认真审阅了公司初步编制的财务会计报表，并出具 </w:t>
      </w:r>
      <w:r>
        <w:rPr>
          <w:rFonts w:ascii="宋体" w:hAnsi="宋体" w:cs="宋体" w:eastAsia="宋体" w:hint="default"/>
          <w:sz w:val="24"/>
          <w:szCs w:val="24"/>
        </w:rPr>
        <w:t>了书面审议意见；</w:t>
      </w:r>
    </w:p>
    <w:p>
      <w:pPr>
        <w:spacing w:line="357" w:lineRule="auto" w:before="36"/>
        <w:ind w:left="137" w:right="1303" w:firstLine="479"/>
        <w:jc w:val="both"/>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）公司年审注册会计师进场后，董事会审计委员会与公司年审注册会计师就审 </w:t>
      </w:r>
      <w:r>
        <w:rPr>
          <w:rFonts w:ascii="宋体" w:hAnsi="宋体" w:cs="宋体" w:eastAsia="宋体" w:hint="default"/>
          <w:spacing w:val="-1"/>
          <w:sz w:val="24"/>
          <w:szCs w:val="24"/>
        </w:rPr>
        <w:t>计过程中发现的问题以及审计报告提交的时间进行了充分的沟通和交流，要求会计师</w:t>
      </w:r>
      <w:r>
        <w:rPr>
          <w:rFonts w:ascii="宋体" w:hAnsi="宋体" w:cs="宋体" w:eastAsia="宋体" w:hint="default"/>
          <w:sz w:val="24"/>
          <w:szCs w:val="24"/>
        </w:rPr>
        <w:t> 事务所按照审计总体工作计划尽快完成外勤审计工作；</w:t>
      </w:r>
    </w:p>
    <w:p>
      <w:pPr>
        <w:spacing w:line="357" w:lineRule="auto" w:before="36"/>
        <w:ind w:left="137" w:right="1301" w:firstLine="479"/>
        <w:jc w:val="both"/>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）公司年审注册会计师出具初步审计意见后，董事会审计委员会再一次审阅了 </w:t>
      </w:r>
      <w:r>
        <w:rPr>
          <w:rFonts w:ascii="宋体" w:hAnsi="宋体" w:cs="宋体" w:eastAsia="宋体" w:hint="default"/>
          <w:sz w:val="24"/>
          <w:szCs w:val="24"/>
        </w:rPr>
        <w:t>公司</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年年度财务会计报表，并形成书面审议意见；</w:t>
      </w:r>
    </w:p>
    <w:p>
      <w:pPr>
        <w:spacing w:after="0" w:line="357" w:lineRule="auto"/>
        <w:jc w:val="both"/>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143" w:right="1753"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）在天健正信会计师事务所有限公司出具</w:t>
      </w:r>
      <w:r>
        <w:rPr>
          <w:rFonts w:ascii="宋体" w:hAnsi="宋体" w:cs="宋体" w:eastAsia="宋体" w:hint="default"/>
          <w:spacing w:val="-77"/>
          <w:sz w:val="24"/>
          <w:szCs w:val="24"/>
        </w:rPr>
        <w:t> </w:t>
      </w:r>
      <w:r>
        <w:rPr>
          <w:rFonts w:ascii="宋体" w:hAnsi="宋体" w:cs="宋体" w:eastAsia="宋体" w:hint="default"/>
          <w:sz w:val="24"/>
          <w:szCs w:val="24"/>
        </w:rPr>
        <w:t>2010</w:t>
      </w:r>
      <w:r>
        <w:rPr>
          <w:rFonts w:ascii="宋体" w:hAnsi="宋体" w:cs="宋体" w:eastAsia="宋体" w:hint="default"/>
          <w:spacing w:val="-77"/>
          <w:sz w:val="24"/>
          <w:szCs w:val="24"/>
        </w:rPr>
        <w:t> </w:t>
      </w:r>
      <w:r>
        <w:rPr>
          <w:rFonts w:ascii="宋体" w:hAnsi="宋体" w:cs="宋体" w:eastAsia="宋体" w:hint="default"/>
          <w:sz w:val="24"/>
          <w:szCs w:val="24"/>
        </w:rPr>
        <w:t>年年度审计报告后，董事会审计 </w:t>
      </w:r>
      <w:r>
        <w:rPr>
          <w:rFonts w:ascii="宋体" w:hAnsi="宋体" w:cs="宋体" w:eastAsia="宋体" w:hint="default"/>
          <w:spacing w:val="-1"/>
          <w:sz w:val="24"/>
          <w:szCs w:val="24"/>
        </w:rPr>
        <w:t>委员会召开会议，对天健正信会计师事务所有限公司从事本年度公司的审计工作进行</w:t>
      </w:r>
      <w:r>
        <w:rPr>
          <w:rFonts w:ascii="宋体" w:hAnsi="宋体" w:cs="宋体" w:eastAsia="宋体" w:hint="default"/>
          <w:sz w:val="24"/>
          <w:szCs w:val="24"/>
        </w:rPr>
        <w:t> </w:t>
      </w:r>
      <w:r>
        <w:rPr>
          <w:rFonts w:ascii="宋体" w:hAnsi="宋体" w:cs="宋体" w:eastAsia="宋体" w:hint="default"/>
          <w:spacing w:val="-1"/>
          <w:sz w:val="24"/>
          <w:szCs w:val="24"/>
        </w:rPr>
        <w:t>了总结，并就公司年度财务会计报表以及关于下年度聘请会计师事务所的议案进行表</w:t>
      </w:r>
      <w:r>
        <w:rPr>
          <w:rFonts w:ascii="宋体" w:hAnsi="宋体" w:cs="宋体" w:eastAsia="宋体" w:hint="default"/>
          <w:sz w:val="24"/>
          <w:szCs w:val="24"/>
        </w:rPr>
        <w:t> 决并形成决议。</w:t>
      </w:r>
    </w:p>
    <w:p>
      <w:pPr>
        <w:spacing w:line="357" w:lineRule="auto" w:before="36"/>
        <w:ind w:left="623" w:right="542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）对公司</w:t>
      </w:r>
      <w:r>
        <w:rPr>
          <w:rFonts w:ascii="宋体" w:hAnsi="宋体" w:cs="宋体" w:eastAsia="宋体" w:hint="default"/>
          <w:sz w:val="24"/>
          <w:szCs w:val="24"/>
        </w:rPr>
        <w:t>2010</w:t>
      </w:r>
      <w:r>
        <w:rPr>
          <w:rFonts w:ascii="宋体" w:hAnsi="宋体" w:cs="宋体" w:eastAsia="宋体" w:hint="default"/>
          <w:sz w:val="24"/>
          <w:szCs w:val="24"/>
        </w:rPr>
        <w:t>年年度财务报告的审议意见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年年度财务报告的初次审议意见</w:t>
      </w:r>
    </w:p>
    <w:p>
      <w:pPr>
        <w:spacing w:before="36"/>
        <w:ind w:left="623" w:right="1622" w:firstLine="0"/>
        <w:jc w:val="left"/>
        <w:rPr>
          <w:rFonts w:ascii="宋体" w:hAnsi="宋体" w:cs="宋体" w:eastAsia="宋体" w:hint="default"/>
          <w:sz w:val="24"/>
          <w:szCs w:val="24"/>
        </w:rPr>
      </w:pPr>
      <w:r>
        <w:rPr>
          <w:rFonts w:ascii="宋体" w:hAnsi="宋体" w:cs="宋体" w:eastAsia="宋体" w:hint="default"/>
          <w:sz w:val="24"/>
          <w:szCs w:val="24"/>
        </w:rPr>
        <w:t>在公司</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年年度审计机构进场审计前，公司审计委员会于</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2</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22</w:t>
      </w:r>
      <w:r>
        <w:rPr>
          <w:rFonts w:ascii="宋体" w:hAnsi="宋体" w:cs="宋体" w:eastAsia="宋体" w:hint="default"/>
          <w:spacing w:val="-51"/>
          <w:sz w:val="24"/>
          <w:szCs w:val="24"/>
        </w:rPr>
        <w:t> </w:t>
      </w:r>
      <w:r>
        <w:rPr>
          <w:rFonts w:ascii="宋体" w:hAnsi="宋体" w:cs="宋体" w:eastAsia="宋体" w:hint="default"/>
          <w:sz w:val="24"/>
          <w:szCs w:val="24"/>
        </w:rPr>
        <w:t>日</w:t>
      </w:r>
    </w:p>
    <w:p>
      <w:pPr>
        <w:spacing w:before="154"/>
        <w:ind w:left="143" w:right="0" w:firstLine="0"/>
        <w:jc w:val="both"/>
        <w:rPr>
          <w:rFonts w:ascii="宋体" w:hAnsi="宋体" w:cs="宋体" w:eastAsia="宋体" w:hint="default"/>
          <w:sz w:val="24"/>
          <w:szCs w:val="24"/>
        </w:rPr>
      </w:pPr>
      <w:r>
        <w:rPr>
          <w:rFonts w:ascii="宋体" w:hAnsi="宋体" w:cs="宋体" w:eastAsia="宋体" w:hint="default"/>
          <w:sz w:val="24"/>
          <w:szCs w:val="24"/>
        </w:rPr>
        <w:t>听取了公司财务部门负责人关于 </w:t>
      </w:r>
      <w:r>
        <w:rPr>
          <w:rFonts w:ascii="宋体" w:hAnsi="宋体" w:cs="宋体" w:eastAsia="宋体" w:hint="default"/>
          <w:sz w:val="24"/>
          <w:szCs w:val="24"/>
        </w:rPr>
        <w:t>2010</w:t>
      </w:r>
      <w:r>
        <w:rPr>
          <w:rFonts w:ascii="宋体" w:hAnsi="宋体" w:cs="宋体" w:eastAsia="宋体" w:hint="default"/>
          <w:spacing w:val="-37"/>
          <w:sz w:val="24"/>
          <w:szCs w:val="24"/>
        </w:rPr>
        <w:t> </w:t>
      </w:r>
      <w:r>
        <w:rPr>
          <w:rFonts w:ascii="宋体" w:hAnsi="宋体" w:cs="宋体" w:eastAsia="宋体" w:hint="default"/>
          <w:sz w:val="24"/>
          <w:szCs w:val="24"/>
        </w:rPr>
        <w:t>年年度财务报告审计工作的时间安排，并审阅</w:t>
      </w:r>
    </w:p>
    <w:p>
      <w:pPr>
        <w:spacing w:line="357" w:lineRule="auto" w:before="154"/>
        <w:ind w:left="143" w:right="1753" w:firstLine="0"/>
        <w:jc w:val="both"/>
        <w:rPr>
          <w:rFonts w:ascii="宋体" w:hAnsi="宋体" w:cs="宋体" w:eastAsia="宋体" w:hint="default"/>
          <w:sz w:val="24"/>
          <w:szCs w:val="24"/>
        </w:rPr>
      </w:pPr>
      <w:r>
        <w:rPr>
          <w:rFonts w:ascii="宋体" w:hAnsi="宋体" w:cs="宋体" w:eastAsia="宋体" w:hint="default"/>
          <w:sz w:val="24"/>
          <w:szCs w:val="24"/>
        </w:rPr>
        <w:t>了公司编制的 </w:t>
      </w:r>
      <w:r>
        <w:rPr>
          <w:rFonts w:ascii="宋体" w:hAnsi="宋体" w:cs="宋体" w:eastAsia="宋体" w:hint="default"/>
          <w:sz w:val="24"/>
          <w:szCs w:val="24"/>
        </w:rPr>
        <w:t>2010</w:t>
      </w:r>
      <w:r>
        <w:rPr>
          <w:rFonts w:ascii="宋体" w:hAnsi="宋体" w:cs="宋体" w:eastAsia="宋体" w:hint="default"/>
          <w:spacing w:val="-37"/>
          <w:sz w:val="24"/>
          <w:szCs w:val="24"/>
        </w:rPr>
        <w:t> </w:t>
      </w:r>
      <w:r>
        <w:rPr>
          <w:rFonts w:ascii="宋体" w:hAnsi="宋体" w:cs="宋体" w:eastAsia="宋体" w:hint="default"/>
          <w:sz w:val="24"/>
          <w:szCs w:val="24"/>
        </w:rPr>
        <w:t>年年度财务会计报表，认为财务会计报表能够反映公司的财务状 </w:t>
      </w:r>
      <w:r>
        <w:rPr>
          <w:rFonts w:ascii="宋体" w:hAnsi="宋体" w:cs="宋体" w:eastAsia="宋体" w:hint="default"/>
          <w:spacing w:val="-1"/>
          <w:sz w:val="24"/>
          <w:szCs w:val="24"/>
        </w:rPr>
        <w:t>况和经营成果，同意提交年审会计师进行审计。并与天健正信会计师事务所有限公司</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相关人员就审计工作安排进行协商，同意公司财务部门提出的 </w:t>
      </w:r>
      <w:r>
        <w:rPr>
          <w:rFonts w:ascii="宋体" w:hAnsi="宋体" w:cs="宋体" w:eastAsia="宋体" w:hint="default"/>
          <w:sz w:val="24"/>
          <w:szCs w:val="24"/>
        </w:rPr>
        <w:t>2010</w:t>
      </w:r>
      <w:r>
        <w:rPr>
          <w:rFonts w:ascii="宋体" w:hAnsi="宋体" w:cs="宋体" w:eastAsia="宋体" w:hint="default"/>
          <w:spacing w:val="-36"/>
          <w:sz w:val="24"/>
          <w:szCs w:val="24"/>
        </w:rPr>
        <w:t> </w:t>
      </w:r>
      <w:r>
        <w:rPr>
          <w:rFonts w:ascii="宋体" w:hAnsi="宋体" w:cs="宋体" w:eastAsia="宋体" w:hint="default"/>
          <w:sz w:val="24"/>
          <w:szCs w:val="24"/>
        </w:rPr>
        <w:t>年年度财务报告</w:t>
      </w:r>
    </w:p>
    <w:p>
      <w:pPr>
        <w:spacing w:line="357" w:lineRule="auto" w:before="36"/>
        <w:ind w:left="143" w:right="1752" w:firstLine="0"/>
        <w:jc w:val="both"/>
        <w:rPr>
          <w:rFonts w:ascii="宋体" w:hAnsi="宋体" w:cs="宋体" w:eastAsia="宋体" w:hint="default"/>
          <w:sz w:val="24"/>
          <w:szCs w:val="24"/>
        </w:rPr>
      </w:pPr>
      <w:r>
        <w:rPr>
          <w:rFonts w:ascii="宋体" w:hAnsi="宋体" w:cs="宋体" w:eastAsia="宋体" w:hint="default"/>
          <w:sz w:val="24"/>
          <w:szCs w:val="24"/>
        </w:rPr>
        <w:t>审计工作的时间安排；同意将公司编制的 </w:t>
      </w:r>
      <w:r>
        <w:rPr>
          <w:rFonts w:ascii="宋体" w:hAnsi="宋体" w:cs="宋体" w:eastAsia="宋体" w:hint="default"/>
          <w:sz w:val="24"/>
          <w:szCs w:val="24"/>
        </w:rPr>
        <w:t>2010</w:t>
      </w:r>
      <w:r>
        <w:rPr>
          <w:rFonts w:ascii="宋体" w:hAnsi="宋体" w:cs="宋体" w:eastAsia="宋体" w:hint="default"/>
          <w:spacing w:val="-34"/>
          <w:sz w:val="24"/>
          <w:szCs w:val="24"/>
        </w:rPr>
        <w:t> </w:t>
      </w:r>
      <w:r>
        <w:rPr>
          <w:rFonts w:ascii="宋体" w:hAnsi="宋体" w:cs="宋体" w:eastAsia="宋体" w:hint="default"/>
          <w:sz w:val="24"/>
          <w:szCs w:val="24"/>
        </w:rPr>
        <w:t>年年度财务会计报表及相关财务资料 </w:t>
      </w:r>
      <w:r>
        <w:rPr>
          <w:rFonts w:ascii="宋体" w:hAnsi="宋体" w:cs="宋体" w:eastAsia="宋体" w:hint="default"/>
          <w:spacing w:val="-1"/>
          <w:sz w:val="24"/>
          <w:szCs w:val="24"/>
        </w:rPr>
        <w:t>提交天健正信会计师事务所有限公司进行审计。并督促天健正信会计师事务所有限公</w:t>
      </w:r>
      <w:r>
        <w:rPr>
          <w:rFonts w:ascii="宋体" w:hAnsi="宋体" w:cs="宋体" w:eastAsia="宋体" w:hint="default"/>
          <w:sz w:val="24"/>
          <w:szCs w:val="24"/>
        </w:rPr>
        <w:t> 司在认真履行审计职责的同时，根据时间安排及时完成审计报告，保障公司 </w:t>
      </w:r>
      <w:r>
        <w:rPr>
          <w:rFonts w:ascii="宋体" w:hAnsi="宋体" w:cs="宋体" w:eastAsia="宋体" w:hint="default"/>
          <w:sz w:val="24"/>
          <w:szCs w:val="24"/>
        </w:rPr>
        <w:t>2010</w:t>
      </w:r>
      <w:r>
        <w:rPr>
          <w:rFonts w:ascii="宋体" w:hAnsi="宋体" w:cs="宋体" w:eastAsia="宋体" w:hint="default"/>
          <w:spacing w:val="-33"/>
          <w:sz w:val="24"/>
          <w:szCs w:val="24"/>
        </w:rPr>
        <w:t> </w:t>
      </w:r>
      <w:r>
        <w:rPr>
          <w:rFonts w:ascii="宋体" w:hAnsi="宋体" w:cs="宋体" w:eastAsia="宋体" w:hint="default"/>
          <w:sz w:val="24"/>
          <w:szCs w:val="24"/>
        </w:rPr>
        <w:t>年 年度报告按照深圳证券交易所规定的时间完成信息披露工作。</w:t>
      </w:r>
    </w:p>
    <w:p>
      <w:pPr>
        <w:spacing w:line="357" w:lineRule="auto" w:before="36"/>
        <w:ind w:left="623" w:right="173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年年度财务报表的第二次审议意见 </w:t>
      </w:r>
      <w:r>
        <w:rPr>
          <w:rFonts w:ascii="宋体" w:hAnsi="宋体" w:cs="宋体" w:eastAsia="宋体" w:hint="default"/>
          <w:spacing w:val="-1"/>
          <w:sz w:val="24"/>
          <w:szCs w:val="24"/>
        </w:rPr>
        <w:t>审计委员会在年审会计师出具审计初步意见后，再次审阅公司财务会计报表，并</w:t>
      </w:r>
    </w:p>
    <w:p>
      <w:pPr>
        <w:spacing w:before="36"/>
        <w:ind w:left="143" w:right="0" w:firstLine="0"/>
        <w:jc w:val="both"/>
        <w:rPr>
          <w:rFonts w:ascii="宋体" w:hAnsi="宋体" w:cs="宋体" w:eastAsia="宋体" w:hint="default"/>
          <w:sz w:val="24"/>
          <w:szCs w:val="24"/>
        </w:rPr>
      </w:pPr>
      <w:r>
        <w:rPr>
          <w:rFonts w:ascii="宋体" w:hAnsi="宋体" w:cs="宋体" w:eastAsia="宋体" w:hint="default"/>
          <w:sz w:val="24"/>
          <w:szCs w:val="24"/>
        </w:rPr>
        <w:t>与年审注册会计师进行沟通后，审计委员会于</w:t>
      </w:r>
      <w:r>
        <w:rPr>
          <w:rFonts w:ascii="宋体" w:hAnsi="宋体" w:cs="宋体" w:eastAsia="宋体" w:hint="default"/>
          <w:spacing w:val="-65"/>
          <w:sz w:val="24"/>
          <w:szCs w:val="24"/>
        </w:rPr>
        <w:t> </w:t>
      </w:r>
      <w:r>
        <w:rPr>
          <w:rFonts w:ascii="宋体" w:hAnsi="宋体" w:cs="宋体" w:eastAsia="宋体" w:hint="default"/>
          <w:sz w:val="24"/>
          <w:szCs w:val="24"/>
        </w:rPr>
        <w:t>4</w:t>
      </w:r>
      <w:r>
        <w:rPr>
          <w:rFonts w:ascii="宋体" w:hAnsi="宋体" w:cs="宋体" w:eastAsia="宋体" w:hint="default"/>
          <w:spacing w:val="-6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13</w:t>
      </w:r>
      <w:r>
        <w:rPr>
          <w:rFonts w:ascii="宋体" w:hAnsi="宋体" w:cs="宋体" w:eastAsia="宋体" w:hint="default"/>
          <w:spacing w:val="-67"/>
          <w:sz w:val="24"/>
          <w:szCs w:val="24"/>
        </w:rPr>
        <w:t> </w:t>
      </w:r>
      <w:r>
        <w:rPr>
          <w:rFonts w:ascii="宋体" w:hAnsi="宋体" w:cs="宋体" w:eastAsia="宋体" w:hint="default"/>
          <w:sz w:val="24"/>
          <w:szCs w:val="24"/>
        </w:rPr>
        <w:t>日召开会议，对公司</w:t>
      </w:r>
      <w:r>
        <w:rPr>
          <w:rFonts w:ascii="宋体" w:hAnsi="宋体" w:cs="宋体" w:eastAsia="宋体" w:hint="default"/>
          <w:spacing w:val="-67"/>
          <w:sz w:val="24"/>
          <w:szCs w:val="24"/>
        </w:rPr>
        <w:t> </w:t>
      </w:r>
      <w:r>
        <w:rPr>
          <w:rFonts w:ascii="宋体" w:hAnsi="宋体" w:cs="宋体" w:eastAsia="宋体" w:hint="default"/>
          <w:sz w:val="24"/>
          <w:szCs w:val="24"/>
        </w:rPr>
        <w:t>2010</w:t>
      </w:r>
      <w:r>
        <w:rPr>
          <w:rFonts w:ascii="宋体" w:hAnsi="宋体" w:cs="宋体" w:eastAsia="宋体" w:hint="default"/>
          <w:spacing w:val="-67"/>
          <w:sz w:val="24"/>
          <w:szCs w:val="24"/>
        </w:rPr>
        <w:t> </w:t>
      </w:r>
      <w:r>
        <w:rPr>
          <w:rFonts w:ascii="宋体" w:hAnsi="宋体" w:cs="宋体" w:eastAsia="宋体" w:hint="default"/>
          <w:sz w:val="24"/>
          <w:szCs w:val="24"/>
        </w:rPr>
        <w:t>年会</w:t>
      </w:r>
    </w:p>
    <w:p>
      <w:pPr>
        <w:spacing w:before="154"/>
        <w:ind w:left="143" w:right="0" w:firstLine="0"/>
        <w:jc w:val="both"/>
        <w:rPr>
          <w:rFonts w:ascii="宋体" w:hAnsi="宋体" w:cs="宋体" w:eastAsia="宋体" w:hint="default"/>
          <w:sz w:val="24"/>
          <w:szCs w:val="24"/>
        </w:rPr>
      </w:pPr>
      <w:r>
        <w:rPr>
          <w:rFonts w:ascii="宋体" w:hAnsi="宋体" w:cs="宋体" w:eastAsia="宋体" w:hint="default"/>
          <w:sz w:val="24"/>
          <w:szCs w:val="24"/>
        </w:rPr>
        <w:t>计报表进行表决，形成书面决议：</w:t>
      </w:r>
      <w:r>
        <w:rPr>
          <w:rFonts w:ascii="宋体" w:hAnsi="宋体" w:cs="宋体" w:eastAsia="宋体" w:hint="default"/>
          <w:sz w:val="24"/>
          <w:szCs w:val="24"/>
        </w:rPr>
        <w:t>1</w:t>
      </w:r>
      <w:r>
        <w:rPr>
          <w:rFonts w:ascii="宋体" w:hAnsi="宋体" w:cs="宋体" w:eastAsia="宋体" w:hint="default"/>
          <w:sz w:val="24"/>
          <w:szCs w:val="24"/>
        </w:rPr>
        <w:t>、同意将公司编制的经审计的</w:t>
      </w:r>
      <w:r>
        <w:rPr>
          <w:rFonts w:ascii="宋体" w:hAnsi="宋体" w:cs="宋体" w:eastAsia="宋体" w:hint="default"/>
          <w:spacing w:val="-78"/>
          <w:sz w:val="24"/>
          <w:szCs w:val="24"/>
        </w:rPr>
        <w:t> </w:t>
      </w:r>
      <w:r>
        <w:rPr>
          <w:rFonts w:ascii="宋体" w:hAnsi="宋体" w:cs="宋体" w:eastAsia="宋体" w:hint="default"/>
          <w:sz w:val="24"/>
          <w:szCs w:val="24"/>
        </w:rPr>
        <w:t>2010</w:t>
      </w:r>
      <w:r>
        <w:rPr>
          <w:rFonts w:ascii="宋体" w:hAnsi="宋体" w:cs="宋体" w:eastAsia="宋体" w:hint="default"/>
          <w:spacing w:val="-78"/>
          <w:sz w:val="24"/>
          <w:szCs w:val="24"/>
        </w:rPr>
        <w:t> </w:t>
      </w:r>
      <w:r>
        <w:rPr>
          <w:rFonts w:ascii="宋体" w:hAnsi="宋体" w:cs="宋体" w:eastAsia="宋体" w:hint="default"/>
          <w:sz w:val="24"/>
          <w:szCs w:val="24"/>
        </w:rPr>
        <w:t>年财务会计报</w:t>
      </w:r>
    </w:p>
    <w:p>
      <w:pPr>
        <w:spacing w:line="357" w:lineRule="auto" w:before="154"/>
        <w:ind w:left="143" w:right="1719" w:firstLine="0"/>
        <w:jc w:val="both"/>
        <w:rPr>
          <w:rFonts w:ascii="宋体" w:hAnsi="宋体" w:cs="宋体" w:eastAsia="宋体" w:hint="default"/>
          <w:sz w:val="24"/>
          <w:szCs w:val="24"/>
        </w:rPr>
      </w:pPr>
      <w:r>
        <w:rPr>
          <w:rFonts w:ascii="宋体" w:hAnsi="宋体" w:cs="宋体" w:eastAsia="宋体" w:hint="default"/>
          <w:sz w:val="24"/>
          <w:szCs w:val="24"/>
        </w:rPr>
        <w:t>告提交董事会审核；</w:t>
      </w:r>
      <w:r>
        <w:rPr>
          <w:rFonts w:ascii="宋体" w:hAnsi="宋体" w:cs="宋体" w:eastAsia="宋体" w:hint="default"/>
          <w:sz w:val="24"/>
          <w:szCs w:val="24"/>
        </w:rPr>
        <w:t>2</w:t>
      </w:r>
      <w:r>
        <w:rPr>
          <w:rFonts w:ascii="宋体" w:hAnsi="宋体" w:cs="宋体" w:eastAsia="宋体" w:hint="default"/>
          <w:sz w:val="24"/>
          <w:szCs w:val="24"/>
        </w:rPr>
        <w:t>、决定向董事会提交天健正信会计师事务所有限公司从事</w:t>
      </w:r>
      <w:r>
        <w:rPr>
          <w:rFonts w:ascii="宋体" w:hAnsi="宋体" w:cs="宋体" w:eastAsia="宋体" w:hint="default"/>
          <w:spacing w:val="-36"/>
          <w:sz w:val="24"/>
          <w:szCs w:val="24"/>
        </w:rPr>
        <w:t> </w:t>
      </w:r>
      <w:r>
        <w:rPr>
          <w:rFonts w:ascii="宋体" w:hAnsi="宋体" w:cs="宋体" w:eastAsia="宋体" w:hint="default"/>
          <w:sz w:val="24"/>
          <w:szCs w:val="24"/>
        </w:rPr>
        <w:t>2010 </w:t>
      </w:r>
      <w:r>
        <w:rPr>
          <w:rFonts w:ascii="宋体" w:hAnsi="宋体" w:cs="宋体" w:eastAsia="宋体" w:hint="default"/>
          <w:sz w:val="24"/>
          <w:szCs w:val="24"/>
        </w:rPr>
        <w:t>年年度审计工作的总结报告；</w:t>
      </w:r>
      <w:r>
        <w:rPr>
          <w:rFonts w:ascii="宋体" w:hAnsi="宋体" w:cs="宋体" w:eastAsia="宋体" w:hint="default"/>
          <w:sz w:val="24"/>
          <w:szCs w:val="24"/>
        </w:rPr>
        <w:t>3</w:t>
      </w:r>
      <w:r>
        <w:rPr>
          <w:rFonts w:ascii="宋体" w:hAnsi="宋体" w:cs="宋体" w:eastAsia="宋体" w:hint="default"/>
          <w:sz w:val="24"/>
          <w:szCs w:val="24"/>
        </w:rPr>
        <w:t>、天健正信会计师事务所有限公司自进场审计以来，</w:t>
      </w:r>
      <w:r>
        <w:rPr>
          <w:rFonts w:ascii="宋体" w:hAnsi="宋体" w:cs="宋体" w:eastAsia="宋体" w:hint="default"/>
          <w:spacing w:val="-47"/>
          <w:sz w:val="24"/>
          <w:szCs w:val="24"/>
        </w:rPr>
        <w:t> </w:t>
      </w:r>
      <w:r>
        <w:rPr>
          <w:rFonts w:ascii="宋体" w:hAnsi="宋体" w:cs="宋体" w:eastAsia="宋体" w:hint="default"/>
          <w:sz w:val="24"/>
          <w:szCs w:val="24"/>
        </w:rPr>
        <w:t>恪尽职守，遵循独立、客观、公正的执业准则，较好地完成了公司委托的各项工作，</w:t>
      </w:r>
      <w:r>
        <w:rPr>
          <w:rFonts w:ascii="宋体" w:hAnsi="宋体" w:cs="宋体" w:eastAsia="宋体" w:hint="default"/>
          <w:sz w:val="24"/>
          <w:szCs w:val="24"/>
        </w:rPr>
        <w:t> 建议继续聘请天健正信会计师事务所有限公司为公司</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年年度财务审计机构。</w:t>
      </w:r>
    </w:p>
    <w:p>
      <w:pPr>
        <w:spacing w:line="357" w:lineRule="auto" w:before="37"/>
        <w:ind w:left="143" w:right="1753" w:firstLine="480"/>
        <w:jc w:val="both"/>
        <w:rPr>
          <w:rFonts w:ascii="宋体" w:hAnsi="宋体" w:cs="宋体" w:eastAsia="宋体" w:hint="default"/>
          <w:sz w:val="24"/>
          <w:szCs w:val="24"/>
        </w:rPr>
      </w:pPr>
      <w:r>
        <w:rPr>
          <w:rFonts w:ascii="宋体" w:hAnsi="宋体" w:cs="宋体" w:eastAsia="宋体" w:hint="default"/>
          <w:sz w:val="24"/>
          <w:szCs w:val="24"/>
        </w:rPr>
        <w:t>审计委员会在公司 </w:t>
      </w:r>
      <w:r>
        <w:rPr>
          <w:rFonts w:ascii="宋体" w:hAnsi="宋体" w:cs="宋体" w:eastAsia="宋体" w:hint="default"/>
          <w:sz w:val="24"/>
          <w:szCs w:val="24"/>
        </w:rPr>
        <w:t>2010</w:t>
      </w:r>
      <w:r>
        <w:rPr>
          <w:rFonts w:ascii="宋体" w:hAnsi="宋体" w:cs="宋体" w:eastAsia="宋体" w:hint="default"/>
          <w:spacing w:val="-34"/>
          <w:sz w:val="24"/>
          <w:szCs w:val="24"/>
        </w:rPr>
        <w:t> </w:t>
      </w:r>
      <w:r>
        <w:rPr>
          <w:rFonts w:ascii="宋体" w:hAnsi="宋体" w:cs="宋体" w:eastAsia="宋体" w:hint="default"/>
          <w:sz w:val="24"/>
          <w:szCs w:val="24"/>
        </w:rPr>
        <w:t>年财务报告审计过程中充分发挥了监督作用，维护了审 计的独立性。</w:t>
      </w:r>
    </w:p>
    <w:p>
      <w:pPr>
        <w:spacing w:line="357" w:lineRule="auto"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）审计委员会关于天健正信会计师事务所从事本年度审计工作的评价 </w:t>
      </w:r>
      <w:r>
        <w:rPr>
          <w:rFonts w:ascii="宋体" w:hAnsi="宋体" w:cs="宋体" w:eastAsia="宋体" w:hint="default"/>
          <w:spacing w:val="-2"/>
          <w:sz w:val="24"/>
          <w:szCs w:val="24"/>
        </w:rPr>
        <w:t>在本年度审计过程中，天健正信审计小组按照既定的时间安排和工作计划实施对</w:t>
      </w:r>
    </w:p>
    <w:p>
      <w:pPr>
        <w:spacing w:line="357" w:lineRule="auto" w:before="36"/>
        <w:ind w:left="143" w:right="1634" w:firstLine="0"/>
        <w:jc w:val="both"/>
        <w:rPr>
          <w:rFonts w:ascii="宋体" w:hAnsi="宋体" w:cs="宋体" w:eastAsia="宋体" w:hint="default"/>
          <w:sz w:val="24"/>
          <w:szCs w:val="24"/>
        </w:rPr>
      </w:pPr>
      <w:r>
        <w:rPr>
          <w:rFonts w:ascii="宋体" w:hAnsi="宋体" w:cs="宋体" w:eastAsia="宋体" w:hint="default"/>
          <w:spacing w:val="-5"/>
          <w:sz w:val="24"/>
          <w:szCs w:val="24"/>
        </w:rPr>
        <w:t>公司的年度审计，并在约定时限内完成了所有审计程序，取得了充分适当的审计证据。</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天健正信审计成员具有承办本次审计业务所必需的专业知识和相关的职业证书，保持</w:t>
      </w:r>
    </w:p>
    <w:p>
      <w:pPr>
        <w:spacing w:after="0" w:line="357" w:lineRule="auto"/>
        <w:jc w:val="both"/>
        <w:rPr>
          <w:rFonts w:ascii="宋体" w:hAnsi="宋体" w:cs="宋体" w:eastAsia="宋体" w:hint="default"/>
          <w:sz w:val="24"/>
          <w:szCs w:val="24"/>
        </w:rPr>
        <w:sectPr>
          <w:pgSz w:w="11910" w:h="16840"/>
          <w:pgMar w:header="752" w:footer="955" w:top="1020" w:bottom="1140" w:left="1160" w:right="0"/>
        </w:sectPr>
      </w:pPr>
    </w:p>
    <w:p>
      <w:pPr>
        <w:spacing w:line="240" w:lineRule="auto" w:before="1"/>
        <w:rPr>
          <w:rFonts w:ascii="宋体" w:hAnsi="宋体" w:cs="宋体" w:eastAsia="宋体" w:hint="default"/>
          <w:sz w:val="29"/>
          <w:szCs w:val="29"/>
        </w:rPr>
      </w:pPr>
    </w:p>
    <w:p>
      <w:pPr>
        <w:spacing w:line="357" w:lineRule="auto" w:before="26"/>
        <w:ind w:left="137" w:right="1266" w:firstLine="0"/>
        <w:jc w:val="both"/>
        <w:rPr>
          <w:rFonts w:ascii="宋体" w:hAnsi="宋体" w:cs="宋体" w:eastAsia="宋体" w:hint="default"/>
          <w:sz w:val="24"/>
          <w:szCs w:val="24"/>
        </w:rPr>
      </w:pPr>
      <w:r>
        <w:rPr>
          <w:rFonts w:ascii="宋体" w:hAnsi="宋体" w:cs="宋体" w:eastAsia="宋体" w:hint="default"/>
          <w:sz w:val="24"/>
          <w:szCs w:val="24"/>
        </w:rPr>
        <w:t>了形式上和实质上的双重独立，遵守了职业道德基本原则中关于保持独立性的要求， </w:t>
      </w:r>
      <w:r>
        <w:rPr>
          <w:rFonts w:ascii="宋体" w:hAnsi="宋体" w:cs="宋体" w:eastAsia="宋体" w:hint="default"/>
          <w:spacing w:val="-1"/>
          <w:sz w:val="24"/>
          <w:szCs w:val="24"/>
        </w:rPr>
        <w:t>按时完成了本次审计工作。天健正信出具的审计报表能够充分反映公司</w:t>
      </w:r>
      <w:r>
        <w:rPr>
          <w:rFonts w:ascii="宋体" w:hAnsi="宋体" w:cs="宋体" w:eastAsia="宋体" w:hint="default"/>
          <w:spacing w:val="-1"/>
          <w:sz w:val="24"/>
          <w:szCs w:val="24"/>
        </w:rPr>
        <w:t>2010</w:t>
      </w:r>
      <w:r>
        <w:rPr>
          <w:rFonts w:ascii="宋体" w:hAnsi="宋体" w:cs="宋体" w:eastAsia="宋体" w:hint="default"/>
          <w:spacing w:val="-1"/>
          <w:sz w:val="24"/>
          <w:szCs w:val="24"/>
        </w:rPr>
        <w:t>年</w:t>
      </w:r>
      <w:r>
        <w:rPr>
          <w:rFonts w:ascii="宋体" w:hAnsi="宋体" w:cs="宋体" w:eastAsia="宋体" w:hint="default"/>
          <w:spacing w:val="-1"/>
          <w:sz w:val="24"/>
          <w:szCs w:val="24"/>
        </w:rPr>
        <w:t>12</w:t>
      </w:r>
      <w:r>
        <w:rPr>
          <w:rFonts w:ascii="宋体" w:hAnsi="宋体" w:cs="宋体" w:eastAsia="宋体" w:hint="default"/>
          <w:spacing w:val="-1"/>
          <w:sz w:val="24"/>
          <w:szCs w:val="24"/>
        </w:rPr>
        <w:t>月</w:t>
      </w:r>
      <w:r>
        <w:rPr>
          <w:rFonts w:ascii="宋体" w:hAnsi="宋体" w:cs="宋体" w:eastAsia="宋体" w:hint="default"/>
          <w:spacing w:val="-1"/>
          <w:sz w:val="24"/>
          <w:szCs w:val="24"/>
        </w:rPr>
        <w:t>31</w:t>
      </w:r>
      <w:r>
        <w:rPr>
          <w:rFonts w:ascii="宋体" w:hAnsi="宋体" w:cs="宋体" w:eastAsia="宋体" w:hint="default"/>
          <w:spacing w:val="-115"/>
          <w:sz w:val="24"/>
          <w:szCs w:val="24"/>
        </w:rPr>
        <w:t> </w:t>
      </w:r>
      <w:r>
        <w:rPr>
          <w:rFonts w:ascii="宋体" w:hAnsi="宋体" w:cs="宋体" w:eastAsia="宋体" w:hint="default"/>
          <w:spacing w:val="-1"/>
          <w:sz w:val="24"/>
          <w:szCs w:val="24"/>
        </w:rPr>
        <w:t>日的财务状况以及</w:t>
      </w:r>
      <w:r>
        <w:rPr>
          <w:rFonts w:ascii="宋体" w:hAnsi="宋体" w:cs="宋体" w:eastAsia="宋体" w:hint="default"/>
          <w:spacing w:val="-1"/>
          <w:sz w:val="24"/>
          <w:szCs w:val="24"/>
        </w:rPr>
        <w:t>2010</w:t>
      </w:r>
      <w:r>
        <w:rPr>
          <w:rFonts w:ascii="宋体" w:hAnsi="宋体" w:cs="宋体" w:eastAsia="宋体" w:hint="default"/>
          <w:spacing w:val="-1"/>
          <w:sz w:val="24"/>
          <w:szCs w:val="24"/>
        </w:rPr>
        <w:t>年度的经营成果和现金流量，出具的审计结论符合公司的实际</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情况。同意公司继续聘请天健正信会计师事务所有限公司为公司</w:t>
      </w:r>
      <w:r>
        <w:rPr>
          <w:rFonts w:ascii="宋体" w:hAnsi="宋体" w:cs="宋体" w:eastAsia="宋体" w:hint="default"/>
          <w:spacing w:val="-1"/>
          <w:sz w:val="24"/>
          <w:szCs w:val="24"/>
        </w:rPr>
        <w:t>2011</w:t>
      </w:r>
      <w:r>
        <w:rPr>
          <w:rFonts w:ascii="宋体" w:hAnsi="宋体" w:cs="宋体" w:eastAsia="宋体" w:hint="default"/>
          <w:spacing w:val="-1"/>
          <w:sz w:val="24"/>
          <w:szCs w:val="24"/>
        </w:rPr>
        <w:t>年度的财务审计</w:t>
      </w:r>
      <w:r>
        <w:rPr>
          <w:rFonts w:ascii="宋体" w:hAnsi="宋体" w:cs="宋体" w:eastAsia="宋体" w:hint="default"/>
          <w:spacing w:val="-117"/>
          <w:sz w:val="24"/>
          <w:szCs w:val="24"/>
        </w:rPr>
        <w:t> </w:t>
      </w:r>
      <w:r>
        <w:rPr>
          <w:rFonts w:ascii="宋体" w:hAnsi="宋体" w:cs="宋体" w:eastAsia="宋体" w:hint="default"/>
          <w:sz w:val="24"/>
          <w:szCs w:val="24"/>
        </w:rPr>
        <w:t>机构。</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、董事会薪酬委员会的履职情况 </w:t>
      </w:r>
      <w:r>
        <w:rPr>
          <w:rFonts w:ascii="宋体" w:hAnsi="宋体" w:cs="宋体" w:eastAsia="宋体" w:hint="default"/>
          <w:spacing w:val="-2"/>
          <w:sz w:val="24"/>
          <w:szCs w:val="24"/>
        </w:rPr>
        <w:t>公司董事会下设的薪酬与考核委员会对公司董事、监事和高级管理人员薪酬进行</w:t>
      </w:r>
    </w:p>
    <w:p>
      <w:pPr>
        <w:spacing w:line="357" w:lineRule="auto" w:before="36"/>
        <w:ind w:left="137" w:right="1300" w:firstLine="0"/>
        <w:jc w:val="both"/>
        <w:rPr>
          <w:rFonts w:ascii="宋体" w:hAnsi="宋体" w:cs="宋体" w:eastAsia="宋体" w:hint="default"/>
          <w:sz w:val="24"/>
          <w:szCs w:val="24"/>
        </w:rPr>
      </w:pPr>
      <w:r>
        <w:rPr>
          <w:rFonts w:ascii="宋体" w:hAnsi="宋体" w:cs="宋体" w:eastAsia="宋体" w:hint="default"/>
          <w:sz w:val="24"/>
          <w:szCs w:val="24"/>
        </w:rPr>
        <w:t>了审核，认为公司在 </w:t>
      </w:r>
      <w:r>
        <w:rPr>
          <w:rFonts w:ascii="宋体" w:hAnsi="宋体" w:cs="宋体" w:eastAsia="宋体" w:hint="default"/>
          <w:sz w:val="24"/>
          <w:szCs w:val="24"/>
        </w:rPr>
        <w:t>2010</w:t>
      </w:r>
      <w:r>
        <w:rPr>
          <w:rFonts w:ascii="宋体" w:hAnsi="宋体" w:cs="宋体" w:eastAsia="宋体" w:hint="default"/>
          <w:spacing w:val="-34"/>
          <w:sz w:val="24"/>
          <w:szCs w:val="24"/>
        </w:rPr>
        <w:t> </w:t>
      </w:r>
      <w:r>
        <w:rPr>
          <w:rFonts w:ascii="宋体" w:hAnsi="宋体" w:cs="宋体" w:eastAsia="宋体" w:hint="default"/>
          <w:sz w:val="24"/>
          <w:szCs w:val="24"/>
        </w:rPr>
        <w:t>年年度报告中披露的董事、监事和高管人员所得薪酬，均 </w:t>
      </w:r>
      <w:r>
        <w:rPr>
          <w:rFonts w:ascii="宋体" w:hAnsi="宋体" w:cs="宋体" w:eastAsia="宋体" w:hint="default"/>
          <w:spacing w:val="-1"/>
          <w:sz w:val="24"/>
          <w:szCs w:val="24"/>
        </w:rPr>
        <w:t>是依据公司制订的岗位工资制度并结合岗位年度考核结果来确定；独立董事的津贴是</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依据公司股东大会通过的独立董事津贴标准为原则确定的。</w:t>
      </w:r>
    </w:p>
    <w:p>
      <w:pPr>
        <w:spacing w:line="357" w:lineRule="auto" w:before="36"/>
        <w:ind w:left="137" w:right="1301" w:firstLine="479"/>
        <w:jc w:val="both"/>
        <w:rPr>
          <w:rFonts w:ascii="宋体" w:hAnsi="宋体" w:cs="宋体" w:eastAsia="宋体" w:hint="default"/>
          <w:sz w:val="24"/>
          <w:szCs w:val="24"/>
        </w:rPr>
      </w:pPr>
      <w:r>
        <w:rPr>
          <w:rFonts w:ascii="宋体" w:hAnsi="宋体" w:cs="宋体" w:eastAsia="宋体" w:hint="default"/>
          <w:spacing w:val="-1"/>
          <w:sz w:val="24"/>
          <w:szCs w:val="24"/>
        </w:rPr>
        <w:t>公司目前尚未建立股权激励机制，公司将不断完善内部激励与约束机制，逐渐建</w:t>
      </w:r>
      <w:r>
        <w:rPr>
          <w:rFonts w:ascii="宋体" w:hAnsi="宋体" w:cs="宋体" w:eastAsia="宋体" w:hint="default"/>
          <w:sz w:val="24"/>
          <w:szCs w:val="24"/>
        </w:rPr>
        <w:t> </w:t>
      </w:r>
      <w:r>
        <w:rPr>
          <w:rFonts w:ascii="宋体" w:hAnsi="宋体" w:cs="宋体" w:eastAsia="宋体" w:hint="default"/>
          <w:spacing w:val="-2"/>
          <w:sz w:val="24"/>
          <w:szCs w:val="24"/>
        </w:rPr>
        <w:t>立起短期激励与长期激励相结合的“利益共享、风险共担”的激励体系，推动管理层</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与公司、股东利益的紧密结合。</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、公司董事会提名委员会履职情况</w:t>
      </w:r>
    </w:p>
    <w:p>
      <w:pPr>
        <w:spacing w:line="357" w:lineRule="auto" w:before="154"/>
        <w:ind w:left="137" w:right="1166" w:firstLine="47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）报告期内所聘高级管理人员符合《公司法》等相关法律、法规所要求的任 </w:t>
      </w:r>
      <w:r>
        <w:rPr>
          <w:rFonts w:ascii="宋体" w:hAnsi="宋体" w:cs="宋体" w:eastAsia="宋体" w:hint="default"/>
          <w:spacing w:val="-2"/>
          <w:sz w:val="24"/>
          <w:szCs w:val="24"/>
        </w:rPr>
        <w:t>职条件，具备高级管理人员任职资格，不存在《公司法》规定的禁止任职的情形，不</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存在被中国证监会处以证券市场禁入的情况，也不存在尚未解除的情况。</w:t>
      </w:r>
    </w:p>
    <w:p>
      <w:pPr>
        <w:spacing w:line="357" w:lineRule="auto" w:before="36"/>
        <w:ind w:left="137" w:right="1166" w:firstLine="479"/>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2</w:t>
      </w:r>
      <w:r>
        <w:rPr>
          <w:rFonts w:ascii="宋体" w:hAnsi="宋体" w:cs="宋体" w:eastAsia="宋体" w:hint="default"/>
          <w:spacing w:val="-2"/>
          <w:sz w:val="24"/>
          <w:szCs w:val="24"/>
        </w:rPr>
        <w:t>）报告期内公司高级管理人员提名及聘任程序符合《公司法》和《公司章程》</w:t>
      </w:r>
      <w:r>
        <w:rPr>
          <w:rFonts w:ascii="宋体" w:hAnsi="宋体" w:cs="宋体" w:eastAsia="宋体" w:hint="default"/>
          <w:sz w:val="24"/>
          <w:szCs w:val="24"/>
        </w:rPr>
        <w:t> </w:t>
      </w:r>
      <w:r>
        <w:rPr>
          <w:rFonts w:ascii="宋体" w:hAnsi="宋体" w:cs="宋体" w:eastAsia="宋体" w:hint="default"/>
          <w:spacing w:val="4"/>
          <w:sz w:val="24"/>
          <w:szCs w:val="24"/>
        </w:rPr>
        <w:t>的有关规定，所聘人员没有受过中国证监会及其他有关部门的处罚和证券交易所惩</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戒。</w:t>
      </w:r>
    </w:p>
    <w:p>
      <w:pPr>
        <w:spacing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（五）本次利润分配预案或资本公积金转增股本预案。</w:t>
      </w:r>
    </w:p>
    <w:p>
      <w:pPr>
        <w:spacing w:before="154"/>
        <w:ind w:left="617" w:right="1166" w:firstLine="0"/>
        <w:jc w:val="left"/>
        <w:rPr>
          <w:rFonts w:ascii="宋体" w:hAnsi="宋体" w:cs="宋体" w:eastAsia="宋体" w:hint="default"/>
          <w:sz w:val="24"/>
          <w:szCs w:val="24"/>
        </w:rPr>
      </w:pPr>
      <w:r>
        <w:rPr>
          <w:rFonts w:ascii="宋体" w:hAnsi="宋体" w:cs="宋体" w:eastAsia="宋体" w:hint="default"/>
          <w:spacing w:val="8"/>
          <w:sz w:val="24"/>
          <w:szCs w:val="24"/>
        </w:rPr>
        <w:t>经天健正信会计师事务所有限公司审计，公司（母公司）</w:t>
      </w:r>
      <w:r>
        <w:rPr>
          <w:rFonts w:ascii="宋体" w:hAnsi="宋体" w:cs="宋体" w:eastAsia="宋体" w:hint="default"/>
          <w:spacing w:val="8"/>
          <w:sz w:val="24"/>
          <w:szCs w:val="24"/>
        </w:rPr>
        <w:t>2010</w:t>
      </w:r>
      <w:r>
        <w:rPr>
          <w:rFonts w:ascii="宋体" w:hAnsi="宋体" w:cs="宋体" w:eastAsia="宋体" w:hint="default"/>
          <w:spacing w:val="33"/>
          <w:sz w:val="24"/>
          <w:szCs w:val="24"/>
        </w:rPr>
        <w:t> </w:t>
      </w:r>
      <w:r>
        <w:rPr>
          <w:rFonts w:ascii="宋体" w:hAnsi="宋体" w:cs="宋体" w:eastAsia="宋体" w:hint="default"/>
          <w:spacing w:val="7"/>
          <w:sz w:val="24"/>
          <w:szCs w:val="24"/>
        </w:rPr>
        <w:t>年实现净利润</w:t>
      </w:r>
    </w:p>
    <w:p>
      <w:pPr>
        <w:spacing w:line="357" w:lineRule="auto" w:before="154"/>
        <w:ind w:left="137" w:right="1179" w:firstLine="0"/>
        <w:jc w:val="both"/>
        <w:rPr>
          <w:rFonts w:ascii="宋体" w:hAnsi="宋体" w:cs="宋体" w:eastAsia="宋体" w:hint="default"/>
          <w:sz w:val="24"/>
          <w:szCs w:val="24"/>
        </w:rPr>
      </w:pPr>
      <w:r>
        <w:rPr>
          <w:rFonts w:ascii="宋体" w:hAnsi="宋体" w:cs="宋体" w:eastAsia="宋体" w:hint="default"/>
          <w:sz w:val="24"/>
          <w:szCs w:val="24"/>
        </w:rPr>
        <w:t>-206,954,596.25</w:t>
      </w:r>
      <w:r>
        <w:rPr>
          <w:rFonts w:ascii="宋体" w:hAnsi="宋体" w:cs="宋体" w:eastAsia="宋体" w:hint="default"/>
          <w:spacing w:val="-53"/>
          <w:sz w:val="24"/>
          <w:szCs w:val="24"/>
        </w:rPr>
        <w:t> </w:t>
      </w:r>
      <w:r>
        <w:rPr>
          <w:rFonts w:ascii="宋体" w:hAnsi="宋体" w:cs="宋体" w:eastAsia="宋体" w:hint="default"/>
          <w:sz w:val="24"/>
          <w:szCs w:val="24"/>
        </w:rPr>
        <w:t>元，加上以前年度未分配利润</w:t>
      </w:r>
      <w:r>
        <w:rPr>
          <w:rFonts w:ascii="宋体" w:hAnsi="宋体" w:cs="宋体" w:eastAsia="宋体" w:hint="default"/>
          <w:sz w:val="24"/>
          <w:szCs w:val="24"/>
        </w:rPr>
        <w:t>-252,467,852.33</w:t>
      </w:r>
      <w:r>
        <w:rPr>
          <w:rFonts w:ascii="宋体" w:hAnsi="宋体" w:cs="宋体" w:eastAsia="宋体" w:hint="default"/>
          <w:spacing w:val="-53"/>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53"/>
          <w:sz w:val="24"/>
          <w:szCs w:val="24"/>
        </w:rPr>
        <w:t> </w:t>
      </w:r>
      <w:r>
        <w:rPr>
          <w:rFonts w:ascii="宋体" w:hAnsi="宋体" w:cs="宋体" w:eastAsia="宋体" w:hint="default"/>
          <w:sz w:val="24"/>
          <w:szCs w:val="24"/>
        </w:rPr>
        <w:t>年未分配 利润为</w:t>
      </w:r>
      <w:r>
        <w:rPr>
          <w:rFonts w:ascii="宋体" w:hAnsi="宋体" w:cs="宋体" w:eastAsia="宋体" w:hint="default"/>
          <w:sz w:val="24"/>
          <w:szCs w:val="24"/>
        </w:rPr>
        <w:t>-459,422,448.58</w:t>
      </w:r>
      <w:r>
        <w:rPr>
          <w:rFonts w:ascii="宋体" w:hAnsi="宋体" w:cs="宋体" w:eastAsia="宋体" w:hint="default"/>
          <w:spacing w:val="-37"/>
          <w:sz w:val="24"/>
          <w:szCs w:val="24"/>
        </w:rPr>
        <w:t> </w:t>
      </w:r>
      <w:r>
        <w:rPr>
          <w:rFonts w:ascii="宋体" w:hAnsi="宋体" w:cs="宋体" w:eastAsia="宋体" w:hint="default"/>
          <w:sz w:val="24"/>
          <w:szCs w:val="24"/>
        </w:rPr>
        <w:t>元。由于公司未分配利润为负，董事会同意：公司本年度不 </w:t>
      </w:r>
      <w:r>
        <w:rPr>
          <w:rFonts w:ascii="宋体" w:hAnsi="宋体" w:cs="宋体" w:eastAsia="宋体" w:hint="default"/>
          <w:spacing w:val="-5"/>
          <w:sz w:val="24"/>
          <w:szCs w:val="24"/>
        </w:rPr>
        <w:t>进行利润分配，也不进行公积金转增股本。本预案经公司六届十七次董事会审议通过。</w:t>
      </w:r>
    </w:p>
    <w:p>
      <w:pPr>
        <w:tabs>
          <w:tab w:pos="6728" w:val="left" w:leader="none"/>
        </w:tabs>
        <w:spacing w:line="357" w:lineRule="auto" w:before="36"/>
        <w:ind w:left="607" w:right="1395" w:firstLine="9"/>
        <w:jc w:val="left"/>
        <w:rPr>
          <w:rFonts w:ascii="宋体" w:hAnsi="宋体" w:cs="宋体" w:eastAsia="宋体" w:hint="default"/>
          <w:sz w:val="24"/>
          <w:szCs w:val="24"/>
        </w:rPr>
      </w:pPr>
      <w:r>
        <w:rPr>
          <w:rFonts w:ascii="宋体" w:hAnsi="宋体" w:cs="宋体" w:eastAsia="宋体" w:hint="default"/>
          <w:sz w:val="24"/>
          <w:szCs w:val="24"/>
        </w:rPr>
        <w:t>上述分配预案尚需得到公司</w:t>
      </w:r>
      <w:r>
        <w:rPr>
          <w:rFonts w:ascii="宋体" w:hAnsi="宋体" w:cs="宋体" w:eastAsia="宋体" w:hint="default"/>
          <w:sz w:val="24"/>
          <w:szCs w:val="24"/>
        </w:rPr>
        <w:t>2010</w:t>
      </w:r>
      <w:r>
        <w:rPr>
          <w:rFonts w:ascii="宋体" w:hAnsi="宋体" w:cs="宋体" w:eastAsia="宋体" w:hint="default"/>
          <w:sz w:val="24"/>
          <w:szCs w:val="24"/>
        </w:rPr>
        <w:t>年年度股东大会审议批准。 公司前三年现金分红情况如下：</w:t>
        <w:tab/>
        <w:t>（单位：人民币元）</w:t>
      </w:r>
    </w:p>
    <w:p>
      <w:pPr>
        <w:spacing w:line="240" w:lineRule="auto" w:before="0"/>
        <w:rPr>
          <w:rFonts w:ascii="宋体" w:hAnsi="宋体" w:cs="宋体" w:eastAsia="宋体" w:hint="default"/>
          <w:sz w:val="15"/>
          <w:szCs w:val="15"/>
        </w:rPr>
      </w:pPr>
    </w:p>
    <w:tbl>
      <w:tblPr>
        <w:tblW w:w="0" w:type="auto"/>
        <w:jc w:val="left"/>
        <w:tblInd w:w="343" w:type="dxa"/>
        <w:tblLayout w:type="fixed"/>
        <w:tblCellMar>
          <w:top w:w="0" w:type="dxa"/>
          <w:left w:w="0" w:type="dxa"/>
          <w:bottom w:w="0" w:type="dxa"/>
          <w:right w:w="0" w:type="dxa"/>
        </w:tblCellMar>
        <w:tblLook w:val="01E0"/>
      </w:tblPr>
      <w:tblGrid>
        <w:gridCol w:w="1589"/>
        <w:gridCol w:w="2401"/>
        <w:gridCol w:w="2206"/>
        <w:gridCol w:w="2729"/>
      </w:tblGrid>
      <w:tr>
        <w:trPr>
          <w:trHeight w:val="76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897" w:val="left" w:leader="none"/>
              </w:tabs>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年</w:t>
              <w:tab/>
              <w:t>度</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6" w:right="43" w:hanging="209"/>
              <w:jc w:val="left"/>
              <w:rPr>
                <w:rFonts w:ascii="宋体" w:hAnsi="宋体" w:cs="宋体" w:eastAsia="宋体" w:hint="default"/>
                <w:sz w:val="21"/>
                <w:szCs w:val="21"/>
              </w:rPr>
            </w:pPr>
            <w:r>
              <w:rPr>
                <w:rFonts w:ascii="宋体" w:hAnsi="宋体" w:cs="宋体" w:eastAsia="宋体" w:hint="default"/>
                <w:spacing w:val="-2"/>
                <w:sz w:val="21"/>
                <w:szCs w:val="21"/>
              </w:rPr>
              <w:t>合并报表中归属于母公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司所有者的净利润</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09" w:right="96" w:hanging="212"/>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占合并报表中归属于母公司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所有者的净利润的比率</w:t>
            </w:r>
          </w:p>
        </w:tc>
      </w:tr>
    </w:tbl>
    <w:p>
      <w:pPr>
        <w:spacing w:after="0" w:line="240" w:lineRule="auto"/>
        <w:jc w:val="left"/>
        <w:rPr>
          <w:rFonts w:ascii="宋体" w:hAnsi="宋体" w:cs="宋体" w:eastAsia="宋体" w:hint="default"/>
          <w:sz w:val="21"/>
          <w:szCs w:val="21"/>
        </w:rPr>
        <w:sectPr>
          <w:pgSz w:w="11910" w:h="16840"/>
          <w:pgMar w:header="752" w:footer="955" w:top="1020" w:bottom="1140" w:left="16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350" w:type="dxa"/>
        <w:tblLayout w:type="fixed"/>
        <w:tblCellMar>
          <w:top w:w="0" w:type="dxa"/>
          <w:left w:w="0" w:type="dxa"/>
          <w:bottom w:w="0" w:type="dxa"/>
          <w:right w:w="0" w:type="dxa"/>
        </w:tblCellMar>
        <w:tblLook w:val="01E0"/>
      </w:tblPr>
      <w:tblGrid>
        <w:gridCol w:w="1589"/>
        <w:gridCol w:w="2401"/>
        <w:gridCol w:w="2206"/>
        <w:gridCol w:w="2729"/>
      </w:tblGrid>
      <w:tr>
        <w:trPr>
          <w:trHeight w:val="4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-80,191,690.96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r>
        <w:trPr>
          <w:trHeight w:val="4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4,717,562.55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r>
        <w:trPr>
          <w:trHeight w:val="45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-199,111,181.86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bl>
    <w:p>
      <w:pPr>
        <w:spacing w:line="357" w:lineRule="auto" w:before="79"/>
        <w:ind w:left="143" w:right="1755" w:firstLine="480"/>
        <w:jc w:val="both"/>
        <w:rPr>
          <w:rFonts w:ascii="宋体" w:hAnsi="宋体" w:cs="宋体" w:eastAsia="宋体" w:hint="default"/>
          <w:sz w:val="24"/>
          <w:szCs w:val="24"/>
        </w:rPr>
      </w:pPr>
      <w:r>
        <w:rPr>
          <w:rFonts w:ascii="宋体" w:hAnsi="宋体" w:cs="宋体" w:eastAsia="宋体" w:hint="default"/>
          <w:spacing w:val="-2"/>
          <w:sz w:val="24"/>
          <w:szCs w:val="24"/>
        </w:rPr>
        <w:t>（六）注册会计师对公司控股股东及其他关联方占用资金情况的专项说明及清欠</w:t>
      </w:r>
      <w:r>
        <w:rPr>
          <w:rFonts w:ascii="宋体" w:hAnsi="宋体" w:cs="宋体" w:eastAsia="宋体" w:hint="default"/>
          <w:sz w:val="24"/>
          <w:szCs w:val="24"/>
        </w:rPr>
        <w:t> 方案</w:t>
      </w:r>
    </w:p>
    <w:p>
      <w:pPr>
        <w:spacing w:line="357" w:lineRule="auto" w:before="36"/>
        <w:ind w:left="143" w:right="1755" w:firstLine="480"/>
        <w:jc w:val="both"/>
        <w:rPr>
          <w:rFonts w:ascii="宋体" w:hAnsi="宋体" w:cs="宋体" w:eastAsia="宋体" w:hint="default"/>
          <w:sz w:val="24"/>
          <w:szCs w:val="24"/>
        </w:rPr>
      </w:pPr>
      <w:r>
        <w:rPr>
          <w:rFonts w:ascii="宋体" w:hAnsi="宋体" w:cs="宋体" w:eastAsia="宋体" w:hint="default"/>
          <w:spacing w:val="-1"/>
          <w:sz w:val="24"/>
          <w:szCs w:val="24"/>
        </w:rPr>
        <w:t>天健正信会计师事务所有限公司为公司出具了天健正信审（</w:t>
      </w:r>
      <w:r>
        <w:rPr>
          <w:rFonts w:ascii="宋体" w:hAnsi="宋体" w:cs="宋体" w:eastAsia="宋体" w:hint="default"/>
          <w:spacing w:val="-1"/>
          <w:sz w:val="24"/>
          <w:szCs w:val="24"/>
        </w:rPr>
        <w:t>2011</w:t>
      </w:r>
      <w:r>
        <w:rPr>
          <w:rFonts w:ascii="宋体" w:hAnsi="宋体" w:cs="宋体" w:eastAsia="宋体" w:hint="default"/>
          <w:spacing w:val="-1"/>
          <w:sz w:val="24"/>
          <w:szCs w:val="24"/>
        </w:rPr>
        <w:t>）特字第</w:t>
      </w:r>
      <w:r>
        <w:rPr>
          <w:rFonts w:ascii="宋体" w:hAnsi="宋体" w:cs="宋体" w:eastAsia="宋体" w:hint="default"/>
          <w:spacing w:val="-1"/>
          <w:sz w:val="24"/>
          <w:szCs w:val="24"/>
        </w:rPr>
        <w:t>030024</w:t>
      </w:r>
      <w:r>
        <w:rPr>
          <w:rFonts w:ascii="宋体" w:hAnsi="宋体" w:cs="宋体" w:eastAsia="宋体" w:hint="default"/>
          <w:sz w:val="24"/>
          <w:szCs w:val="24"/>
        </w:rPr>
        <w:t> </w:t>
      </w:r>
      <w:r>
        <w:rPr>
          <w:rFonts w:ascii="宋体" w:hAnsi="宋体" w:cs="宋体" w:eastAsia="宋体" w:hint="default"/>
          <w:spacing w:val="4"/>
          <w:sz w:val="24"/>
          <w:szCs w:val="24"/>
        </w:rPr>
        <w:t>号《关于重庆华智控股股份有限公司控股股东及其他关联方资金占用情况的专项说</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40"/>
          <w:sz w:val="24"/>
          <w:szCs w:val="24"/>
        </w:rPr>
        <w:t>明》。</w:t>
      </w:r>
    </w:p>
    <w:p>
      <w:pPr>
        <w:spacing w:before="37"/>
        <w:ind w:left="626" w:right="1622" w:firstLine="0"/>
        <w:jc w:val="left"/>
        <w:rPr>
          <w:rFonts w:ascii="宋体" w:hAnsi="宋体" w:cs="宋体" w:eastAsia="宋体" w:hint="default"/>
          <w:sz w:val="24"/>
          <w:szCs w:val="24"/>
        </w:rPr>
      </w:pPr>
      <w:r>
        <w:rPr>
          <w:rFonts w:ascii="宋体" w:hAnsi="宋体" w:cs="宋体" w:eastAsia="宋体" w:hint="default"/>
          <w:spacing w:val="-5"/>
          <w:sz w:val="24"/>
          <w:szCs w:val="24"/>
        </w:rPr>
        <w:t>截止</w:t>
      </w:r>
      <w:r>
        <w:rPr>
          <w:rFonts w:ascii="宋体" w:hAnsi="宋体" w:cs="宋体" w:eastAsia="宋体" w:hint="default"/>
          <w:spacing w:val="-5"/>
          <w:sz w:val="24"/>
          <w:szCs w:val="24"/>
        </w:rPr>
        <w:t>2010</w:t>
      </w:r>
      <w:r>
        <w:rPr>
          <w:rFonts w:ascii="宋体" w:hAnsi="宋体" w:cs="宋体" w:eastAsia="宋体" w:hint="default"/>
          <w:spacing w:val="-5"/>
          <w:sz w:val="24"/>
          <w:szCs w:val="24"/>
        </w:rPr>
        <w:t>年</w:t>
      </w:r>
      <w:r>
        <w:rPr>
          <w:rFonts w:ascii="宋体" w:hAnsi="宋体" w:cs="宋体" w:eastAsia="宋体" w:hint="default"/>
          <w:spacing w:val="-5"/>
          <w:sz w:val="24"/>
          <w:szCs w:val="24"/>
        </w:rPr>
        <w:t>12</w:t>
      </w:r>
      <w:r>
        <w:rPr>
          <w:rFonts w:ascii="宋体" w:hAnsi="宋体" w:cs="宋体" w:eastAsia="宋体" w:hint="default"/>
          <w:spacing w:val="-5"/>
          <w:sz w:val="24"/>
          <w:szCs w:val="24"/>
        </w:rPr>
        <w:t>月</w:t>
      </w:r>
      <w:r>
        <w:rPr>
          <w:rFonts w:ascii="宋体" w:hAnsi="宋体" w:cs="宋体" w:eastAsia="宋体" w:hint="default"/>
          <w:spacing w:val="-5"/>
          <w:sz w:val="24"/>
          <w:szCs w:val="24"/>
        </w:rPr>
        <w:t>31</w:t>
      </w:r>
      <w:r>
        <w:rPr>
          <w:rFonts w:ascii="宋体" w:hAnsi="宋体" w:cs="宋体" w:eastAsia="宋体" w:hint="default"/>
          <w:spacing w:val="-5"/>
          <w:sz w:val="24"/>
          <w:szCs w:val="24"/>
        </w:rPr>
        <w:t>日，控股股东、实际控制人及其附属企业无非经营性资金占用。</w:t>
      </w:r>
    </w:p>
    <w:p>
      <w:pPr>
        <w:spacing w:line="357" w:lineRule="auto" w:before="154"/>
        <w:ind w:left="626" w:right="3140" w:firstLine="0"/>
        <w:jc w:val="left"/>
        <w:rPr>
          <w:rFonts w:ascii="宋体" w:hAnsi="宋体" w:cs="宋体" w:eastAsia="宋体" w:hint="default"/>
          <w:sz w:val="24"/>
          <w:szCs w:val="24"/>
        </w:rPr>
      </w:pPr>
      <w:r>
        <w:rPr>
          <w:rFonts w:ascii="宋体" w:hAnsi="宋体" w:cs="宋体" w:eastAsia="宋体" w:hint="default"/>
          <w:sz w:val="24"/>
          <w:szCs w:val="24"/>
        </w:rPr>
        <w:t>（七）信息披露报纸 </w:t>
      </w:r>
      <w:r>
        <w:rPr>
          <w:rFonts w:ascii="宋体" w:hAnsi="宋体" w:cs="宋体" w:eastAsia="宋体" w:hint="default"/>
          <w:spacing w:val="-8"/>
          <w:sz w:val="24"/>
          <w:szCs w:val="24"/>
        </w:rPr>
        <w:t>公司选定《中国证券报》、《证券时报》为公司信息披露指定报纸。</w:t>
      </w:r>
    </w:p>
    <w:p>
      <w:pPr>
        <w:spacing w:line="357" w:lineRule="auto" w:before="36"/>
        <w:ind w:left="143" w:right="1754" w:firstLine="480"/>
        <w:jc w:val="both"/>
        <w:rPr>
          <w:rFonts w:ascii="宋体" w:hAnsi="宋体" w:cs="宋体" w:eastAsia="宋体" w:hint="default"/>
          <w:sz w:val="24"/>
          <w:szCs w:val="24"/>
        </w:rPr>
      </w:pPr>
      <w:r>
        <w:rPr>
          <w:rFonts w:ascii="宋体" w:hAnsi="宋体" w:cs="宋体" w:eastAsia="宋体" w:hint="default"/>
          <w:spacing w:val="-1"/>
          <w:sz w:val="24"/>
          <w:szCs w:val="24"/>
        </w:rPr>
        <w:t>（八）</w:t>
      </w:r>
      <w:r>
        <w:rPr>
          <w:rFonts w:ascii="宋体" w:hAnsi="宋体" w:cs="宋体" w:eastAsia="宋体" w:hint="default"/>
          <w:spacing w:val="-1"/>
          <w:sz w:val="24"/>
          <w:szCs w:val="24"/>
        </w:rPr>
        <w:t>2010</w:t>
      </w:r>
      <w:r>
        <w:rPr>
          <w:rFonts w:ascii="宋体" w:hAnsi="宋体" w:cs="宋体" w:eastAsia="宋体" w:hint="default"/>
          <w:spacing w:val="-1"/>
          <w:sz w:val="24"/>
          <w:szCs w:val="24"/>
        </w:rPr>
        <w:t>年度公司内幕信息知情人管理制度的执行情况、本年度公司自查内幕</w:t>
      </w:r>
      <w:r>
        <w:rPr>
          <w:rFonts w:ascii="宋体" w:hAnsi="宋体" w:cs="宋体" w:eastAsia="宋体" w:hint="default"/>
          <w:sz w:val="24"/>
          <w:szCs w:val="24"/>
        </w:rPr>
        <w:t> </w:t>
      </w:r>
      <w:r>
        <w:rPr>
          <w:rFonts w:ascii="宋体" w:hAnsi="宋体" w:cs="宋体" w:eastAsia="宋体" w:hint="default"/>
          <w:spacing w:val="4"/>
          <w:sz w:val="24"/>
          <w:szCs w:val="24"/>
        </w:rPr>
        <w:t>信息知情人在影响公司股价的重大敏感信息披露前利用内幕信息买卖公司股份的情</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况以及监管部门的查处和整改情况。</w:t>
      </w:r>
    </w:p>
    <w:p>
      <w:pPr>
        <w:spacing w:line="357" w:lineRule="auto" w:before="36"/>
        <w:ind w:left="143" w:right="1754" w:firstLine="480"/>
        <w:jc w:val="both"/>
        <w:rPr>
          <w:rFonts w:ascii="宋体" w:hAnsi="宋体" w:cs="宋体" w:eastAsia="宋体" w:hint="default"/>
          <w:sz w:val="24"/>
          <w:szCs w:val="24"/>
        </w:rPr>
      </w:pPr>
      <w:r>
        <w:rPr>
          <w:rFonts w:ascii="宋体" w:hAnsi="宋体" w:cs="宋体" w:eastAsia="宋体" w:hint="default"/>
          <w:spacing w:val="-1"/>
          <w:sz w:val="24"/>
          <w:szCs w:val="24"/>
        </w:rPr>
        <w:t>为加强公司定期报告及重大事项在编制、审议和披露期间，公司外部信息报送和</w:t>
      </w:r>
      <w:r>
        <w:rPr>
          <w:rFonts w:ascii="宋体" w:hAnsi="宋体" w:cs="宋体" w:eastAsia="宋体" w:hint="default"/>
          <w:sz w:val="24"/>
          <w:szCs w:val="24"/>
        </w:rPr>
        <w:t> </w:t>
      </w:r>
      <w:r>
        <w:rPr>
          <w:rFonts w:ascii="宋体" w:hAnsi="宋体" w:cs="宋体" w:eastAsia="宋体" w:hint="default"/>
          <w:spacing w:val="-8"/>
          <w:sz w:val="24"/>
          <w:szCs w:val="24"/>
        </w:rPr>
        <w:t>使用管理，依据《公司法》、《证券法》及中国证监会、深圳证券交易所的相关文件要</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求，公司结合实际情况制定了《内幕信息知情人登记备案制度》和《外部信息报送和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0"/>
          <w:sz w:val="24"/>
          <w:szCs w:val="24"/>
        </w:rPr>
        <w:t>使用管理制度》，并经公司</w:t>
      </w:r>
      <w:r>
        <w:rPr>
          <w:rFonts w:ascii="宋体" w:hAnsi="宋体" w:cs="宋体" w:eastAsia="宋体" w:hint="default"/>
          <w:spacing w:val="-46"/>
          <w:sz w:val="24"/>
          <w:szCs w:val="24"/>
        </w:rPr>
        <w:t> </w:t>
      </w:r>
      <w:r>
        <w:rPr>
          <w:rFonts w:ascii="宋体" w:hAnsi="宋体" w:cs="宋体" w:eastAsia="宋体" w:hint="default"/>
          <w:sz w:val="24"/>
          <w:szCs w:val="24"/>
        </w:rPr>
        <w:t>2010</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3</w:t>
      </w:r>
      <w:r>
        <w:rPr>
          <w:rFonts w:ascii="宋体" w:hAnsi="宋体" w:cs="宋体" w:eastAsia="宋体" w:hint="default"/>
          <w:spacing w:val="-4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宋体" w:hAnsi="宋体" w:cs="宋体" w:eastAsia="宋体" w:hint="default"/>
          <w:sz w:val="24"/>
          <w:szCs w:val="24"/>
        </w:rPr>
        <w:t>18</w:t>
      </w:r>
      <w:r>
        <w:rPr>
          <w:rFonts w:ascii="宋体" w:hAnsi="宋体" w:cs="宋体" w:eastAsia="宋体" w:hint="default"/>
          <w:spacing w:val="-48"/>
          <w:sz w:val="24"/>
          <w:szCs w:val="24"/>
        </w:rPr>
        <w:t> </w:t>
      </w:r>
      <w:r>
        <w:rPr>
          <w:rFonts w:ascii="宋体" w:hAnsi="宋体" w:cs="宋体" w:eastAsia="宋体" w:hint="default"/>
          <w:sz w:val="24"/>
          <w:szCs w:val="24"/>
        </w:rPr>
        <w:t>日召开的第六届董事会第八次会议审议通 过。</w:t>
      </w:r>
    </w:p>
    <w:p>
      <w:pPr>
        <w:spacing w:line="357" w:lineRule="auto" w:before="36"/>
        <w:ind w:left="143" w:right="1719" w:firstLine="480"/>
        <w:jc w:val="both"/>
        <w:rPr>
          <w:rFonts w:ascii="宋体" w:hAnsi="宋体" w:cs="宋体" w:eastAsia="宋体" w:hint="default"/>
          <w:sz w:val="24"/>
          <w:szCs w:val="24"/>
        </w:rPr>
      </w:pPr>
      <w:r>
        <w:rPr>
          <w:rFonts w:ascii="宋体" w:hAnsi="宋体" w:cs="宋体" w:eastAsia="宋体" w:hint="default"/>
          <w:spacing w:val="-1"/>
          <w:sz w:val="24"/>
          <w:szCs w:val="24"/>
        </w:rPr>
        <w:t>公司对重大事项发生期间及定期报告期间内幕信息管理情况进行了专项核查。经</w:t>
      </w:r>
      <w:r>
        <w:rPr>
          <w:rFonts w:ascii="宋体" w:hAnsi="宋体" w:cs="宋体" w:eastAsia="宋体" w:hint="default"/>
          <w:sz w:val="24"/>
          <w:szCs w:val="24"/>
        </w:rPr>
        <w:t> 自查，报告期内，公司切实做到了在定期报告及重大事项的编制、审议和披露期间， 公司内幕信息知情人严守保密规定，没有向外界泄露、透漏、传播公司的内幕信息， </w:t>
      </w:r>
      <w:r>
        <w:rPr>
          <w:rFonts w:ascii="宋体" w:hAnsi="宋体" w:cs="宋体" w:eastAsia="宋体" w:hint="default"/>
          <w:spacing w:val="4"/>
          <w:sz w:val="24"/>
          <w:szCs w:val="24"/>
        </w:rPr>
        <w:t>不存在内幕信息知情人在影响公司股价的重大敏感信息披露前利用内幕信息买卖公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1"/>
          <w:sz w:val="24"/>
          <w:szCs w:val="24"/>
        </w:rPr>
        <w:t>司股票的情况、不存在监管部门查处和要求整改的情况。同时，公司对内幕信息知情</w:t>
      </w:r>
      <w:r>
        <w:rPr>
          <w:rFonts w:ascii="宋体" w:hAnsi="宋体" w:cs="宋体" w:eastAsia="宋体" w:hint="default"/>
          <w:sz w:val="24"/>
          <w:szCs w:val="24"/>
        </w:rPr>
        <w:t> </w:t>
      </w:r>
      <w:r>
        <w:rPr>
          <w:rFonts w:ascii="宋体" w:hAnsi="宋体" w:cs="宋体" w:eastAsia="宋体" w:hint="default"/>
          <w:spacing w:val="-2"/>
          <w:sz w:val="24"/>
          <w:szCs w:val="24"/>
        </w:rPr>
        <w:t>人进行了登记，并按照规定向深圳证券交易所、重庆证监局进行报备。公司《内幕信</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息知情人登记备案制度》和《外部信息报送和使用管理制度》执行到位、控制有效。</w:t>
      </w:r>
    </w:p>
    <w:p>
      <w:pPr>
        <w:spacing w:after="0" w:line="357" w:lineRule="auto"/>
        <w:jc w:val="both"/>
        <w:rPr>
          <w:rFonts w:ascii="宋体" w:hAnsi="宋体" w:cs="宋体" w:eastAsia="宋体" w:hint="default"/>
          <w:sz w:val="24"/>
          <w:szCs w:val="24"/>
        </w:rPr>
        <w:sectPr>
          <w:pgSz w:w="11910" w:h="16840"/>
          <w:pgMar w:header="752" w:footer="955" w:top="1020" w:bottom="1140" w:left="1160" w:right="0"/>
        </w:sectPr>
      </w:pPr>
    </w:p>
    <w:p>
      <w:pPr>
        <w:spacing w:line="240" w:lineRule="auto" w:before="6"/>
        <w:rPr>
          <w:rFonts w:ascii="宋体" w:hAnsi="宋体" w:cs="宋体" w:eastAsia="宋体" w:hint="default"/>
          <w:sz w:val="29"/>
          <w:szCs w:val="29"/>
        </w:rPr>
      </w:pPr>
    </w:p>
    <w:p>
      <w:pPr>
        <w:spacing w:before="14"/>
        <w:ind w:left="698" w:right="1166" w:firstLine="0"/>
        <w:jc w:val="left"/>
        <w:rPr>
          <w:rFonts w:ascii="宋体" w:hAnsi="宋体" w:cs="宋体" w:eastAsia="宋体" w:hint="default"/>
          <w:sz w:val="28"/>
          <w:szCs w:val="28"/>
        </w:rPr>
      </w:pPr>
      <w:r>
        <w:rPr>
          <w:rFonts w:ascii="宋体" w:hAnsi="宋体" w:cs="宋体" w:eastAsia="宋体" w:hint="default"/>
          <w:b/>
          <w:bCs/>
          <w:sz w:val="28"/>
          <w:szCs w:val="28"/>
        </w:rPr>
        <w:t>八、监事会报告</w:t>
      </w:r>
      <w:r>
        <w:rPr>
          <w:rFonts w:ascii="宋体" w:hAnsi="宋体" w:cs="宋体" w:eastAsia="宋体" w:hint="default"/>
          <w:sz w:val="28"/>
          <w:szCs w:val="28"/>
        </w:rPr>
      </w:r>
    </w:p>
    <w:p>
      <w:pPr>
        <w:spacing w:line="357" w:lineRule="auto" w:before="187"/>
        <w:ind w:left="619" w:right="1179" w:firstLine="0"/>
        <w:jc w:val="left"/>
        <w:rPr>
          <w:rFonts w:ascii="宋体" w:hAnsi="宋体" w:cs="宋体" w:eastAsia="宋体" w:hint="default"/>
          <w:sz w:val="24"/>
          <w:szCs w:val="24"/>
        </w:rPr>
      </w:pPr>
      <w:r>
        <w:rPr>
          <w:rFonts w:ascii="宋体" w:hAnsi="宋体" w:cs="宋体" w:eastAsia="宋体" w:hint="default"/>
          <w:sz w:val="24"/>
          <w:szCs w:val="24"/>
        </w:rPr>
        <w:t>（一）监事会会议召开情况 </w:t>
      </w:r>
      <w:r>
        <w:rPr>
          <w:rFonts w:ascii="宋体" w:hAnsi="宋体" w:cs="宋体" w:eastAsia="宋体" w:hint="default"/>
          <w:spacing w:val="-14"/>
          <w:sz w:val="24"/>
          <w:szCs w:val="24"/>
        </w:rPr>
        <w:t>报告期内监事会共召开</w:t>
      </w:r>
      <w:r>
        <w:rPr>
          <w:rFonts w:ascii="宋体" w:hAnsi="宋体" w:cs="宋体" w:eastAsia="宋体" w:hint="default"/>
          <w:spacing w:val="-14"/>
          <w:sz w:val="24"/>
          <w:szCs w:val="24"/>
        </w:rPr>
        <w:t>6</w:t>
      </w:r>
      <w:r>
        <w:rPr>
          <w:rFonts w:ascii="宋体" w:hAnsi="宋体" w:cs="宋体" w:eastAsia="宋体" w:hint="default"/>
          <w:spacing w:val="-14"/>
          <w:sz w:val="24"/>
          <w:szCs w:val="24"/>
        </w:rPr>
        <w:t>次会议，所有公告均刊登在《中国证券报》、《证券时报》、</w:t>
      </w:r>
    </w:p>
    <w:p>
      <w:pPr>
        <w:spacing w:before="36"/>
        <w:ind w:left="137" w:right="1166" w:firstLine="0"/>
        <w:jc w:val="left"/>
        <w:rPr>
          <w:rFonts w:ascii="宋体" w:hAnsi="宋体" w:cs="宋体" w:eastAsia="宋体" w:hint="default"/>
          <w:sz w:val="24"/>
          <w:szCs w:val="24"/>
        </w:rPr>
      </w:pPr>
      <w:r>
        <w:rPr>
          <w:rFonts w:ascii="宋体" w:hAnsi="宋体" w:cs="宋体" w:eastAsia="宋体" w:hint="default"/>
          <w:sz w:val="24"/>
          <w:szCs w:val="24"/>
        </w:rPr>
        <w:t>巨潮资讯网（</w:t>
      </w:r>
      <w:hyperlink r:id="rId13">
        <w:r>
          <w:rPr>
            <w:rFonts w:ascii="宋体" w:hAnsi="宋体" w:cs="宋体" w:eastAsia="宋体" w:hint="default"/>
            <w:sz w:val="24"/>
            <w:szCs w:val="24"/>
          </w:rPr>
          <w:t>www.cninfo.com.cn</w:t>
        </w:r>
      </w:hyperlink>
      <w:r>
        <w:rPr>
          <w:rFonts w:ascii="宋体" w:hAnsi="宋体" w:cs="宋体" w:eastAsia="宋体" w:hint="default"/>
          <w:sz w:val="24"/>
          <w:szCs w:val="24"/>
        </w:rPr>
        <w:t>）上。</w:t>
      </w:r>
    </w:p>
    <w:p>
      <w:pPr>
        <w:spacing w:line="240" w:lineRule="auto" w:before="1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1366"/>
        <w:gridCol w:w="1786"/>
        <w:gridCol w:w="3990"/>
        <w:gridCol w:w="1680"/>
      </w:tblGrid>
      <w:tr>
        <w:trPr>
          <w:trHeight w:val="84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监事会届次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监事会会议时间</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监事会议题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15" w:right="305" w:hanging="106"/>
              <w:jc w:val="left"/>
              <w:rPr>
                <w:rFonts w:ascii="宋体" w:hAnsi="宋体" w:cs="宋体" w:eastAsia="宋体" w:hint="default"/>
                <w:sz w:val="21"/>
                <w:szCs w:val="21"/>
              </w:rPr>
            </w:pPr>
            <w:r>
              <w:rPr>
                <w:rFonts w:ascii="宋体" w:hAnsi="宋体" w:cs="宋体" w:eastAsia="宋体" w:hint="default"/>
                <w:sz w:val="21"/>
                <w:szCs w:val="21"/>
              </w:rPr>
              <w:t>监事会决议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公告时间</w:t>
            </w: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六届四次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宋体"/>
                <w:sz w:val="21"/>
              </w:rPr>
              <w:t>2010.02.08</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《关于调整公司部分监事的议案》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sz w:val="21"/>
              </w:rPr>
              <w:t>2010.02.09</w:t>
            </w: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六届五次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2010.02.26</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《选举监事会主席的议案》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2010.02.27</w:t>
            </w:r>
          </w:p>
        </w:tc>
      </w:tr>
      <w:tr>
        <w:trPr>
          <w:trHeight w:val="19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六届六次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2010.03.18</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58"/>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w:t>
            </w:r>
            <w:r>
              <w:rPr>
                <w:rFonts w:ascii="宋体" w:hAnsi="宋体" w:cs="宋体" w:eastAsia="宋体" w:hint="default"/>
                <w:spacing w:val="-3"/>
                <w:w w:val="100"/>
                <w:sz w:val="21"/>
                <w:szCs w:val="21"/>
              </w:rPr>
              <w:t>报</w:t>
            </w:r>
            <w:r>
              <w:rPr>
                <w:rFonts w:ascii="宋体" w:hAnsi="宋体" w:cs="宋体" w:eastAsia="宋体" w:hint="default"/>
                <w:w w:val="100"/>
                <w:sz w:val="21"/>
                <w:szCs w:val="21"/>
              </w:rPr>
              <w:t>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9</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2010.03.20</w:t>
            </w: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六届七次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2010.04.26</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年第一季度报告》</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六届八次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2010.08.30</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半</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及</w:t>
            </w:r>
            <w:r>
              <w:rPr>
                <w:rFonts w:ascii="宋体" w:hAnsi="宋体" w:cs="宋体" w:eastAsia="宋体" w:hint="default"/>
                <w:w w:val="100"/>
                <w:sz w:val="21"/>
                <w:szCs w:val="21"/>
              </w:rPr>
              <w:t>报告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2010.08.31</w:t>
            </w:r>
          </w:p>
        </w:tc>
      </w:tr>
      <w:tr>
        <w:trPr>
          <w:trHeight w:val="52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六届九次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2010.10.28</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年第三季度报告》</w:t>
            </w: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79"/>
        <w:ind w:left="617" w:right="1166" w:firstLine="2"/>
        <w:jc w:val="left"/>
        <w:rPr>
          <w:rFonts w:ascii="宋体" w:hAnsi="宋体" w:cs="宋体" w:eastAsia="宋体" w:hint="default"/>
          <w:sz w:val="24"/>
          <w:szCs w:val="24"/>
        </w:rPr>
      </w:pPr>
      <w:r>
        <w:rPr>
          <w:rFonts w:ascii="宋体" w:hAnsi="宋体" w:cs="宋体" w:eastAsia="宋体" w:hint="default"/>
          <w:sz w:val="24"/>
          <w:szCs w:val="24"/>
        </w:rPr>
        <w:t>（二）对</w:t>
      </w:r>
      <w:r>
        <w:rPr>
          <w:rFonts w:ascii="宋体" w:hAnsi="宋体" w:cs="宋体" w:eastAsia="宋体" w:hint="default"/>
          <w:sz w:val="24"/>
          <w:szCs w:val="24"/>
        </w:rPr>
        <w:t>2010</w:t>
      </w:r>
      <w:r>
        <w:rPr>
          <w:rFonts w:ascii="宋体" w:hAnsi="宋体" w:cs="宋体" w:eastAsia="宋体" w:hint="default"/>
          <w:sz w:val="24"/>
          <w:szCs w:val="24"/>
        </w:rPr>
        <w:t>年度有关事项发表的独立意见 </w:t>
      </w:r>
      <w:r>
        <w:rPr>
          <w:rFonts w:ascii="宋体" w:hAnsi="宋体" w:cs="宋体" w:eastAsia="宋体" w:hint="default"/>
          <w:spacing w:val="-2"/>
          <w:sz w:val="24"/>
          <w:szCs w:val="24"/>
        </w:rPr>
        <w:t>报告期内，公司监事会认真履行《公司章程》所赋予的职责，本着勤勉、尽责的</w:t>
      </w:r>
    </w:p>
    <w:p>
      <w:pPr>
        <w:spacing w:line="357" w:lineRule="auto" w:before="36"/>
        <w:ind w:left="137" w:right="1249" w:firstLine="0"/>
        <w:jc w:val="left"/>
        <w:rPr>
          <w:rFonts w:ascii="宋体" w:hAnsi="宋体" w:cs="宋体" w:eastAsia="宋体" w:hint="default"/>
          <w:sz w:val="24"/>
          <w:szCs w:val="24"/>
        </w:rPr>
      </w:pPr>
      <w:r>
        <w:rPr>
          <w:rFonts w:ascii="宋体" w:hAnsi="宋体" w:cs="宋体" w:eastAsia="宋体" w:hint="default"/>
          <w:spacing w:val="-1"/>
          <w:sz w:val="24"/>
          <w:szCs w:val="24"/>
        </w:rPr>
        <w:t>工作态度对公司的经营状况、财务状况和董事、高级管理人员的执行职务情况进行了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监督，对公司的经营提出了合理化建议，并对本年度的有关事项发表如下独立意见：</w:t>
      </w:r>
    </w:p>
    <w:p>
      <w:pPr>
        <w:spacing w:line="357" w:lineRule="auto" w:before="36"/>
        <w:ind w:left="617" w:right="1166"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、公司依法运作情况 </w:t>
      </w:r>
      <w:r>
        <w:rPr>
          <w:rFonts w:ascii="宋体" w:hAnsi="宋体" w:cs="宋体" w:eastAsia="宋体" w:hint="default"/>
          <w:spacing w:val="-5"/>
          <w:sz w:val="24"/>
          <w:szCs w:val="24"/>
        </w:rPr>
        <w:t>报告期内，公司监事列席了公司召开的所有股东大会、董事会，并根据有关法律、</w:t>
      </w:r>
    </w:p>
    <w:p>
      <w:pPr>
        <w:spacing w:line="357" w:lineRule="auto" w:before="36"/>
        <w:ind w:left="137" w:right="1166" w:firstLine="0"/>
        <w:jc w:val="left"/>
        <w:rPr>
          <w:rFonts w:ascii="宋体" w:hAnsi="宋体" w:cs="宋体" w:eastAsia="宋体" w:hint="default"/>
          <w:sz w:val="24"/>
          <w:szCs w:val="24"/>
        </w:rPr>
      </w:pPr>
      <w:r>
        <w:rPr>
          <w:rFonts w:ascii="宋体" w:hAnsi="宋体" w:cs="宋体" w:eastAsia="宋体" w:hint="default"/>
          <w:sz w:val="24"/>
          <w:szCs w:val="24"/>
        </w:rPr>
        <w:t>法规，对股东大会、董事会的召开程序、决议事项、决策程序，董事会对股东大会决 议的执行情况、公司董事、经理执行公司职务的情况进行了监督。监事会认为，公司 </w:t>
      </w:r>
      <w:r>
        <w:rPr>
          <w:rFonts w:ascii="宋体" w:hAnsi="宋体" w:cs="宋体" w:eastAsia="宋体" w:hint="default"/>
          <w:spacing w:val="-8"/>
          <w:sz w:val="24"/>
          <w:szCs w:val="24"/>
        </w:rPr>
        <w:t>董事会能按照《公司法》、《证券法》、《公司章程》、《上市公司治理准则》、《深</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圳证券交易所股票上市规则》等相关法律、法规进行规范运作，能够严格执行股东大</w:t>
      </w:r>
      <w:r>
        <w:rPr>
          <w:rFonts w:ascii="宋体" w:hAnsi="宋体" w:cs="宋体" w:eastAsia="宋体" w:hint="default"/>
          <w:sz w:val="24"/>
          <w:szCs w:val="24"/>
        </w:rPr>
        <w:t> 会的各项决议和授权，决策程序科学、合法。公司本着审慎经营的态度，完善公司内 </w:t>
      </w:r>
      <w:r>
        <w:rPr>
          <w:rFonts w:ascii="宋体" w:hAnsi="宋体" w:cs="宋体" w:eastAsia="宋体" w:hint="default"/>
          <w:spacing w:val="-5"/>
          <w:sz w:val="24"/>
          <w:szCs w:val="24"/>
        </w:rPr>
        <w:t>部控制制度。公司董事、高级管理人员均能履行诚信、勤勉义务。没有发现公司董事、</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经理履行公司职务时有违反法律、法规、公司章程或损害公司利益的行为。</w:t>
      </w:r>
    </w:p>
    <w:p>
      <w:pPr>
        <w:spacing w:after="0" w:line="357" w:lineRule="auto"/>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623" w:right="174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、公司财务检查情况 </w:t>
      </w:r>
      <w:r>
        <w:rPr>
          <w:rFonts w:ascii="宋体" w:hAnsi="宋体" w:cs="宋体" w:eastAsia="宋体" w:hint="default"/>
          <w:spacing w:val="-2"/>
          <w:sz w:val="24"/>
          <w:szCs w:val="24"/>
        </w:rPr>
        <w:t>报告期内公司监事会采取加强内部审计和经常深入实际等多种形式，对公司财务</w:t>
      </w:r>
    </w:p>
    <w:p>
      <w:pPr>
        <w:spacing w:line="357" w:lineRule="auto" w:before="36"/>
        <w:ind w:left="143" w:right="1755" w:firstLine="0"/>
        <w:jc w:val="both"/>
        <w:rPr>
          <w:rFonts w:ascii="宋体" w:hAnsi="宋体" w:cs="宋体" w:eastAsia="宋体" w:hint="default"/>
          <w:sz w:val="24"/>
          <w:szCs w:val="24"/>
        </w:rPr>
      </w:pPr>
      <w:r>
        <w:rPr>
          <w:rFonts w:ascii="宋体" w:hAnsi="宋体" w:cs="宋体" w:eastAsia="宋体" w:hint="default"/>
          <w:spacing w:val="-1"/>
          <w:sz w:val="24"/>
          <w:szCs w:val="24"/>
        </w:rPr>
        <w:t>制度执行情况、财务状况进行了认真检查。认为公司</w:t>
      </w:r>
      <w:r>
        <w:rPr>
          <w:rFonts w:ascii="宋体" w:hAnsi="宋体" w:cs="宋体" w:eastAsia="宋体" w:hint="default"/>
          <w:spacing w:val="-1"/>
          <w:sz w:val="24"/>
          <w:szCs w:val="24"/>
        </w:rPr>
        <w:t>2010</w:t>
      </w:r>
      <w:r>
        <w:rPr>
          <w:rFonts w:ascii="宋体" w:hAnsi="宋体" w:cs="宋体" w:eastAsia="宋体" w:hint="default"/>
          <w:spacing w:val="-1"/>
          <w:sz w:val="24"/>
          <w:szCs w:val="24"/>
        </w:rPr>
        <w:t>年度财务报告客观、真实反</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映了公司的财务状况和经营成果。天健正信会计师事务所有限公司出具的标准无保留</w:t>
      </w:r>
      <w:r>
        <w:rPr>
          <w:rFonts w:ascii="宋体" w:hAnsi="宋体" w:cs="宋体" w:eastAsia="宋体" w:hint="default"/>
          <w:sz w:val="24"/>
          <w:szCs w:val="24"/>
        </w:rPr>
        <w:t> 审计意见和对公司有关事项作出的评价是客观公正的。</w:t>
      </w:r>
    </w:p>
    <w:p>
      <w:pPr>
        <w:spacing w:line="357" w:lineRule="auto" w:before="36"/>
        <w:ind w:left="623" w:right="626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、公司最近一次募集资金使用情况 报告期内公司无募集资金使用情况。 </w:t>
      </w:r>
      <w:r>
        <w:rPr>
          <w:rFonts w:ascii="宋体" w:hAnsi="宋体" w:cs="宋体" w:eastAsia="宋体" w:hint="default"/>
          <w:sz w:val="24"/>
          <w:szCs w:val="24"/>
        </w:rPr>
        <w:t>4</w:t>
      </w:r>
      <w:r>
        <w:rPr>
          <w:rFonts w:ascii="宋体" w:hAnsi="宋体" w:cs="宋体" w:eastAsia="宋体" w:hint="default"/>
          <w:sz w:val="24"/>
          <w:szCs w:val="24"/>
        </w:rPr>
        <w:t>、公司收购、出售资产情况</w:t>
      </w:r>
    </w:p>
    <w:p>
      <w:pPr>
        <w:spacing w:line="357" w:lineRule="auto" w:before="37"/>
        <w:ind w:left="143" w:right="1738" w:firstLine="480"/>
        <w:jc w:val="left"/>
        <w:rPr>
          <w:rFonts w:ascii="宋体" w:hAnsi="宋体" w:cs="宋体" w:eastAsia="宋体" w:hint="default"/>
          <w:sz w:val="24"/>
          <w:szCs w:val="24"/>
        </w:rPr>
      </w:pPr>
      <w:r>
        <w:rPr>
          <w:rFonts w:ascii="宋体" w:hAnsi="宋体" w:cs="宋体" w:eastAsia="宋体" w:hint="default"/>
          <w:spacing w:val="-1"/>
          <w:sz w:val="24"/>
          <w:szCs w:val="24"/>
        </w:rPr>
        <w:t>报告期内公司收购、出售资产的交易价格合理，没有发现内幕交易及损害部分股</w:t>
      </w:r>
      <w:r>
        <w:rPr>
          <w:rFonts w:ascii="宋体" w:hAnsi="宋体" w:cs="宋体" w:eastAsia="宋体" w:hint="default"/>
          <w:sz w:val="24"/>
          <w:szCs w:val="24"/>
        </w:rPr>
        <w:t> 东的权益或造成公司资产流失的行为。</w:t>
      </w:r>
    </w:p>
    <w:p>
      <w:pPr>
        <w:spacing w:line="357" w:lineRule="auto"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、关联交易情况 </w:t>
      </w:r>
      <w:r>
        <w:rPr>
          <w:rFonts w:ascii="宋体" w:hAnsi="宋体" w:cs="宋体" w:eastAsia="宋体" w:hint="default"/>
          <w:spacing w:val="-2"/>
          <w:sz w:val="24"/>
          <w:szCs w:val="24"/>
        </w:rPr>
        <w:t>报告期内发生的关联交易公平、合理，没有损害上市公司利益和中小股东利益的</w:t>
      </w:r>
    </w:p>
    <w:p>
      <w:pPr>
        <w:spacing w:before="36"/>
        <w:ind w:left="143" w:right="1740" w:firstLine="0"/>
        <w:jc w:val="left"/>
        <w:rPr>
          <w:rFonts w:ascii="宋体" w:hAnsi="宋体" w:cs="宋体" w:eastAsia="宋体" w:hint="default"/>
          <w:sz w:val="24"/>
          <w:szCs w:val="24"/>
        </w:rPr>
      </w:pPr>
      <w:r>
        <w:rPr>
          <w:rFonts w:ascii="宋体" w:hAnsi="宋体" w:cs="宋体" w:eastAsia="宋体" w:hint="default"/>
          <w:sz w:val="24"/>
          <w:szCs w:val="24"/>
        </w:rPr>
        <w:t>情况。</w:t>
      </w:r>
    </w:p>
    <w:p>
      <w:pPr>
        <w:spacing w:line="357" w:lineRule="auto" w:before="154"/>
        <w:ind w:left="683" w:right="1883"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、对会计师事务所出具的审计报告意见 本年度天健正信会计师事务所有限公司为本公司</w:t>
      </w:r>
      <w:r>
        <w:rPr>
          <w:rFonts w:ascii="宋体" w:hAnsi="宋体" w:cs="宋体" w:eastAsia="宋体" w:hint="default"/>
          <w:sz w:val="24"/>
          <w:szCs w:val="24"/>
        </w:rPr>
        <w:t>2010</w:t>
      </w:r>
      <w:r>
        <w:rPr>
          <w:rFonts w:ascii="宋体" w:hAnsi="宋体" w:cs="宋体" w:eastAsia="宋体" w:hint="default"/>
          <w:sz w:val="24"/>
          <w:szCs w:val="24"/>
        </w:rPr>
        <w:t>年度财务报告出具了标准</w:t>
      </w:r>
    </w:p>
    <w:p>
      <w:pPr>
        <w:spacing w:line="357" w:lineRule="auto" w:before="36"/>
        <w:ind w:left="143" w:right="1740" w:firstLine="0"/>
        <w:jc w:val="left"/>
        <w:rPr>
          <w:rFonts w:ascii="宋体" w:hAnsi="宋体" w:cs="宋体" w:eastAsia="宋体" w:hint="default"/>
          <w:sz w:val="24"/>
          <w:szCs w:val="24"/>
        </w:rPr>
      </w:pPr>
      <w:r>
        <w:rPr>
          <w:rFonts w:ascii="宋体" w:hAnsi="宋体" w:cs="宋体" w:eastAsia="宋体" w:hint="default"/>
          <w:spacing w:val="-1"/>
          <w:sz w:val="24"/>
          <w:szCs w:val="24"/>
        </w:rPr>
        <w:t>无保留审计意见的审计报告，监事会认为天健正信会计师事务所出具的审计报告意见</w:t>
      </w:r>
      <w:r>
        <w:rPr>
          <w:rFonts w:ascii="宋体" w:hAnsi="宋体" w:cs="宋体" w:eastAsia="宋体" w:hint="default"/>
          <w:sz w:val="24"/>
          <w:szCs w:val="24"/>
        </w:rPr>
        <w:t> 及所涉事项客观公允地反映了公司的实际情况。监事会对该报告内容及结论均无异 议。</w:t>
      </w:r>
    </w:p>
    <w:p>
      <w:pPr>
        <w:spacing w:after="0" w:line="357" w:lineRule="auto"/>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6"/>
        <w:rPr>
          <w:rFonts w:ascii="宋体" w:hAnsi="宋体" w:cs="宋体" w:eastAsia="宋体" w:hint="default"/>
          <w:sz w:val="29"/>
          <w:szCs w:val="29"/>
        </w:rPr>
      </w:pPr>
    </w:p>
    <w:p>
      <w:pPr>
        <w:spacing w:before="14"/>
        <w:ind w:left="619" w:right="1166" w:firstLine="0"/>
        <w:jc w:val="left"/>
        <w:rPr>
          <w:rFonts w:ascii="宋体" w:hAnsi="宋体" w:cs="宋体" w:eastAsia="宋体" w:hint="default"/>
          <w:sz w:val="28"/>
          <w:szCs w:val="28"/>
        </w:rPr>
      </w:pPr>
      <w:r>
        <w:rPr>
          <w:rFonts w:ascii="宋体" w:hAnsi="宋体" w:cs="宋体" w:eastAsia="宋体" w:hint="default"/>
          <w:b/>
          <w:bCs/>
          <w:sz w:val="28"/>
          <w:szCs w:val="28"/>
        </w:rPr>
        <w:t>九、重要事项</w:t>
      </w:r>
      <w:r>
        <w:rPr>
          <w:rFonts w:ascii="宋体" w:hAnsi="宋体" w:cs="宋体" w:eastAsia="宋体" w:hint="default"/>
          <w:sz w:val="28"/>
          <w:szCs w:val="28"/>
        </w:rPr>
      </w:r>
    </w:p>
    <w:p>
      <w:pPr>
        <w:spacing w:line="357" w:lineRule="auto" w:before="187"/>
        <w:ind w:left="617" w:right="1286" w:firstLine="2"/>
        <w:jc w:val="left"/>
        <w:rPr>
          <w:rFonts w:ascii="宋体" w:hAnsi="宋体" w:cs="宋体" w:eastAsia="宋体" w:hint="default"/>
          <w:sz w:val="24"/>
          <w:szCs w:val="24"/>
        </w:rPr>
      </w:pPr>
      <w:r>
        <w:rPr>
          <w:rFonts w:ascii="宋体" w:hAnsi="宋体" w:cs="宋体" w:eastAsia="宋体" w:hint="default"/>
          <w:sz w:val="24"/>
          <w:szCs w:val="24"/>
        </w:rPr>
        <w:t>（一）公司诉讼、仲裁事项 </w:t>
      </w:r>
      <w:r>
        <w:rPr>
          <w:rFonts w:ascii="宋体" w:hAnsi="宋体" w:cs="宋体" w:eastAsia="宋体" w:hint="default"/>
          <w:spacing w:val="-1"/>
          <w:sz w:val="24"/>
          <w:szCs w:val="24"/>
        </w:rPr>
        <w:t>重庆健桥医药开发有限公司于</w:t>
      </w:r>
      <w:r>
        <w:rPr>
          <w:rFonts w:ascii="宋体" w:hAnsi="宋体" w:cs="宋体" w:eastAsia="宋体" w:hint="default"/>
          <w:spacing w:val="-1"/>
          <w:sz w:val="24"/>
          <w:szCs w:val="24"/>
        </w:rPr>
        <w:t>2008</w:t>
      </w:r>
      <w:r>
        <w:rPr>
          <w:rFonts w:ascii="宋体" w:hAnsi="宋体" w:cs="宋体" w:eastAsia="宋体" w:hint="default"/>
          <w:spacing w:val="-1"/>
          <w:sz w:val="24"/>
          <w:szCs w:val="24"/>
        </w:rPr>
        <w:t>年初向重庆市第一中级人民法院提起诉讼，认</w:t>
      </w:r>
    </w:p>
    <w:p>
      <w:pPr>
        <w:spacing w:line="357" w:lineRule="auto" w:before="36"/>
        <w:ind w:left="137" w:right="1299" w:firstLine="0"/>
        <w:jc w:val="left"/>
        <w:rPr>
          <w:rFonts w:ascii="宋体" w:hAnsi="宋体" w:cs="宋体" w:eastAsia="宋体" w:hint="default"/>
          <w:sz w:val="24"/>
          <w:szCs w:val="24"/>
        </w:rPr>
      </w:pPr>
      <w:r>
        <w:rPr>
          <w:rFonts w:ascii="宋体" w:hAnsi="宋体" w:cs="宋体" w:eastAsia="宋体" w:hint="default"/>
          <w:spacing w:val="-1"/>
          <w:sz w:val="24"/>
          <w:szCs w:val="24"/>
        </w:rPr>
        <w:t>为公司产品“科泰复”牌双氢青蒿素哌喹片侵犯其专利，专利号</w:t>
      </w:r>
      <w:r>
        <w:rPr>
          <w:rFonts w:ascii="宋体" w:hAnsi="宋体" w:cs="宋体" w:eastAsia="宋体" w:hint="default"/>
          <w:spacing w:val="-1"/>
          <w:sz w:val="24"/>
          <w:szCs w:val="24"/>
        </w:rPr>
        <w:t>ZL00113134.6</w:t>
      </w:r>
      <w:r>
        <w:rPr>
          <w:rFonts w:ascii="宋体" w:hAnsi="宋体" w:cs="宋体" w:eastAsia="宋体" w:hint="default"/>
          <w:spacing w:val="-1"/>
          <w:sz w:val="24"/>
          <w:szCs w:val="24"/>
        </w:rPr>
        <w:t>。要求</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公司停止生产、销售该产品，并提出赔偿其</w:t>
      </w:r>
      <w:r>
        <w:rPr>
          <w:rFonts w:ascii="宋体" w:hAnsi="宋体" w:cs="宋体" w:eastAsia="宋体" w:hint="default"/>
          <w:sz w:val="24"/>
          <w:szCs w:val="24"/>
        </w:rPr>
        <w:t>1</w:t>
      </w:r>
      <w:r>
        <w:rPr>
          <w:rFonts w:ascii="宋体" w:hAnsi="宋体" w:cs="宋体" w:eastAsia="宋体" w:hint="default"/>
          <w:sz w:val="24"/>
          <w:szCs w:val="24"/>
        </w:rPr>
        <w:t>元经济损失及公开道歉、承担诉讼费用 等。该诉讼案的详细情况参见公司已发布的</w:t>
      </w:r>
      <w:r>
        <w:rPr>
          <w:rFonts w:ascii="宋体" w:hAnsi="宋体" w:cs="宋体" w:eastAsia="宋体" w:hint="default"/>
          <w:sz w:val="24"/>
          <w:szCs w:val="24"/>
        </w:rPr>
        <w:t>2008-02</w:t>
      </w:r>
      <w:r>
        <w:rPr>
          <w:rFonts w:ascii="宋体" w:hAnsi="宋体" w:cs="宋体" w:eastAsia="宋体" w:hint="default"/>
          <w:sz w:val="24"/>
          <w:szCs w:val="24"/>
        </w:rPr>
        <w:t>号公告。</w:t>
      </w:r>
    </w:p>
    <w:p>
      <w:pPr>
        <w:spacing w:line="357" w:lineRule="auto" w:before="36"/>
        <w:ind w:left="137" w:right="1301" w:firstLine="479"/>
        <w:jc w:val="left"/>
        <w:rPr>
          <w:rFonts w:ascii="宋体" w:hAnsi="宋体" w:cs="宋体" w:eastAsia="宋体" w:hint="default"/>
          <w:sz w:val="24"/>
          <w:szCs w:val="24"/>
        </w:rPr>
      </w:pPr>
      <w:r>
        <w:rPr>
          <w:rFonts w:ascii="宋体" w:hAnsi="宋体" w:cs="宋体" w:eastAsia="宋体" w:hint="default"/>
          <w:spacing w:val="-1"/>
          <w:sz w:val="24"/>
          <w:szCs w:val="24"/>
        </w:rPr>
        <w:t>2008</w:t>
      </w:r>
      <w:r>
        <w:rPr>
          <w:rFonts w:ascii="宋体" w:hAnsi="宋体" w:cs="宋体" w:eastAsia="宋体" w:hint="default"/>
          <w:spacing w:val="-1"/>
          <w:sz w:val="24"/>
          <w:szCs w:val="24"/>
        </w:rPr>
        <w:t>年</w:t>
      </w:r>
      <w:r>
        <w:rPr>
          <w:rFonts w:ascii="宋体" w:hAnsi="宋体" w:cs="宋体" w:eastAsia="宋体" w:hint="default"/>
          <w:spacing w:val="-1"/>
          <w:sz w:val="24"/>
          <w:szCs w:val="24"/>
        </w:rPr>
        <w:t>5</w:t>
      </w:r>
      <w:r>
        <w:rPr>
          <w:rFonts w:ascii="宋体" w:hAnsi="宋体" w:cs="宋体" w:eastAsia="宋体" w:hint="default"/>
          <w:spacing w:val="-1"/>
          <w:sz w:val="24"/>
          <w:szCs w:val="24"/>
        </w:rPr>
        <w:t>月</w:t>
      </w:r>
      <w:r>
        <w:rPr>
          <w:rFonts w:ascii="宋体" w:hAnsi="宋体" w:cs="宋体" w:eastAsia="宋体" w:hint="default"/>
          <w:spacing w:val="-1"/>
          <w:sz w:val="24"/>
          <w:szCs w:val="24"/>
        </w:rPr>
        <w:t>26</w:t>
      </w:r>
      <w:r>
        <w:rPr>
          <w:rFonts w:ascii="宋体" w:hAnsi="宋体" w:cs="宋体" w:eastAsia="宋体" w:hint="default"/>
          <w:spacing w:val="-1"/>
          <w:sz w:val="24"/>
          <w:szCs w:val="24"/>
        </w:rPr>
        <w:t>日重庆市第一中级人民法院一审宣判公司败诉（参见公司</w:t>
      </w:r>
      <w:r>
        <w:rPr>
          <w:rFonts w:ascii="宋体" w:hAnsi="宋体" w:cs="宋体" w:eastAsia="宋体" w:hint="default"/>
          <w:spacing w:val="-1"/>
          <w:sz w:val="24"/>
          <w:szCs w:val="24"/>
        </w:rPr>
        <w:t>2008-20</w:t>
      </w:r>
      <w:r>
        <w:rPr>
          <w:rFonts w:ascii="宋体" w:hAnsi="宋体" w:cs="宋体" w:eastAsia="宋体" w:hint="default"/>
          <w:spacing w:val="-1"/>
          <w:sz w:val="24"/>
          <w:szCs w:val="24"/>
        </w:rPr>
        <w:t>号</w:t>
      </w:r>
      <w:r>
        <w:rPr>
          <w:rFonts w:ascii="宋体" w:hAnsi="宋体" w:cs="宋体" w:eastAsia="宋体" w:hint="default"/>
          <w:sz w:val="24"/>
          <w:szCs w:val="24"/>
        </w:rPr>
        <w:t> 公告），公司于</w:t>
      </w:r>
      <w:r>
        <w:rPr>
          <w:rFonts w:ascii="宋体" w:hAnsi="宋体" w:cs="宋体" w:eastAsia="宋体" w:hint="default"/>
          <w:sz w:val="24"/>
          <w:szCs w:val="24"/>
        </w:rPr>
        <w:t>2008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日向重庆市高级人民法院递交民事上诉状，请求撤销重 庆市第一中级人民法院</w:t>
      </w:r>
      <w:r>
        <w:rPr>
          <w:rFonts w:ascii="宋体" w:hAnsi="宋体" w:cs="宋体" w:eastAsia="宋体" w:hint="default"/>
          <w:sz w:val="24"/>
          <w:szCs w:val="24"/>
        </w:rPr>
        <w:t>(2008)</w:t>
      </w:r>
      <w:r>
        <w:rPr>
          <w:rFonts w:ascii="宋体" w:hAnsi="宋体" w:cs="宋体" w:eastAsia="宋体" w:hint="default"/>
          <w:sz w:val="24"/>
          <w:szCs w:val="24"/>
        </w:rPr>
        <w:t>渝一中法民初字第</w:t>
      </w:r>
      <w:r>
        <w:rPr>
          <w:rFonts w:ascii="宋体" w:hAnsi="宋体" w:cs="宋体" w:eastAsia="宋体" w:hint="default"/>
          <w:sz w:val="24"/>
          <w:szCs w:val="24"/>
        </w:rPr>
        <w:t>13</w:t>
      </w:r>
      <w:r>
        <w:rPr>
          <w:rFonts w:ascii="宋体" w:hAnsi="宋体" w:cs="宋体" w:eastAsia="宋体" w:hint="default"/>
          <w:sz w:val="24"/>
          <w:szCs w:val="24"/>
        </w:rPr>
        <w:t>号民事判决</w:t>
      </w:r>
      <w:r>
        <w:rPr>
          <w:rFonts w:ascii="宋体" w:hAnsi="宋体" w:cs="宋体" w:eastAsia="宋体" w:hint="default"/>
          <w:sz w:val="24"/>
          <w:szCs w:val="24"/>
        </w:rPr>
        <w:t>, </w:t>
      </w:r>
      <w:r>
        <w:rPr>
          <w:rFonts w:ascii="宋体" w:hAnsi="宋体" w:cs="宋体" w:eastAsia="宋体" w:hint="default"/>
          <w:sz w:val="24"/>
          <w:szCs w:val="24"/>
        </w:rPr>
        <w:t>依法改判驳回被上 诉人重庆健桥医药开发有限公司的全部诉讼请求（参见公司</w:t>
      </w:r>
      <w:r>
        <w:rPr>
          <w:rFonts w:ascii="宋体" w:hAnsi="宋体" w:cs="宋体" w:eastAsia="宋体" w:hint="default"/>
          <w:sz w:val="24"/>
          <w:szCs w:val="24"/>
        </w:rPr>
        <w:t>2008-23</w:t>
      </w:r>
      <w:r>
        <w:rPr>
          <w:rFonts w:ascii="宋体" w:hAnsi="宋体" w:cs="宋体" w:eastAsia="宋体" w:hint="default"/>
          <w:sz w:val="24"/>
          <w:szCs w:val="24"/>
        </w:rPr>
        <w:t>号公告）。</w:t>
      </w:r>
    </w:p>
    <w:p>
      <w:pPr>
        <w:spacing w:line="357" w:lineRule="auto" w:before="36"/>
        <w:ind w:left="137" w:right="1301" w:firstLine="479"/>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z w:val="24"/>
          <w:szCs w:val="24"/>
        </w:rPr>
        <w:t>2008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日收到国家知识产权局专利复审委员会</w:t>
      </w:r>
      <w:r>
        <w:rPr>
          <w:rFonts w:ascii="宋体" w:hAnsi="宋体" w:cs="宋体" w:eastAsia="宋体" w:hint="default"/>
          <w:sz w:val="24"/>
          <w:szCs w:val="24"/>
        </w:rPr>
        <w:t>2008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日作出的 第</w:t>
      </w:r>
      <w:r>
        <w:rPr>
          <w:rFonts w:ascii="宋体" w:hAnsi="宋体" w:cs="宋体" w:eastAsia="宋体" w:hint="default"/>
          <w:sz w:val="24"/>
          <w:szCs w:val="24"/>
        </w:rPr>
        <w:t>12148</w:t>
      </w:r>
      <w:r>
        <w:rPr>
          <w:rFonts w:ascii="宋体" w:hAnsi="宋体" w:cs="宋体" w:eastAsia="宋体" w:hint="default"/>
          <w:sz w:val="24"/>
          <w:szCs w:val="24"/>
        </w:rPr>
        <w:t>号《无效宣告请求审查决定书》，该决定书判定重庆健桥复方双氢青蒿素专 </w:t>
      </w:r>
      <w:r>
        <w:rPr>
          <w:rFonts w:ascii="宋体" w:hAnsi="宋体" w:cs="宋体" w:eastAsia="宋体" w:hint="default"/>
          <w:spacing w:val="-1"/>
          <w:sz w:val="24"/>
          <w:szCs w:val="24"/>
        </w:rPr>
        <w:t>利权（专利号</w:t>
      </w:r>
      <w:r>
        <w:rPr>
          <w:rFonts w:ascii="宋体" w:hAnsi="宋体" w:cs="宋体" w:eastAsia="宋体" w:hint="default"/>
          <w:spacing w:val="-1"/>
          <w:sz w:val="24"/>
          <w:szCs w:val="24"/>
        </w:rPr>
        <w:t>ZL00113134.6</w:t>
      </w:r>
      <w:r>
        <w:rPr>
          <w:rFonts w:ascii="宋体" w:hAnsi="宋体" w:cs="宋体" w:eastAsia="宋体" w:hint="default"/>
          <w:spacing w:val="-1"/>
          <w:sz w:val="24"/>
          <w:szCs w:val="24"/>
        </w:rPr>
        <w:t>）全部无效。公司将此决定书作为上诉证据提交给重庆市</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高级人民法院（参见公司</w:t>
      </w:r>
      <w:r>
        <w:rPr>
          <w:rFonts w:ascii="宋体" w:hAnsi="宋体" w:cs="宋体" w:eastAsia="宋体" w:hint="default"/>
          <w:sz w:val="24"/>
          <w:szCs w:val="24"/>
        </w:rPr>
        <w:t>2008-26</w:t>
      </w:r>
      <w:r>
        <w:rPr>
          <w:rFonts w:ascii="宋体" w:hAnsi="宋体" w:cs="宋体" w:eastAsia="宋体" w:hint="default"/>
          <w:sz w:val="24"/>
          <w:szCs w:val="24"/>
        </w:rPr>
        <w:t>号公告）。随后，重庆健桥向北京市第一中级人民 法院提起行政诉讼，请求撤销国家知识产权局专利复审委员会第</w:t>
      </w:r>
      <w:r>
        <w:rPr>
          <w:rFonts w:ascii="宋体" w:hAnsi="宋体" w:cs="宋体" w:eastAsia="宋体" w:hint="default"/>
          <w:sz w:val="24"/>
          <w:szCs w:val="24"/>
        </w:rPr>
        <w:t>12148</w:t>
      </w:r>
      <w:r>
        <w:rPr>
          <w:rFonts w:ascii="宋体" w:hAnsi="宋体" w:cs="宋体" w:eastAsia="宋体" w:hint="default"/>
          <w:sz w:val="24"/>
          <w:szCs w:val="24"/>
        </w:rPr>
        <w:t>号《无效宣告 </w:t>
      </w:r>
      <w:r>
        <w:rPr>
          <w:rFonts w:ascii="宋体" w:hAnsi="宋体" w:cs="宋体" w:eastAsia="宋体" w:hint="default"/>
          <w:spacing w:val="-1"/>
          <w:sz w:val="24"/>
          <w:szCs w:val="24"/>
        </w:rPr>
        <w:t>请求审查决定书》。同时重庆健桥向重庆市高级人民法院提出中止诉讼申请。重庆市</w:t>
      </w:r>
      <w:r>
        <w:rPr>
          <w:rFonts w:ascii="宋体" w:hAnsi="宋体" w:cs="宋体" w:eastAsia="宋体" w:hint="default"/>
          <w:sz w:val="24"/>
          <w:szCs w:val="24"/>
        </w:rPr>
        <w:t> 高级人民法院</w:t>
      </w:r>
      <w:r>
        <w:rPr>
          <w:rFonts w:ascii="宋体" w:hAnsi="宋体" w:cs="宋体" w:eastAsia="宋体" w:hint="default"/>
          <w:sz w:val="24"/>
          <w:szCs w:val="24"/>
        </w:rPr>
        <w:t>2008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日签发了（</w:t>
      </w:r>
      <w:r>
        <w:rPr>
          <w:rFonts w:ascii="宋体" w:hAnsi="宋体" w:cs="宋体" w:eastAsia="宋体" w:hint="default"/>
          <w:sz w:val="24"/>
          <w:szCs w:val="24"/>
        </w:rPr>
        <w:t>2008</w:t>
      </w:r>
      <w:r>
        <w:rPr>
          <w:rFonts w:ascii="宋体" w:hAnsi="宋体" w:cs="宋体" w:eastAsia="宋体" w:hint="default"/>
          <w:sz w:val="24"/>
          <w:szCs w:val="24"/>
        </w:rPr>
        <w:t>）渝高法民终字第</w:t>
      </w:r>
      <w:r>
        <w:rPr>
          <w:rFonts w:ascii="宋体" w:hAnsi="宋体" w:cs="宋体" w:eastAsia="宋体" w:hint="default"/>
          <w:sz w:val="24"/>
          <w:szCs w:val="24"/>
        </w:rPr>
        <w:t>178</w:t>
      </w:r>
      <w:r>
        <w:rPr>
          <w:rFonts w:ascii="宋体" w:hAnsi="宋体" w:cs="宋体" w:eastAsia="宋体" w:hint="default"/>
          <w:sz w:val="24"/>
          <w:szCs w:val="24"/>
        </w:rPr>
        <w:t>号民事裁定书，同 意重庆健桥的申请。</w:t>
      </w:r>
    </w:p>
    <w:p>
      <w:pPr>
        <w:spacing w:line="357" w:lineRule="auto" w:before="36"/>
        <w:ind w:left="137" w:right="1290" w:firstLine="539"/>
        <w:jc w:val="both"/>
        <w:rPr>
          <w:rFonts w:ascii="宋体" w:hAnsi="宋体" w:cs="宋体" w:eastAsia="宋体" w:hint="default"/>
          <w:sz w:val="24"/>
          <w:szCs w:val="24"/>
        </w:rPr>
      </w:pPr>
      <w:r>
        <w:rPr>
          <w:rFonts w:ascii="宋体" w:hAnsi="宋体" w:cs="宋体" w:eastAsia="宋体" w:hint="default"/>
          <w:spacing w:val="-3"/>
          <w:sz w:val="24"/>
          <w:szCs w:val="24"/>
        </w:rPr>
        <w:t>北京市第一中级人民法院</w:t>
      </w:r>
      <w:r>
        <w:rPr>
          <w:rFonts w:ascii="宋体" w:hAnsi="宋体" w:cs="宋体" w:eastAsia="宋体" w:hint="default"/>
          <w:spacing w:val="-3"/>
          <w:sz w:val="24"/>
          <w:szCs w:val="24"/>
        </w:rPr>
        <w:t>2009</w:t>
      </w:r>
      <w:r>
        <w:rPr>
          <w:rFonts w:ascii="宋体" w:hAnsi="宋体" w:cs="宋体" w:eastAsia="宋体" w:hint="default"/>
          <w:spacing w:val="-3"/>
          <w:sz w:val="24"/>
          <w:szCs w:val="24"/>
        </w:rPr>
        <w:t>年</w:t>
      </w:r>
      <w:r>
        <w:rPr>
          <w:rFonts w:ascii="宋体" w:hAnsi="宋体" w:cs="宋体" w:eastAsia="宋体" w:hint="default"/>
          <w:spacing w:val="-3"/>
          <w:sz w:val="24"/>
          <w:szCs w:val="24"/>
        </w:rPr>
        <w:t>10</w:t>
      </w:r>
      <w:r>
        <w:rPr>
          <w:rFonts w:ascii="宋体" w:hAnsi="宋体" w:cs="宋体" w:eastAsia="宋体" w:hint="default"/>
          <w:spacing w:val="-3"/>
          <w:sz w:val="24"/>
          <w:szCs w:val="24"/>
        </w:rPr>
        <w:t>月</w:t>
      </w:r>
      <w:r>
        <w:rPr>
          <w:rFonts w:ascii="宋体" w:hAnsi="宋体" w:cs="宋体" w:eastAsia="宋体" w:hint="default"/>
          <w:spacing w:val="-3"/>
          <w:sz w:val="24"/>
          <w:szCs w:val="24"/>
        </w:rPr>
        <w:t>23</w:t>
      </w:r>
      <w:r>
        <w:rPr>
          <w:rFonts w:ascii="宋体" w:hAnsi="宋体" w:cs="宋体" w:eastAsia="宋体" w:hint="default"/>
          <w:spacing w:val="-3"/>
          <w:sz w:val="24"/>
          <w:szCs w:val="24"/>
        </w:rPr>
        <w:t>日签发了（</w:t>
      </w:r>
      <w:r>
        <w:rPr>
          <w:rFonts w:ascii="宋体" w:hAnsi="宋体" w:cs="宋体" w:eastAsia="宋体" w:hint="default"/>
          <w:spacing w:val="-3"/>
          <w:sz w:val="24"/>
          <w:szCs w:val="24"/>
        </w:rPr>
        <w:t>2008</w:t>
      </w:r>
      <w:r>
        <w:rPr>
          <w:rFonts w:ascii="宋体" w:hAnsi="宋体" w:cs="宋体" w:eastAsia="宋体" w:hint="default"/>
          <w:spacing w:val="-3"/>
          <w:sz w:val="24"/>
          <w:szCs w:val="24"/>
        </w:rPr>
        <w:t>）一中行初字第</w:t>
      </w:r>
      <w:r>
        <w:rPr>
          <w:rFonts w:ascii="宋体" w:hAnsi="宋体" w:cs="宋体" w:eastAsia="宋体" w:hint="default"/>
          <w:spacing w:val="-3"/>
          <w:sz w:val="24"/>
          <w:szCs w:val="24"/>
        </w:rPr>
        <w:t>1755</w:t>
      </w:r>
      <w:r>
        <w:rPr>
          <w:rFonts w:ascii="宋体" w:hAnsi="宋体" w:cs="宋体" w:eastAsia="宋体" w:hint="default"/>
          <w:spacing w:val="-3"/>
          <w:sz w:val="24"/>
          <w:szCs w:val="24"/>
        </w:rPr>
        <w:t>号行</w:t>
      </w:r>
      <w:r>
        <w:rPr>
          <w:rFonts w:ascii="宋体" w:hAnsi="宋体" w:cs="宋体" w:eastAsia="宋体" w:hint="default"/>
          <w:sz w:val="24"/>
          <w:szCs w:val="24"/>
        </w:rPr>
        <w:t> </w:t>
      </w:r>
      <w:r>
        <w:rPr>
          <w:rFonts w:ascii="宋体" w:hAnsi="宋体" w:cs="宋体" w:eastAsia="宋体" w:hint="default"/>
          <w:spacing w:val="-1"/>
          <w:sz w:val="24"/>
          <w:szCs w:val="24"/>
        </w:rPr>
        <w:t>政判决书，维持了国家知识产权局专利复审委员会于</w:t>
      </w:r>
      <w:r>
        <w:rPr>
          <w:rFonts w:ascii="宋体" w:hAnsi="宋体" w:cs="宋体" w:eastAsia="宋体" w:hint="default"/>
          <w:spacing w:val="-1"/>
          <w:sz w:val="24"/>
          <w:szCs w:val="24"/>
        </w:rPr>
        <w:t>2008</w:t>
      </w:r>
      <w:r>
        <w:rPr>
          <w:rFonts w:ascii="宋体" w:hAnsi="宋体" w:cs="宋体" w:eastAsia="宋体" w:hint="default"/>
          <w:spacing w:val="-1"/>
          <w:sz w:val="24"/>
          <w:szCs w:val="24"/>
        </w:rPr>
        <w:t>年</w:t>
      </w:r>
      <w:r>
        <w:rPr>
          <w:rFonts w:ascii="宋体" w:hAnsi="宋体" w:cs="宋体" w:eastAsia="宋体" w:hint="default"/>
          <w:spacing w:val="-1"/>
          <w:sz w:val="24"/>
          <w:szCs w:val="24"/>
        </w:rPr>
        <w:t>8</w:t>
      </w:r>
      <w:r>
        <w:rPr>
          <w:rFonts w:ascii="宋体" w:hAnsi="宋体" w:cs="宋体" w:eastAsia="宋体" w:hint="default"/>
          <w:spacing w:val="-1"/>
          <w:sz w:val="24"/>
          <w:szCs w:val="24"/>
        </w:rPr>
        <w:t>月</w:t>
      </w:r>
      <w:r>
        <w:rPr>
          <w:rFonts w:ascii="宋体" w:hAnsi="宋体" w:cs="宋体" w:eastAsia="宋体" w:hint="default"/>
          <w:spacing w:val="-1"/>
          <w:sz w:val="24"/>
          <w:szCs w:val="24"/>
        </w:rPr>
        <w:t>7</w:t>
      </w:r>
      <w:r>
        <w:rPr>
          <w:rFonts w:ascii="宋体" w:hAnsi="宋体" w:cs="宋体" w:eastAsia="宋体" w:hint="default"/>
          <w:spacing w:val="-1"/>
          <w:sz w:val="24"/>
          <w:szCs w:val="24"/>
        </w:rPr>
        <w:t>日作出的“重庆健桥</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公司复方双氢青蒿素发明专利权全部无效的决定”（参见公司</w:t>
      </w:r>
      <w:r>
        <w:rPr>
          <w:rFonts w:ascii="宋体" w:hAnsi="宋体" w:cs="宋体" w:eastAsia="宋体" w:hint="default"/>
          <w:sz w:val="24"/>
          <w:szCs w:val="24"/>
        </w:rPr>
        <w:t>2009-41</w:t>
      </w:r>
      <w:r>
        <w:rPr>
          <w:rFonts w:ascii="宋体" w:hAnsi="宋体" w:cs="宋体" w:eastAsia="宋体" w:hint="default"/>
          <w:sz w:val="24"/>
          <w:szCs w:val="24"/>
        </w:rPr>
        <w:t>号公告）。随</w:t>
      </w:r>
      <w:r>
        <w:rPr>
          <w:rFonts w:ascii="宋体" w:hAnsi="宋体" w:cs="宋体" w:eastAsia="宋体" w:hint="default"/>
          <w:spacing w:val="-50"/>
          <w:sz w:val="24"/>
          <w:szCs w:val="24"/>
        </w:rPr>
        <w:t> </w:t>
      </w:r>
      <w:r>
        <w:rPr>
          <w:rFonts w:ascii="宋体" w:hAnsi="宋体" w:cs="宋体" w:eastAsia="宋体" w:hint="default"/>
          <w:spacing w:val="-50"/>
          <w:sz w:val="24"/>
          <w:szCs w:val="24"/>
        </w:rPr>
      </w:r>
      <w:r>
        <w:rPr>
          <w:rFonts w:ascii="宋体" w:hAnsi="宋体" w:cs="宋体" w:eastAsia="宋体" w:hint="default"/>
          <w:spacing w:val="8"/>
          <w:sz w:val="24"/>
          <w:szCs w:val="24"/>
        </w:rPr>
        <w:t>后重庆健桥向北京市高级人民法院上诉。</w:t>
      </w:r>
      <w:r>
        <w:rPr>
          <w:rFonts w:ascii="宋体" w:hAnsi="宋体" w:cs="宋体" w:eastAsia="宋体" w:hint="default"/>
          <w:spacing w:val="8"/>
          <w:sz w:val="24"/>
          <w:szCs w:val="24"/>
        </w:rPr>
        <w:t>2010</w:t>
      </w:r>
      <w:r>
        <w:rPr>
          <w:rFonts w:ascii="宋体" w:hAnsi="宋体" w:cs="宋体" w:eastAsia="宋体" w:hint="default"/>
          <w:spacing w:val="8"/>
          <w:sz w:val="24"/>
          <w:szCs w:val="24"/>
        </w:rPr>
        <w:t>年</w:t>
      </w:r>
      <w:r>
        <w:rPr>
          <w:rFonts w:ascii="宋体" w:hAnsi="宋体" w:cs="宋体" w:eastAsia="宋体" w:hint="default"/>
          <w:spacing w:val="8"/>
          <w:sz w:val="24"/>
          <w:szCs w:val="24"/>
        </w:rPr>
        <w:t>11</w:t>
      </w:r>
      <w:r>
        <w:rPr>
          <w:rFonts w:ascii="宋体" w:hAnsi="宋体" w:cs="宋体" w:eastAsia="宋体" w:hint="default"/>
          <w:spacing w:val="8"/>
          <w:sz w:val="24"/>
          <w:szCs w:val="24"/>
        </w:rPr>
        <w:t>月</w:t>
      </w:r>
      <w:r>
        <w:rPr>
          <w:rFonts w:ascii="宋体" w:hAnsi="宋体" w:cs="宋体" w:eastAsia="宋体" w:hint="default"/>
          <w:spacing w:val="8"/>
          <w:sz w:val="24"/>
          <w:szCs w:val="24"/>
        </w:rPr>
        <w:t>5</w:t>
      </w:r>
      <w:r>
        <w:rPr>
          <w:rFonts w:ascii="宋体" w:hAnsi="宋体" w:cs="宋体" w:eastAsia="宋体" w:hint="default"/>
          <w:spacing w:val="8"/>
          <w:sz w:val="24"/>
          <w:szCs w:val="24"/>
        </w:rPr>
        <w:t>日，北京市高级人民法院以</w:t>
      </w:r>
      <w:r>
        <w:rPr>
          <w:rFonts w:ascii="宋体" w:hAnsi="宋体" w:cs="宋体" w:eastAsia="宋体" w:hint="default"/>
          <w:sz w:val="24"/>
          <w:szCs w:val="24"/>
        </w:rPr>
      </w:r>
    </w:p>
    <w:p>
      <w:pPr>
        <w:spacing w:line="357" w:lineRule="auto" w:before="36"/>
        <w:ind w:left="137" w:right="116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）高行终字第</w:t>
      </w:r>
      <w:r>
        <w:rPr>
          <w:rFonts w:ascii="宋体" w:hAnsi="宋体" w:cs="宋体" w:eastAsia="宋体" w:hint="default"/>
          <w:sz w:val="24"/>
          <w:szCs w:val="24"/>
        </w:rPr>
        <w:t>14</w:t>
      </w:r>
      <w:r>
        <w:rPr>
          <w:rFonts w:ascii="宋体" w:hAnsi="宋体" w:cs="宋体" w:eastAsia="宋体" w:hint="default"/>
          <w:sz w:val="24"/>
          <w:szCs w:val="24"/>
        </w:rPr>
        <w:t>号行政判决书维持了国家知识产权局专利复审委员会第</w:t>
      </w:r>
      <w:r>
        <w:rPr>
          <w:rFonts w:ascii="宋体" w:hAnsi="宋体" w:cs="宋体" w:eastAsia="宋体" w:hint="default"/>
          <w:sz w:val="24"/>
          <w:szCs w:val="24"/>
        </w:rPr>
        <w:t>12148</w:t>
      </w:r>
      <w:r>
        <w:rPr>
          <w:rFonts w:ascii="宋体" w:hAnsi="宋体" w:cs="宋体" w:eastAsia="宋体" w:hint="default"/>
          <w:spacing w:val="-47"/>
          <w:sz w:val="24"/>
          <w:szCs w:val="24"/>
        </w:rPr>
        <w:t> </w:t>
      </w:r>
      <w:r>
        <w:rPr>
          <w:rFonts w:ascii="宋体" w:hAnsi="宋体" w:cs="宋体" w:eastAsia="宋体" w:hint="default"/>
          <w:sz w:val="24"/>
          <w:szCs w:val="24"/>
        </w:rPr>
        <w:t>号无效宣告请求审查决定书。</w:t>
      </w:r>
    </w:p>
    <w:p>
      <w:pPr>
        <w:spacing w:line="352" w:lineRule="auto" w:before="36"/>
        <w:ind w:left="137" w:right="1303" w:firstLine="539"/>
        <w:jc w:val="both"/>
        <w:rPr>
          <w:rFonts w:ascii="宋体" w:hAnsi="宋体" w:cs="宋体" w:eastAsia="宋体" w:hint="default"/>
          <w:sz w:val="24"/>
          <w:szCs w:val="24"/>
        </w:rPr>
      </w:pPr>
      <w:r>
        <w:rPr>
          <w:rFonts w:ascii="宋体" w:hAnsi="宋体" w:cs="宋体" w:eastAsia="宋体" w:hint="default"/>
          <w:sz w:val="24"/>
          <w:szCs w:val="24"/>
        </w:rPr>
        <w:t>重庆市高级人民法院随后恢复本案诉讼，于</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日签发了（</w:t>
      </w:r>
      <w:r>
        <w:rPr>
          <w:rFonts w:ascii="宋体" w:hAnsi="宋体" w:cs="宋体" w:eastAsia="宋体" w:hint="default"/>
          <w:sz w:val="24"/>
          <w:szCs w:val="24"/>
        </w:rPr>
        <w:t>2008</w:t>
      </w:r>
      <w:r>
        <w:rPr>
          <w:rFonts w:ascii="宋体" w:hAnsi="宋体" w:cs="宋体" w:eastAsia="宋体" w:hint="default"/>
          <w:sz w:val="24"/>
          <w:szCs w:val="24"/>
        </w:rPr>
        <w:t>）渝高 </w:t>
      </w:r>
      <w:r>
        <w:rPr>
          <w:rFonts w:ascii="宋体" w:hAnsi="宋体" w:cs="宋体" w:eastAsia="宋体" w:hint="default"/>
          <w:spacing w:val="2"/>
          <w:sz w:val="24"/>
          <w:szCs w:val="24"/>
        </w:rPr>
        <w:t>法民终字第</w:t>
      </w:r>
      <w:r>
        <w:rPr>
          <w:rFonts w:ascii="宋体" w:hAnsi="宋体" w:cs="宋体" w:eastAsia="宋体" w:hint="default"/>
          <w:spacing w:val="2"/>
          <w:sz w:val="24"/>
          <w:szCs w:val="24"/>
        </w:rPr>
        <w:t>178</w:t>
      </w:r>
      <w:r>
        <w:rPr>
          <w:rFonts w:ascii="宋体" w:hAnsi="宋体" w:cs="宋体" w:eastAsia="宋体" w:hint="default"/>
          <w:spacing w:val="2"/>
          <w:sz w:val="24"/>
          <w:szCs w:val="24"/>
        </w:rPr>
        <w:t>号民事判决书，就重庆健桥诉公司</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科泰复</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牌双氢青蒿素哌喹片侵犯</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
          <w:sz w:val="24"/>
          <w:szCs w:val="24"/>
        </w:rPr>
        <w:t>其专利权一案进行终审判决。该判决书认定公司生产销售的科泰复牌双氢青蒿素哌喹</w:t>
      </w:r>
      <w:r>
        <w:rPr>
          <w:rFonts w:ascii="宋体" w:hAnsi="宋体" w:cs="宋体" w:eastAsia="宋体" w:hint="default"/>
          <w:sz w:val="24"/>
          <w:szCs w:val="24"/>
        </w:rPr>
        <w:t> </w:t>
      </w:r>
      <w:r>
        <w:rPr>
          <w:rFonts w:ascii="宋体" w:hAnsi="宋体" w:cs="宋体" w:eastAsia="宋体" w:hint="default"/>
          <w:spacing w:val="-1"/>
          <w:sz w:val="24"/>
          <w:szCs w:val="24"/>
        </w:rPr>
        <w:t>片没有侵犯重庆健桥医药开发有限公司的权利，驳回重庆健桥医药开发有限公司的全</w:t>
      </w:r>
      <w:r>
        <w:rPr>
          <w:rFonts w:ascii="宋体" w:hAnsi="宋体" w:cs="宋体" w:eastAsia="宋体" w:hint="default"/>
          <w:sz w:val="24"/>
          <w:szCs w:val="24"/>
        </w:rPr>
        <w:t> 部诉讼请求。</w:t>
      </w:r>
    </w:p>
    <w:p>
      <w:pPr>
        <w:spacing w:after="0" w:line="352" w:lineRule="auto"/>
        <w:jc w:val="both"/>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line="357" w:lineRule="auto" w:before="26"/>
        <w:ind w:left="626" w:right="1740" w:hanging="3"/>
        <w:jc w:val="left"/>
        <w:rPr>
          <w:rFonts w:ascii="宋体" w:hAnsi="宋体" w:cs="宋体" w:eastAsia="宋体" w:hint="default"/>
          <w:sz w:val="24"/>
          <w:szCs w:val="24"/>
        </w:rPr>
      </w:pPr>
      <w:r>
        <w:rPr>
          <w:rFonts w:ascii="宋体" w:hAnsi="宋体" w:cs="宋体" w:eastAsia="宋体" w:hint="default"/>
          <w:sz w:val="24"/>
          <w:szCs w:val="24"/>
        </w:rPr>
        <w:t>（二）报告期内发生的破产重整相关事项 </w:t>
      </w:r>
      <w:r>
        <w:rPr>
          <w:rFonts w:ascii="宋体" w:hAnsi="宋体" w:cs="宋体" w:eastAsia="宋体" w:hint="default"/>
          <w:spacing w:val="-2"/>
          <w:sz w:val="24"/>
          <w:szCs w:val="24"/>
        </w:rPr>
        <w:t>报告期内，公司没有发生向法院申请重整、和解或破产清算、法院受理重整、和</w:t>
      </w:r>
    </w:p>
    <w:p>
      <w:pPr>
        <w:spacing w:before="36"/>
        <w:ind w:left="143" w:right="0" w:firstLine="0"/>
        <w:jc w:val="both"/>
        <w:rPr>
          <w:rFonts w:ascii="宋体" w:hAnsi="宋体" w:cs="宋体" w:eastAsia="宋体" w:hint="default"/>
          <w:sz w:val="24"/>
          <w:szCs w:val="24"/>
        </w:rPr>
      </w:pPr>
      <w:r>
        <w:rPr>
          <w:rFonts w:ascii="宋体" w:hAnsi="宋体" w:cs="宋体" w:eastAsia="宋体" w:hint="default"/>
          <w:sz w:val="24"/>
          <w:szCs w:val="24"/>
        </w:rPr>
        <w:t>解或破产清算、公司重整期间等发生的法院裁定结果及其他重大事项。</w:t>
      </w:r>
    </w:p>
    <w:p>
      <w:pPr>
        <w:spacing w:before="154"/>
        <w:ind w:left="623" w:right="1740" w:firstLine="0"/>
        <w:jc w:val="left"/>
        <w:rPr>
          <w:rFonts w:ascii="宋体" w:hAnsi="宋体" w:cs="宋体" w:eastAsia="宋体" w:hint="default"/>
          <w:sz w:val="24"/>
          <w:szCs w:val="24"/>
        </w:rPr>
      </w:pPr>
      <w:r>
        <w:rPr>
          <w:rFonts w:ascii="宋体" w:hAnsi="宋体" w:cs="宋体" w:eastAsia="宋体" w:hint="default"/>
          <w:sz w:val="24"/>
          <w:szCs w:val="24"/>
        </w:rPr>
        <w:t>（三）无持有其他上市公司股权情况</w:t>
      </w:r>
    </w:p>
    <w:p>
      <w:pPr>
        <w:spacing w:line="357" w:lineRule="auto" w:before="154"/>
        <w:ind w:left="626" w:right="1740" w:firstLine="0"/>
        <w:jc w:val="left"/>
        <w:rPr>
          <w:rFonts w:ascii="宋体" w:hAnsi="宋体" w:cs="宋体" w:eastAsia="宋体" w:hint="default"/>
          <w:sz w:val="24"/>
          <w:szCs w:val="24"/>
        </w:rPr>
      </w:pPr>
      <w:r>
        <w:rPr>
          <w:rFonts w:ascii="宋体" w:hAnsi="宋体" w:cs="宋体" w:eastAsia="宋体" w:hint="default"/>
          <w:sz w:val="24"/>
          <w:szCs w:val="24"/>
        </w:rPr>
        <w:t>（四）报告期内收购、出售资产事项 </w:t>
      </w: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18</w:t>
      </w:r>
      <w:r>
        <w:rPr>
          <w:rFonts w:ascii="宋体" w:hAnsi="宋体" w:cs="宋体" w:eastAsia="宋体" w:hint="default"/>
          <w:spacing w:val="-2"/>
          <w:sz w:val="24"/>
          <w:szCs w:val="24"/>
        </w:rPr>
        <w:t>日公司六届八次董事会审议通过了《关于转让子公司云南工业大</w:t>
      </w:r>
    </w:p>
    <w:p>
      <w:pPr>
        <w:spacing w:line="357" w:lineRule="auto" w:before="36"/>
        <w:ind w:left="143" w:right="1755" w:firstLine="0"/>
        <w:jc w:val="both"/>
        <w:rPr>
          <w:rFonts w:ascii="宋体" w:hAnsi="宋体" w:cs="宋体" w:eastAsia="宋体" w:hint="default"/>
          <w:sz w:val="24"/>
          <w:szCs w:val="24"/>
        </w:rPr>
      </w:pPr>
      <w:r>
        <w:rPr>
          <w:rFonts w:ascii="宋体" w:hAnsi="宋体" w:cs="宋体" w:eastAsia="宋体" w:hint="default"/>
          <w:spacing w:val="-2"/>
          <w:sz w:val="24"/>
          <w:szCs w:val="24"/>
        </w:rPr>
        <w:t>麻股份有限公司股权的议案》，同意将公司持有的云南工业大麻股份有限公司</w:t>
      </w:r>
      <w:r>
        <w:rPr>
          <w:rFonts w:ascii="宋体" w:hAnsi="宋体" w:cs="宋体" w:eastAsia="宋体" w:hint="default"/>
          <w:spacing w:val="-2"/>
          <w:sz w:val="24"/>
          <w:szCs w:val="24"/>
        </w:rPr>
        <w:t>80.66%</w:t>
      </w:r>
      <w:r>
        <w:rPr>
          <w:rFonts w:ascii="宋体" w:hAnsi="宋体" w:cs="宋体" w:eastAsia="宋体" w:hint="default"/>
          <w:spacing w:val="-91"/>
          <w:sz w:val="24"/>
          <w:szCs w:val="24"/>
        </w:rPr>
        <w:t> </w:t>
      </w:r>
      <w:r>
        <w:rPr>
          <w:rFonts w:ascii="宋体" w:hAnsi="宋体" w:cs="宋体" w:eastAsia="宋体" w:hint="default"/>
          <w:sz w:val="24"/>
          <w:szCs w:val="24"/>
        </w:rPr>
        <w:t>股权作价人民币</w:t>
      </w:r>
      <w:r>
        <w:rPr>
          <w:rFonts w:ascii="宋体" w:hAnsi="宋体" w:cs="宋体" w:eastAsia="宋体" w:hint="default"/>
          <w:sz w:val="24"/>
          <w:szCs w:val="24"/>
        </w:rPr>
        <w:t>17,359,057.12</w:t>
      </w:r>
      <w:r>
        <w:rPr>
          <w:rFonts w:ascii="宋体" w:hAnsi="宋体" w:cs="宋体" w:eastAsia="宋体" w:hint="default"/>
          <w:sz w:val="24"/>
          <w:szCs w:val="24"/>
        </w:rPr>
        <w:t>元转让给北京嘉鑫世纪投资有限公司。目前公司已收</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宋体" w:hAnsi="宋体" w:cs="宋体" w:eastAsia="宋体" w:hint="default"/>
          <w:sz w:val="24"/>
          <w:szCs w:val="24"/>
        </w:rPr>
        <w:t>讫股权转让款</w:t>
      </w:r>
      <w:r>
        <w:rPr>
          <w:rFonts w:ascii="宋体" w:hAnsi="宋体" w:cs="宋体" w:eastAsia="宋体" w:hint="default"/>
          <w:sz w:val="24"/>
          <w:szCs w:val="24"/>
        </w:rPr>
        <w:t>17,359,057.12</w:t>
      </w:r>
      <w:r>
        <w:rPr>
          <w:rFonts w:ascii="宋体" w:hAnsi="宋体" w:cs="宋体" w:eastAsia="宋体" w:hint="default"/>
          <w:sz w:val="24"/>
          <w:szCs w:val="24"/>
        </w:rPr>
        <w:t>元并办理股权过户手续。</w:t>
      </w:r>
    </w:p>
    <w:p>
      <w:pPr>
        <w:spacing w:line="357" w:lineRule="auto" w:before="36"/>
        <w:ind w:left="143" w:right="1755" w:firstLine="480"/>
        <w:jc w:val="both"/>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w:t>
      </w:r>
      <w:r>
        <w:rPr>
          <w:rFonts w:ascii="宋体" w:hAnsi="宋体" w:cs="宋体" w:eastAsia="宋体" w:hint="default"/>
          <w:spacing w:val="-1"/>
          <w:sz w:val="24"/>
          <w:szCs w:val="24"/>
        </w:rPr>
        <w:t>2010</w:t>
      </w:r>
      <w:r>
        <w:rPr>
          <w:rFonts w:ascii="宋体" w:hAnsi="宋体" w:cs="宋体" w:eastAsia="宋体" w:hint="default"/>
          <w:spacing w:val="-1"/>
          <w:sz w:val="24"/>
          <w:szCs w:val="24"/>
        </w:rPr>
        <w:t>年</w:t>
      </w:r>
      <w:r>
        <w:rPr>
          <w:rFonts w:ascii="宋体" w:hAnsi="宋体" w:cs="宋体" w:eastAsia="宋体" w:hint="default"/>
          <w:spacing w:val="-1"/>
          <w:sz w:val="24"/>
          <w:szCs w:val="24"/>
        </w:rPr>
        <w:t>3</w:t>
      </w:r>
      <w:r>
        <w:rPr>
          <w:rFonts w:ascii="宋体" w:hAnsi="宋体" w:cs="宋体" w:eastAsia="宋体" w:hint="default"/>
          <w:spacing w:val="-1"/>
          <w:sz w:val="24"/>
          <w:szCs w:val="24"/>
        </w:rPr>
        <w:t>月</w:t>
      </w:r>
      <w:r>
        <w:rPr>
          <w:rFonts w:ascii="宋体" w:hAnsi="宋体" w:cs="宋体" w:eastAsia="宋体" w:hint="default"/>
          <w:spacing w:val="-1"/>
          <w:sz w:val="24"/>
          <w:szCs w:val="24"/>
        </w:rPr>
        <w:t>25</w:t>
      </w:r>
      <w:r>
        <w:rPr>
          <w:rFonts w:ascii="宋体" w:hAnsi="宋体" w:cs="宋体" w:eastAsia="宋体" w:hint="default"/>
          <w:spacing w:val="-1"/>
          <w:sz w:val="24"/>
          <w:szCs w:val="24"/>
        </w:rPr>
        <w:t>日，公司与华方医药科技有限公司（以下简称：华方医药）签署</w:t>
      </w:r>
      <w:r>
        <w:rPr>
          <w:rFonts w:ascii="宋体" w:hAnsi="宋体" w:cs="宋体" w:eastAsia="宋体" w:hint="default"/>
          <w:sz w:val="24"/>
          <w:szCs w:val="24"/>
        </w:rPr>
        <w:t> 意向性协议，拟出售旗下医药类资产给华方医药。</w:t>
      </w:r>
    </w:p>
    <w:p>
      <w:pPr>
        <w:spacing w:line="357" w:lineRule="auto" w:before="36"/>
        <w:ind w:left="143" w:right="1719"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日，审计和评估机构对华立科泰及其下属子公司出具了审计报告和 评估报告，公司据此与华方医药科技有限公司、华立集团股份有限公司（以下简称： </w:t>
      </w:r>
      <w:r>
        <w:rPr>
          <w:rFonts w:ascii="宋体" w:hAnsi="宋体" w:cs="宋体" w:eastAsia="宋体" w:hint="default"/>
          <w:spacing w:val="-2"/>
          <w:sz w:val="24"/>
          <w:szCs w:val="24"/>
        </w:rPr>
        <w:t>华立集团）签署了《股权转让协议》，将公司所持有子公司北京华立科泰医药有限责</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任公司</w:t>
      </w:r>
      <w:r>
        <w:rPr>
          <w:rFonts w:ascii="宋体" w:hAnsi="宋体" w:cs="宋体" w:eastAsia="宋体" w:hint="default"/>
          <w:sz w:val="24"/>
          <w:szCs w:val="24"/>
        </w:rPr>
        <w:t>99.52%</w:t>
      </w:r>
      <w:r>
        <w:rPr>
          <w:rFonts w:ascii="宋体" w:hAnsi="宋体" w:cs="宋体" w:eastAsia="宋体" w:hint="default"/>
          <w:sz w:val="24"/>
          <w:szCs w:val="24"/>
        </w:rPr>
        <w:t>的股权全部转让给华方医药科技有限公司。</w:t>
      </w:r>
    </w:p>
    <w:p>
      <w:pPr>
        <w:spacing w:line="357" w:lineRule="auto" w:before="36"/>
        <w:ind w:left="143" w:right="1753" w:firstLine="480"/>
        <w:jc w:val="both"/>
        <w:rPr>
          <w:rFonts w:ascii="宋体" w:hAnsi="宋体" w:cs="宋体" w:eastAsia="宋体" w:hint="default"/>
          <w:sz w:val="24"/>
          <w:szCs w:val="24"/>
        </w:rPr>
      </w:pPr>
      <w:r>
        <w:rPr>
          <w:rFonts w:ascii="宋体" w:hAnsi="宋体" w:cs="宋体" w:eastAsia="宋体" w:hint="default"/>
          <w:spacing w:val="-1"/>
          <w:sz w:val="24"/>
          <w:szCs w:val="24"/>
        </w:rPr>
        <w:t>2010</w:t>
      </w:r>
      <w:r>
        <w:rPr>
          <w:rFonts w:ascii="宋体" w:hAnsi="宋体" w:cs="宋体" w:eastAsia="宋体" w:hint="default"/>
          <w:spacing w:val="-1"/>
          <w:sz w:val="24"/>
          <w:szCs w:val="24"/>
        </w:rPr>
        <w:t>年</w:t>
      </w:r>
      <w:r>
        <w:rPr>
          <w:rFonts w:ascii="宋体" w:hAnsi="宋体" w:cs="宋体" w:eastAsia="宋体" w:hint="default"/>
          <w:spacing w:val="-1"/>
          <w:sz w:val="24"/>
          <w:szCs w:val="24"/>
        </w:rPr>
        <w:t>10</w:t>
      </w:r>
      <w:r>
        <w:rPr>
          <w:rFonts w:ascii="宋体" w:hAnsi="宋体" w:cs="宋体" w:eastAsia="宋体" w:hint="default"/>
          <w:spacing w:val="-1"/>
          <w:sz w:val="24"/>
          <w:szCs w:val="24"/>
        </w:rPr>
        <w:t>月</w:t>
      </w:r>
      <w:r>
        <w:rPr>
          <w:rFonts w:ascii="宋体" w:hAnsi="宋体" w:cs="宋体" w:eastAsia="宋体" w:hint="default"/>
          <w:spacing w:val="-1"/>
          <w:sz w:val="24"/>
          <w:szCs w:val="24"/>
        </w:rPr>
        <w:t>12</w:t>
      </w:r>
      <w:r>
        <w:rPr>
          <w:rFonts w:ascii="宋体" w:hAnsi="宋体" w:cs="宋体" w:eastAsia="宋体" w:hint="default"/>
          <w:spacing w:val="-1"/>
          <w:sz w:val="24"/>
          <w:szCs w:val="24"/>
        </w:rPr>
        <w:t>日，公司与华立集团、华方医药三方签署了《华立科泰股权转让补</w:t>
      </w:r>
      <w:r>
        <w:rPr>
          <w:rFonts w:ascii="宋体" w:hAnsi="宋体" w:cs="宋体" w:eastAsia="宋体" w:hint="default"/>
          <w:sz w:val="24"/>
          <w:szCs w:val="24"/>
        </w:rPr>
        <w:t> </w:t>
      </w:r>
      <w:r>
        <w:rPr>
          <w:rFonts w:ascii="宋体" w:hAnsi="宋体" w:cs="宋体" w:eastAsia="宋体" w:hint="default"/>
          <w:spacing w:val="-2"/>
          <w:sz w:val="24"/>
          <w:szCs w:val="24"/>
        </w:rPr>
        <w:t>充协议》：华立集团将其所持华立仪表股份</w:t>
      </w:r>
      <w:r>
        <w:rPr>
          <w:rFonts w:ascii="宋体" w:hAnsi="宋体" w:cs="宋体" w:eastAsia="宋体" w:hint="default"/>
          <w:spacing w:val="-2"/>
          <w:sz w:val="24"/>
          <w:szCs w:val="24"/>
        </w:rPr>
        <w:t>39,638,836</w:t>
      </w:r>
      <w:r>
        <w:rPr>
          <w:rFonts w:ascii="宋体" w:hAnsi="宋体" w:cs="宋体" w:eastAsia="宋体" w:hint="default"/>
          <w:spacing w:val="-2"/>
          <w:sz w:val="24"/>
          <w:szCs w:val="24"/>
        </w:rPr>
        <w:t>股（占华立仪表总股本的比例</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为</w:t>
      </w:r>
      <w:r>
        <w:rPr>
          <w:rFonts w:ascii="宋体" w:hAnsi="宋体" w:cs="宋体" w:eastAsia="宋体" w:hint="default"/>
          <w:sz w:val="24"/>
          <w:szCs w:val="24"/>
        </w:rPr>
        <w:t>21.83%</w:t>
      </w:r>
      <w:r>
        <w:rPr>
          <w:rFonts w:ascii="宋体" w:hAnsi="宋体" w:cs="宋体" w:eastAsia="宋体" w:hint="default"/>
          <w:sz w:val="24"/>
          <w:szCs w:val="24"/>
        </w:rPr>
        <w:t>），每股作价</w:t>
      </w:r>
      <w:r>
        <w:rPr>
          <w:rFonts w:ascii="宋体" w:hAnsi="宋体" w:cs="宋体" w:eastAsia="宋体" w:hint="default"/>
          <w:sz w:val="24"/>
          <w:szCs w:val="24"/>
        </w:rPr>
        <w:t>3.59</w:t>
      </w:r>
      <w:r>
        <w:rPr>
          <w:rFonts w:ascii="宋体" w:hAnsi="宋体" w:cs="宋体" w:eastAsia="宋体" w:hint="default"/>
          <w:sz w:val="24"/>
          <w:szCs w:val="24"/>
        </w:rPr>
        <w:t>元转让给公司，计</w:t>
      </w:r>
      <w:r>
        <w:rPr>
          <w:rFonts w:ascii="宋体" w:hAnsi="宋体" w:cs="宋体" w:eastAsia="宋体" w:hint="default"/>
          <w:sz w:val="24"/>
          <w:szCs w:val="24"/>
        </w:rPr>
        <w:t>14,232.06</w:t>
      </w:r>
      <w:r>
        <w:rPr>
          <w:rFonts w:ascii="宋体" w:hAnsi="宋体" w:cs="宋体" w:eastAsia="宋体" w:hint="default"/>
          <w:sz w:val="24"/>
          <w:szCs w:val="24"/>
        </w:rPr>
        <w:t>万元，并另行支付公司现金</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6"/>
          <w:sz w:val="24"/>
          <w:szCs w:val="24"/>
        </w:rPr>
        <w:t>200</w:t>
      </w:r>
      <w:r>
        <w:rPr>
          <w:rFonts w:ascii="宋体" w:hAnsi="宋体" w:cs="宋体" w:eastAsia="宋体" w:hint="default"/>
          <w:spacing w:val="6"/>
          <w:sz w:val="24"/>
          <w:szCs w:val="24"/>
        </w:rPr>
        <w:t>万元，合计</w:t>
      </w:r>
      <w:r>
        <w:rPr>
          <w:rFonts w:ascii="宋体" w:hAnsi="宋体" w:cs="宋体" w:eastAsia="宋体" w:hint="default"/>
          <w:spacing w:val="6"/>
          <w:sz w:val="24"/>
          <w:szCs w:val="24"/>
        </w:rPr>
        <w:t>14,432.06</w:t>
      </w:r>
      <w:r>
        <w:rPr>
          <w:rFonts w:ascii="宋体" w:hAnsi="宋体" w:cs="宋体" w:eastAsia="宋体" w:hint="default"/>
          <w:spacing w:val="6"/>
          <w:sz w:val="24"/>
          <w:szCs w:val="24"/>
        </w:rPr>
        <w:t>万元，用以抵偿扣减</w:t>
      </w:r>
      <w:r>
        <w:rPr>
          <w:rFonts w:ascii="宋体" w:hAnsi="宋体" w:cs="宋体" w:eastAsia="宋体" w:hint="default"/>
          <w:spacing w:val="6"/>
          <w:sz w:val="24"/>
          <w:szCs w:val="24"/>
        </w:rPr>
        <w:t>2010</w:t>
      </w:r>
      <w:r>
        <w:rPr>
          <w:rFonts w:ascii="宋体" w:hAnsi="宋体" w:cs="宋体" w:eastAsia="宋体" w:hint="default"/>
          <w:spacing w:val="6"/>
          <w:sz w:val="24"/>
          <w:szCs w:val="24"/>
        </w:rPr>
        <w:t>年</w:t>
      </w:r>
      <w:r>
        <w:rPr>
          <w:rFonts w:ascii="宋体" w:hAnsi="宋体" w:cs="宋体" w:eastAsia="宋体" w:hint="default"/>
          <w:spacing w:val="6"/>
          <w:sz w:val="24"/>
          <w:szCs w:val="24"/>
        </w:rPr>
        <w:t>5-9</w:t>
      </w:r>
      <w:r>
        <w:rPr>
          <w:rFonts w:ascii="宋体" w:hAnsi="宋体" w:cs="宋体" w:eastAsia="宋体" w:hint="default"/>
          <w:spacing w:val="6"/>
          <w:sz w:val="24"/>
          <w:szCs w:val="24"/>
        </w:rPr>
        <w:t>月经营亏损后的华立科泰</w:t>
      </w:r>
    </w:p>
    <w:p>
      <w:pPr>
        <w:spacing w:line="357" w:lineRule="auto" w:before="36"/>
        <w:ind w:left="143" w:right="1755" w:firstLine="0"/>
        <w:jc w:val="both"/>
        <w:rPr>
          <w:rFonts w:ascii="宋体" w:hAnsi="宋体" w:cs="宋体" w:eastAsia="宋体" w:hint="default"/>
          <w:sz w:val="24"/>
          <w:szCs w:val="24"/>
        </w:rPr>
      </w:pPr>
      <w:r>
        <w:rPr>
          <w:rFonts w:ascii="宋体" w:hAnsi="宋体" w:cs="宋体" w:eastAsia="宋体" w:hint="default"/>
          <w:sz w:val="24"/>
          <w:szCs w:val="24"/>
        </w:rPr>
        <w:t>99.52%</w:t>
      </w:r>
      <w:r>
        <w:rPr>
          <w:rFonts w:ascii="宋体" w:hAnsi="宋体" w:cs="宋体" w:eastAsia="宋体" w:hint="default"/>
          <w:sz w:val="24"/>
          <w:szCs w:val="24"/>
        </w:rPr>
        <w:t>股权价值</w:t>
      </w:r>
      <w:r>
        <w:rPr>
          <w:rFonts w:ascii="宋体" w:hAnsi="宋体" w:cs="宋体" w:eastAsia="宋体" w:hint="default"/>
          <w:sz w:val="24"/>
          <w:szCs w:val="24"/>
        </w:rPr>
        <w:t>11,164.98</w:t>
      </w:r>
      <w:r>
        <w:rPr>
          <w:rFonts w:ascii="宋体" w:hAnsi="宋体" w:cs="宋体" w:eastAsia="宋体" w:hint="default"/>
          <w:sz w:val="24"/>
          <w:szCs w:val="24"/>
        </w:rPr>
        <w:t>万元及一次性清偿华立科泰及其子公司欠公司的</w:t>
      </w:r>
      <w:r>
        <w:rPr>
          <w:rFonts w:ascii="宋体" w:hAnsi="宋体" w:cs="宋体" w:eastAsia="宋体" w:hint="default"/>
          <w:sz w:val="24"/>
          <w:szCs w:val="24"/>
        </w:rPr>
        <w:t>3,267.08</w:t>
      </w:r>
      <w:r>
        <w:rPr>
          <w:rFonts w:ascii="宋体" w:hAnsi="宋体" w:cs="宋体" w:eastAsia="宋体" w:hint="default"/>
          <w:spacing w:val="-43"/>
          <w:sz w:val="24"/>
          <w:szCs w:val="24"/>
        </w:rPr>
        <w:t> </w:t>
      </w:r>
      <w:r>
        <w:rPr>
          <w:rFonts w:ascii="宋体" w:hAnsi="宋体" w:cs="宋体" w:eastAsia="宋体" w:hint="default"/>
          <w:sz w:val="24"/>
          <w:szCs w:val="24"/>
        </w:rPr>
        <w:t>万元。</w:t>
      </w:r>
    </w:p>
    <w:p>
      <w:pPr>
        <w:spacing w:line="357" w:lineRule="auto" w:before="36"/>
        <w:ind w:left="143" w:right="1753" w:firstLine="480"/>
        <w:jc w:val="both"/>
        <w:rPr>
          <w:rFonts w:ascii="宋体" w:hAnsi="宋体" w:cs="宋体" w:eastAsia="宋体" w:hint="default"/>
          <w:sz w:val="24"/>
          <w:szCs w:val="24"/>
        </w:rPr>
      </w:pPr>
      <w:r>
        <w:rPr>
          <w:rFonts w:ascii="宋体" w:hAnsi="宋体" w:cs="宋体" w:eastAsia="宋体" w:hint="default"/>
          <w:spacing w:val="-1"/>
          <w:sz w:val="24"/>
          <w:szCs w:val="24"/>
        </w:rPr>
        <w:t>该事项已分别经公司六届十一次、十三次董事会及</w:t>
      </w:r>
      <w:r>
        <w:rPr>
          <w:rFonts w:ascii="宋体" w:hAnsi="宋体" w:cs="宋体" w:eastAsia="宋体" w:hint="default"/>
          <w:spacing w:val="-1"/>
          <w:sz w:val="24"/>
          <w:szCs w:val="24"/>
        </w:rPr>
        <w:t>2010</w:t>
      </w:r>
      <w:r>
        <w:rPr>
          <w:rFonts w:ascii="宋体" w:hAnsi="宋体" w:cs="宋体" w:eastAsia="宋体" w:hint="default"/>
          <w:spacing w:val="-1"/>
          <w:sz w:val="24"/>
          <w:szCs w:val="24"/>
        </w:rPr>
        <w:t>年第三次临时股东大会决</w:t>
      </w:r>
      <w:r>
        <w:rPr>
          <w:rFonts w:ascii="宋体" w:hAnsi="宋体" w:cs="宋体" w:eastAsia="宋体" w:hint="default"/>
          <w:sz w:val="24"/>
          <w:szCs w:val="24"/>
        </w:rPr>
        <w:t> 议通过。目前，公司已收到华立集团支付的现金</w:t>
      </w:r>
      <w:r>
        <w:rPr>
          <w:rFonts w:ascii="宋体" w:hAnsi="宋体" w:cs="宋体" w:eastAsia="宋体" w:hint="default"/>
          <w:sz w:val="24"/>
          <w:szCs w:val="24"/>
        </w:rPr>
        <w:t>200</w:t>
      </w:r>
      <w:r>
        <w:rPr>
          <w:rFonts w:ascii="宋体" w:hAnsi="宋体" w:cs="宋体" w:eastAsia="宋体" w:hint="default"/>
          <w:sz w:val="24"/>
          <w:szCs w:val="24"/>
        </w:rPr>
        <w:t>万元，华立科泰与华立仪表已分</w:t>
      </w:r>
      <w:r>
        <w:rPr>
          <w:rFonts w:ascii="宋体" w:hAnsi="宋体" w:cs="宋体" w:eastAsia="宋体" w:hint="default"/>
          <w:spacing w:val="-48"/>
          <w:sz w:val="24"/>
          <w:szCs w:val="24"/>
        </w:rPr>
        <w:t> </w:t>
      </w:r>
      <w:r>
        <w:rPr>
          <w:rFonts w:ascii="宋体" w:hAnsi="宋体" w:cs="宋体" w:eastAsia="宋体" w:hint="default"/>
          <w:sz w:val="24"/>
          <w:szCs w:val="24"/>
        </w:rPr>
        <w:t>别在北京市工商局、浙江股权托管服务有限公司办妥股权过户手续。</w:t>
      </w:r>
    </w:p>
    <w:p>
      <w:pPr>
        <w:spacing w:before="36"/>
        <w:ind w:left="626" w:right="1740" w:firstLine="0"/>
        <w:jc w:val="left"/>
        <w:rPr>
          <w:rFonts w:ascii="宋体" w:hAnsi="宋体" w:cs="宋体" w:eastAsia="宋体" w:hint="default"/>
          <w:sz w:val="24"/>
          <w:szCs w:val="24"/>
        </w:rPr>
      </w:pPr>
      <w:r>
        <w:rPr>
          <w:rFonts w:ascii="宋体" w:hAnsi="宋体" w:cs="宋体" w:eastAsia="宋体" w:hint="default"/>
          <w:sz w:val="24"/>
          <w:szCs w:val="24"/>
        </w:rPr>
        <w:t>（五）报告期内发生的关联交易事项</w:t>
      </w:r>
    </w:p>
    <w:p>
      <w:pPr>
        <w:spacing w:line="357" w:lineRule="auto" w:before="154"/>
        <w:ind w:left="143" w:right="1755" w:firstLine="480"/>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、报告期内发生的日常关联交易事项详见会计报表附注六、关联方关系及其交 </w:t>
      </w:r>
      <w:r>
        <w:rPr>
          <w:rFonts w:ascii="宋体" w:hAnsi="宋体" w:cs="宋体" w:eastAsia="宋体" w:hint="default"/>
          <w:sz w:val="24"/>
          <w:szCs w:val="24"/>
        </w:rPr>
        <w:t>易。</w:t>
      </w:r>
    </w:p>
    <w:p>
      <w:pPr>
        <w:spacing w:before="36"/>
        <w:ind w:left="623"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、报告期内公司没有《上市公司信息披露管理办法》规定的重大关联交易情况。</w:t>
      </w:r>
    </w:p>
    <w:p>
      <w:pPr>
        <w:spacing w:before="154"/>
        <w:ind w:left="623" w:right="174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、关联交易的定价原则</w:t>
      </w:r>
    </w:p>
    <w:p>
      <w:pPr>
        <w:spacing w:after="0"/>
        <w:jc w:val="left"/>
        <w:rPr>
          <w:rFonts w:ascii="宋体" w:hAnsi="宋体" w:cs="宋体" w:eastAsia="宋体" w:hint="default"/>
          <w:sz w:val="24"/>
          <w:szCs w:val="24"/>
        </w:rPr>
        <w:sectPr>
          <w:pgSz w:w="11910" w:h="16840"/>
          <w:pgMar w:header="752" w:footer="955" w:top="1020" w:bottom="1140" w:left="1160" w:right="0"/>
        </w:sectPr>
      </w:pPr>
    </w:p>
    <w:p>
      <w:pPr>
        <w:spacing w:line="240" w:lineRule="auto" w:before="1"/>
        <w:rPr>
          <w:rFonts w:ascii="宋体" w:hAnsi="宋体" w:cs="宋体" w:eastAsia="宋体" w:hint="default"/>
          <w:sz w:val="29"/>
          <w:szCs w:val="29"/>
        </w:rPr>
      </w:pPr>
    </w:p>
    <w:p>
      <w:pPr>
        <w:spacing w:line="357" w:lineRule="auto" w:before="26"/>
        <w:ind w:left="857" w:right="1301" w:firstLine="479"/>
        <w:jc w:val="both"/>
        <w:rPr>
          <w:rFonts w:ascii="宋体" w:hAnsi="宋体" w:cs="宋体" w:eastAsia="宋体" w:hint="default"/>
          <w:sz w:val="24"/>
          <w:szCs w:val="24"/>
        </w:rPr>
      </w:pPr>
      <w:r>
        <w:rPr>
          <w:rFonts w:ascii="宋体" w:hAnsi="宋体" w:cs="宋体" w:eastAsia="宋体" w:hint="default"/>
          <w:spacing w:val="-2"/>
          <w:sz w:val="24"/>
          <w:szCs w:val="24"/>
        </w:rPr>
        <w:t>以诚实、信用、自愿、公平、合理的市场定价原则作为公司与关联方发生关联交</w:t>
      </w:r>
      <w:r>
        <w:rPr>
          <w:rFonts w:ascii="宋体" w:hAnsi="宋体" w:cs="宋体" w:eastAsia="宋体" w:hint="default"/>
          <w:sz w:val="24"/>
          <w:szCs w:val="24"/>
        </w:rPr>
        <w:t> 易的定价原则。</w:t>
      </w:r>
    </w:p>
    <w:p>
      <w:pPr>
        <w:spacing w:before="36"/>
        <w:ind w:left="1337"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、对关联交易必要性和持续性的说明</w:t>
      </w:r>
    </w:p>
    <w:p>
      <w:pPr>
        <w:spacing w:line="357" w:lineRule="auto" w:before="154"/>
        <w:ind w:left="857" w:right="1296" w:firstLine="482"/>
        <w:jc w:val="both"/>
        <w:rPr>
          <w:rFonts w:ascii="宋体" w:hAnsi="宋体" w:cs="宋体" w:eastAsia="宋体" w:hint="default"/>
          <w:sz w:val="24"/>
          <w:szCs w:val="24"/>
        </w:rPr>
      </w:pPr>
      <w:r>
        <w:rPr>
          <w:rFonts w:ascii="宋体" w:hAnsi="宋体" w:cs="宋体" w:eastAsia="宋体" w:hint="default"/>
          <w:spacing w:val="2"/>
          <w:sz w:val="24"/>
          <w:szCs w:val="24"/>
        </w:rPr>
        <w:t>为了发挥集团的整体优势，实现企业资源的共享，减少企业运作成本</w:t>
      </w:r>
      <w:r>
        <w:rPr>
          <w:rFonts w:ascii="宋体" w:hAnsi="宋体" w:cs="宋体" w:eastAsia="宋体" w:hint="default"/>
          <w:spacing w:val="2"/>
          <w:sz w:val="24"/>
          <w:szCs w:val="24"/>
        </w:rPr>
        <w:t>,</w:t>
      </w:r>
      <w:r>
        <w:rPr>
          <w:rFonts w:ascii="宋体" w:hAnsi="宋体" w:cs="宋体" w:eastAsia="宋体" w:hint="default"/>
          <w:spacing w:val="2"/>
          <w:sz w:val="24"/>
          <w:szCs w:val="24"/>
        </w:rPr>
        <w:t>正常的且 </w:t>
      </w:r>
      <w:r>
        <w:rPr>
          <w:rFonts w:ascii="宋体" w:hAnsi="宋体" w:cs="宋体" w:eastAsia="宋体" w:hint="default"/>
          <w:spacing w:val="-1"/>
          <w:sz w:val="24"/>
          <w:szCs w:val="24"/>
        </w:rPr>
        <w:t>与日常经营活动相关的关联交易是有必要的，并会对公司主营业务的持续发展产生有</w:t>
      </w:r>
      <w:r>
        <w:rPr>
          <w:rFonts w:ascii="宋体" w:hAnsi="宋体" w:cs="宋体" w:eastAsia="宋体" w:hint="default"/>
          <w:sz w:val="24"/>
          <w:szCs w:val="24"/>
        </w:rPr>
        <w:t> </w:t>
      </w:r>
      <w:r>
        <w:rPr>
          <w:rFonts w:ascii="宋体" w:hAnsi="宋体" w:cs="宋体" w:eastAsia="宋体" w:hint="default"/>
          <w:spacing w:val="2"/>
          <w:sz w:val="24"/>
          <w:szCs w:val="24"/>
        </w:rPr>
        <w:t>利的影响。公司将严格按照有关规章制度规范与关联方的关联交易行为</w:t>
      </w:r>
      <w:r>
        <w:rPr>
          <w:rFonts w:ascii="宋体" w:hAnsi="宋体" w:cs="宋体" w:eastAsia="宋体" w:hint="default"/>
          <w:spacing w:val="2"/>
          <w:sz w:val="24"/>
          <w:szCs w:val="24"/>
        </w:rPr>
        <w:t>,</w:t>
      </w:r>
      <w:r>
        <w:rPr>
          <w:rFonts w:ascii="宋体" w:hAnsi="宋体" w:cs="宋体" w:eastAsia="宋体" w:hint="default"/>
          <w:spacing w:val="2"/>
          <w:sz w:val="24"/>
          <w:szCs w:val="24"/>
        </w:rPr>
        <w:t>以公平、合 </w:t>
      </w:r>
      <w:r>
        <w:rPr>
          <w:rFonts w:ascii="宋体" w:hAnsi="宋体" w:cs="宋体" w:eastAsia="宋体" w:hint="default"/>
          <w:sz w:val="24"/>
          <w:szCs w:val="24"/>
        </w:rPr>
        <w:t>理的市场定价原则作为公司与关联方发生关系交易的定价原则。</w:t>
      </w:r>
    </w:p>
    <w:p>
      <w:pPr>
        <w:spacing w:before="36"/>
        <w:ind w:left="1339" w:right="0" w:firstLine="0"/>
        <w:jc w:val="left"/>
        <w:rPr>
          <w:rFonts w:ascii="宋体" w:hAnsi="宋体" w:cs="宋体" w:eastAsia="宋体" w:hint="default"/>
          <w:sz w:val="24"/>
          <w:szCs w:val="24"/>
        </w:rPr>
      </w:pPr>
      <w:r>
        <w:rPr>
          <w:rFonts w:ascii="宋体" w:hAnsi="宋体" w:cs="宋体" w:eastAsia="宋体" w:hint="default"/>
          <w:spacing w:val="-5"/>
          <w:sz w:val="24"/>
          <w:szCs w:val="24"/>
        </w:rPr>
        <w:t>（六）在报告期内发生或以前期间发生但延续到报告期的担保情况（单位：万元）</w:t>
      </w:r>
    </w:p>
    <w:p>
      <w:pPr>
        <w:spacing w:line="240" w:lineRule="auto" w:before="1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2592"/>
        <w:gridCol w:w="941"/>
        <w:gridCol w:w="1889"/>
        <w:gridCol w:w="1018"/>
        <w:gridCol w:w="1061"/>
        <w:gridCol w:w="723"/>
        <w:gridCol w:w="917"/>
        <w:gridCol w:w="1046"/>
      </w:tblGrid>
      <w:tr>
        <w:trPr>
          <w:trHeight w:val="531" w:hRule="exact"/>
        </w:trPr>
        <w:tc>
          <w:tcPr>
            <w:tcW w:w="101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30"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1" w:right="866"/>
              <w:jc w:val="center"/>
              <w:rPr>
                <w:rFonts w:ascii="宋体" w:hAnsi="宋体" w:cs="宋体" w:eastAsia="宋体" w:hint="default"/>
                <w:sz w:val="21"/>
                <w:szCs w:val="21"/>
              </w:rPr>
            </w:pPr>
            <w:r>
              <w:rPr>
                <w:rFonts w:ascii="宋体" w:hAnsi="宋体" w:cs="宋体" w:eastAsia="宋体" w:hint="default"/>
                <w:sz w:val="21"/>
                <w:szCs w:val="21"/>
              </w:rPr>
              <w:t>担保对象</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8" w:right="19" w:hanging="495"/>
              <w:jc w:val="left"/>
              <w:rPr>
                <w:rFonts w:ascii="宋体" w:hAnsi="宋体" w:cs="宋体" w:eastAsia="宋体" w:hint="default"/>
                <w:sz w:val="21"/>
                <w:szCs w:val="21"/>
              </w:rPr>
            </w:pPr>
            <w:r>
              <w:rPr>
                <w:rFonts w:ascii="宋体" w:hAnsi="宋体" w:cs="宋体" w:eastAsia="宋体" w:hint="default"/>
                <w:spacing w:val="-8"/>
                <w:sz w:val="21"/>
                <w:szCs w:val="21"/>
              </w:rPr>
              <w:t>实际发生日期（协议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签署日）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79"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26" w:hanging="209"/>
              <w:jc w:val="left"/>
              <w:rPr>
                <w:rFonts w:ascii="宋体" w:hAnsi="宋体" w:cs="宋体" w:eastAsia="宋体" w:hint="default"/>
                <w:sz w:val="21"/>
                <w:szCs w:val="21"/>
              </w:rPr>
            </w:pPr>
            <w:r>
              <w:rPr>
                <w:rFonts w:ascii="宋体" w:hAnsi="宋体" w:cs="宋体" w:eastAsia="宋体" w:hint="default"/>
                <w:sz w:val="21"/>
                <w:szCs w:val="21"/>
              </w:rPr>
              <w:t>是否履行</w:t>
            </w:r>
            <w:r>
              <w:rPr>
                <w:rFonts w:ascii="宋体" w:hAnsi="宋体" w:cs="宋体" w:eastAsia="宋体" w:hint="default"/>
                <w:w w:val="100"/>
                <w:sz w:val="21"/>
                <w:szCs w:val="21"/>
              </w:rPr>
              <w:t> </w:t>
            </w:r>
            <w:r>
              <w:rPr>
                <w:rFonts w:ascii="宋体" w:hAnsi="宋体" w:cs="宋体" w:eastAsia="宋体" w:hint="default"/>
                <w:sz w:val="21"/>
                <w:szCs w:val="21"/>
              </w:rPr>
              <w:t>完毕</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联方担保</w:t>
            </w:r>
          </w:p>
          <w:p>
            <w:pPr>
              <w:pStyle w:val="TableParagraph"/>
              <w:spacing w:line="274" w:lineRule="exact"/>
              <w:ind w:left="23" w:right="-39"/>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重庆华虹仪表有限公司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800.00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800.00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抵押担保</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310.00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310.00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200.00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250.00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250.00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51.94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18.23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31.95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39.60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60.00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55.52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15.18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50.00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z w:val="21"/>
              </w:rPr>
              <w:t>32.40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752" w:footer="955" w:top="1020" w:bottom="1140" w:left="900" w:right="0"/>
        </w:sectPr>
      </w:pPr>
    </w:p>
    <w:p>
      <w:pPr>
        <w:spacing w:line="240" w:lineRule="auto" w:before="0"/>
        <w:rPr>
          <w:rFonts w:ascii="宋体" w:hAnsi="宋体" w:cs="宋体" w:eastAsia="宋体" w:hint="default"/>
          <w:sz w:val="20"/>
          <w:szCs w:val="20"/>
        </w:rPr>
      </w:pPr>
      <w:r>
        <w:rPr/>
        <w:pict>
          <v:shape style="position:absolute;margin-left:28.200001pt;margin-top:73.679985pt;width:510.1pt;height:667.8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82"/>
                    <w:gridCol w:w="902"/>
                    <w:gridCol w:w="277"/>
                    <w:gridCol w:w="80"/>
                    <w:gridCol w:w="128"/>
                    <w:gridCol w:w="535"/>
                    <w:gridCol w:w="310"/>
                    <w:gridCol w:w="310"/>
                    <w:gridCol w:w="288"/>
                    <w:gridCol w:w="341"/>
                    <w:gridCol w:w="688"/>
                    <w:gridCol w:w="1050"/>
                    <w:gridCol w:w="722"/>
                    <w:gridCol w:w="353"/>
                    <w:gridCol w:w="350"/>
                    <w:gridCol w:w="214"/>
                    <w:gridCol w:w="190"/>
                    <w:gridCol w:w="857"/>
                  </w:tblGrid>
                  <w:tr>
                    <w:trPr>
                      <w:trHeight w:val="464"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8" w:right="0"/>
                          <w:jc w:val="left"/>
                          <w:rPr>
                            <w:rFonts w:ascii="宋体" w:hAnsi="宋体" w:cs="宋体" w:eastAsia="宋体" w:hint="default"/>
                            <w:sz w:val="21"/>
                            <w:szCs w:val="21"/>
                          </w:rPr>
                        </w:pPr>
                        <w:r>
                          <w:rPr>
                            <w:rFonts w:ascii="宋体"/>
                            <w:sz w:val="21"/>
                          </w:rPr>
                          <w:t>50.00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8" w:right="0"/>
                          <w:jc w:val="left"/>
                          <w:rPr>
                            <w:rFonts w:ascii="宋体" w:hAnsi="宋体" w:cs="宋体" w:eastAsia="宋体" w:hint="default"/>
                            <w:sz w:val="21"/>
                            <w:szCs w:val="21"/>
                          </w:rPr>
                        </w:pPr>
                        <w:r>
                          <w:rPr>
                            <w:rFonts w:ascii="宋体"/>
                            <w:sz w:val="21"/>
                          </w:rPr>
                          <w:t>38.20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8" w:right="0"/>
                          <w:jc w:val="left"/>
                          <w:rPr>
                            <w:rFonts w:ascii="宋体" w:hAnsi="宋体" w:cs="宋体" w:eastAsia="宋体" w:hint="default"/>
                            <w:sz w:val="21"/>
                            <w:szCs w:val="21"/>
                          </w:rPr>
                        </w:pPr>
                        <w:r>
                          <w:rPr>
                            <w:rFonts w:ascii="宋体"/>
                            <w:sz w:val="21"/>
                          </w:rPr>
                          <w:t>19.20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8" w:right="0"/>
                          <w:jc w:val="left"/>
                          <w:rPr>
                            <w:rFonts w:ascii="宋体" w:hAnsi="宋体" w:cs="宋体" w:eastAsia="宋体" w:hint="default"/>
                            <w:sz w:val="21"/>
                            <w:szCs w:val="21"/>
                          </w:rPr>
                        </w:pPr>
                        <w:r>
                          <w:rPr>
                            <w:rFonts w:ascii="宋体"/>
                            <w:sz w:val="21"/>
                          </w:rPr>
                          <w:t>45.02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150.00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宋体" w:hAnsi="宋体" w:cs="宋体" w:eastAsia="宋体" w:hint="default"/>
                            <w:sz w:val="21"/>
                            <w:szCs w:val="21"/>
                          </w:rPr>
                        </w:pPr>
                        <w:r>
                          <w:rPr>
                            <w:rFonts w:ascii="宋体"/>
                            <w:sz w:val="21"/>
                          </w:rPr>
                          <w:t>120.41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150.00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宋体" w:hAnsi="宋体" w:cs="宋体" w:eastAsia="宋体" w:hint="default"/>
                            <w:sz w:val="21"/>
                            <w:szCs w:val="21"/>
                          </w:rPr>
                        </w:pPr>
                        <w:r>
                          <w:rPr>
                            <w:rFonts w:ascii="宋体"/>
                            <w:sz w:val="21"/>
                          </w:rPr>
                          <w:t>107.85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100.00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8" w:right="0"/>
                          <w:jc w:val="left"/>
                          <w:rPr>
                            <w:rFonts w:ascii="宋体" w:hAnsi="宋体" w:cs="宋体" w:eastAsia="宋体" w:hint="default"/>
                            <w:sz w:val="21"/>
                            <w:szCs w:val="21"/>
                          </w:rPr>
                        </w:pPr>
                        <w:r>
                          <w:rPr>
                            <w:rFonts w:ascii="宋体"/>
                            <w:sz w:val="21"/>
                          </w:rPr>
                          <w:t>73.72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200.00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宋体" w:hAnsi="宋体" w:cs="宋体" w:eastAsia="宋体" w:hint="default"/>
                            <w:sz w:val="21"/>
                            <w:szCs w:val="21"/>
                          </w:rPr>
                        </w:pPr>
                        <w:r>
                          <w:rPr>
                            <w:rFonts w:ascii="宋体"/>
                            <w:sz w:val="21"/>
                          </w:rPr>
                          <w:t>153.78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10.00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4" w:right="0"/>
                          <w:jc w:val="left"/>
                          <w:rPr>
                            <w:rFonts w:ascii="宋体" w:hAnsi="宋体" w:cs="宋体" w:eastAsia="宋体" w:hint="default"/>
                            <w:sz w:val="21"/>
                            <w:szCs w:val="21"/>
                          </w:rPr>
                        </w:pPr>
                        <w:r>
                          <w:rPr>
                            <w:rFonts w:ascii="宋体"/>
                            <w:sz w:val="21"/>
                          </w:rPr>
                          <w:t>8.35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200.00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宋体" w:hAnsi="宋体" w:cs="宋体" w:eastAsia="宋体" w:hint="default"/>
                            <w:sz w:val="21"/>
                            <w:szCs w:val="21"/>
                          </w:rPr>
                        </w:pPr>
                        <w:r>
                          <w:rPr>
                            <w:rFonts w:ascii="宋体"/>
                            <w:sz w:val="21"/>
                          </w:rPr>
                          <w:t>184.20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pacing w:val="-1"/>
                            <w:sz w:val="21"/>
                          </w:rPr>
                          <w:t>1,500.00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3" w:right="0"/>
                          <w:jc w:val="left"/>
                          <w:rPr>
                            <w:rFonts w:ascii="宋体" w:hAnsi="宋体" w:cs="宋体" w:eastAsia="宋体" w:hint="default"/>
                            <w:sz w:val="21"/>
                            <w:szCs w:val="21"/>
                          </w:rPr>
                        </w:pPr>
                        <w:r>
                          <w:rPr>
                            <w:rFonts w:ascii="宋体"/>
                            <w:sz w:val="21"/>
                          </w:rPr>
                          <w:t>1,500.00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z w:val="21"/>
                          </w:rPr>
                          <w:t>500.00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宋体" w:hAnsi="宋体" w:cs="宋体" w:eastAsia="宋体" w:hint="default"/>
                            <w:sz w:val="21"/>
                            <w:szCs w:val="21"/>
                          </w:rPr>
                        </w:pPr>
                        <w:r>
                          <w:rPr>
                            <w:rFonts w:ascii="宋体"/>
                            <w:sz w:val="21"/>
                          </w:rPr>
                          <w:t>500.00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pacing w:val="-1"/>
                            <w:sz w:val="21"/>
                          </w:rPr>
                          <w:t>6,000.00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3" w:right="0"/>
                          <w:jc w:val="left"/>
                          <w:rPr>
                            <w:rFonts w:ascii="宋体" w:hAnsi="宋体" w:cs="宋体" w:eastAsia="宋体" w:hint="default"/>
                            <w:sz w:val="21"/>
                            <w:szCs w:val="21"/>
                          </w:rPr>
                        </w:pPr>
                        <w:r>
                          <w:rPr>
                            <w:rFonts w:ascii="宋体"/>
                            <w:sz w:val="21"/>
                          </w:rPr>
                          <w:t>6,000.00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pacing w:val="-1"/>
                            <w:sz w:val="21"/>
                          </w:rPr>
                          <w:t>3,000.00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3" w:right="0"/>
                          <w:jc w:val="left"/>
                          <w:rPr>
                            <w:rFonts w:ascii="宋体" w:hAnsi="宋体" w:cs="宋体" w:eastAsia="宋体" w:hint="default"/>
                            <w:sz w:val="21"/>
                            <w:szCs w:val="21"/>
                          </w:rPr>
                        </w:pPr>
                        <w:r>
                          <w:rPr>
                            <w:rFonts w:ascii="宋体"/>
                            <w:sz w:val="21"/>
                          </w:rPr>
                          <w:t>3,000.00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pacing w:val="-1"/>
                            <w:sz w:val="21"/>
                          </w:rPr>
                          <w:t>3,000.00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3" w:right="0"/>
                          <w:jc w:val="left"/>
                          <w:rPr>
                            <w:rFonts w:ascii="宋体" w:hAnsi="宋体" w:cs="宋体" w:eastAsia="宋体" w:hint="default"/>
                            <w:sz w:val="21"/>
                            <w:szCs w:val="21"/>
                          </w:rPr>
                        </w:pPr>
                        <w:r>
                          <w:rPr>
                            <w:rFonts w:ascii="宋体"/>
                            <w:sz w:val="21"/>
                          </w:rPr>
                          <w:t>3,000.00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39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3" w:right="0"/>
                          <w:jc w:val="left"/>
                          <w:rPr>
                            <w:rFonts w:ascii="宋体" w:hAnsi="宋体" w:cs="宋体" w:eastAsia="宋体" w:hint="default"/>
                            <w:sz w:val="21"/>
                            <w:szCs w:val="21"/>
                          </w:rPr>
                        </w:pPr>
                        <w:r>
                          <w:rPr>
                            <w:rFonts w:ascii="宋体" w:hAnsi="宋体" w:cs="宋体" w:eastAsia="宋体" w:hint="default"/>
                            <w:sz w:val="21"/>
                            <w:szCs w:val="21"/>
                          </w:rPr>
                          <w:t>报告期内审批的对外担保额度合计（</w:t>
                        </w:r>
                        <w:r>
                          <w:rPr>
                            <w:rFonts w:ascii="宋体" w:hAnsi="宋体" w:cs="宋体" w:eastAsia="宋体" w:hint="default"/>
                            <w:sz w:val="21"/>
                            <w:szCs w:val="21"/>
                          </w:rPr>
                          <w:t>A1</w:t>
                        </w:r>
                        <w:r>
                          <w:rPr>
                            <w:rFonts w:ascii="宋体" w:hAnsi="宋体" w:cs="宋体" w:eastAsia="宋体" w:hint="default"/>
                            <w:sz w:val="21"/>
                            <w:szCs w:val="21"/>
                          </w:rPr>
                          <w:t>）</w:t>
                        </w:r>
                      </w:p>
                    </w:tc>
                    <w:tc>
                      <w:tcPr>
                        <w:tcW w:w="1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21"/>
                            <w:szCs w:val="21"/>
                          </w:rPr>
                        </w:pPr>
                        <w:r>
                          <w:rPr>
                            <w:rFonts w:ascii="宋体"/>
                            <w:sz w:val="21"/>
                          </w:rPr>
                          <w:t>40,000.00</w:t>
                        </w:r>
                      </w:p>
                    </w:tc>
                    <w:tc>
                      <w:tcPr>
                        <w:tcW w:w="3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25"/>
                          <w:jc w:val="left"/>
                          <w:rPr>
                            <w:rFonts w:ascii="宋体" w:hAnsi="宋体" w:cs="宋体" w:eastAsia="宋体" w:hint="default"/>
                            <w:sz w:val="21"/>
                            <w:szCs w:val="21"/>
                          </w:rPr>
                        </w:pPr>
                        <w:r>
                          <w:rPr>
                            <w:rFonts w:ascii="宋体" w:hAnsi="宋体" w:cs="宋体" w:eastAsia="宋体" w:hint="default"/>
                            <w:spacing w:val="-2"/>
                            <w:sz w:val="21"/>
                            <w:szCs w:val="21"/>
                          </w:rPr>
                          <w:t>报告期内对外担保实际发生额合计（</w:t>
                        </w:r>
                        <w:r>
                          <w:rPr>
                            <w:rFonts w:ascii="宋体" w:hAnsi="宋体" w:cs="宋体" w:eastAsia="宋体" w:hint="default"/>
                            <w:spacing w:val="-2"/>
                            <w:sz w:val="21"/>
                            <w:szCs w:val="21"/>
                          </w:rPr>
                          <w:t>A2</w:t>
                        </w:r>
                        <w:r>
                          <w:rPr>
                            <w:rFonts w:ascii="宋体" w:hAnsi="宋体" w:cs="宋体" w:eastAsia="宋体" w:hint="default"/>
                            <w:spacing w:val="-2"/>
                            <w:sz w:val="21"/>
                            <w:szCs w:val="21"/>
                          </w:rPr>
                          <w:t>）</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0" w:right="0"/>
                          <w:jc w:val="left"/>
                          <w:rPr>
                            <w:rFonts w:ascii="宋体" w:hAnsi="宋体" w:cs="宋体" w:eastAsia="宋体" w:hint="default"/>
                            <w:sz w:val="21"/>
                            <w:szCs w:val="21"/>
                          </w:rPr>
                        </w:pPr>
                        <w:r>
                          <w:rPr>
                            <w:rFonts w:ascii="宋体"/>
                            <w:sz w:val="21"/>
                          </w:rPr>
                          <w:t>25,805.55</w:t>
                        </w:r>
                      </w:p>
                    </w:tc>
                  </w:tr>
                  <w:tr>
                    <w:trPr>
                      <w:trHeight w:val="466" w:hRule="exact"/>
                    </w:trPr>
                    <w:tc>
                      <w:tcPr>
                        <w:tcW w:w="39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49"/>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报告期末已审批的对外担保额度合计（</w:t>
                        </w:r>
                        <w:r>
                          <w:rPr>
                            <w:rFonts w:ascii="宋体" w:hAnsi="宋体" w:cs="宋体" w:eastAsia="宋体" w:hint="default"/>
                            <w:spacing w:val="-2"/>
                            <w:sz w:val="21"/>
                            <w:szCs w:val="21"/>
                          </w:rPr>
                          <w:t>A3</w:t>
                        </w:r>
                        <w:r>
                          <w:rPr>
                            <w:rFonts w:ascii="宋体" w:hAnsi="宋体" w:cs="宋体" w:eastAsia="宋体" w:hint="default"/>
                            <w:spacing w:val="-2"/>
                            <w:sz w:val="21"/>
                            <w:szCs w:val="21"/>
                          </w:rPr>
                          <w:t>）</w:t>
                        </w:r>
                      </w:p>
                    </w:tc>
                    <w:tc>
                      <w:tcPr>
                        <w:tcW w:w="1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21"/>
                            <w:szCs w:val="21"/>
                          </w:rPr>
                        </w:pPr>
                        <w:r>
                          <w:rPr>
                            <w:rFonts w:ascii="宋体"/>
                            <w:sz w:val="21"/>
                          </w:rPr>
                          <w:t>40,000.00</w:t>
                        </w:r>
                      </w:p>
                    </w:tc>
                    <w:tc>
                      <w:tcPr>
                        <w:tcW w:w="37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报告期末实际对外担保余额合计（</w:t>
                        </w:r>
                        <w:r>
                          <w:rPr>
                            <w:rFonts w:ascii="宋体" w:hAnsi="宋体" w:cs="宋体" w:eastAsia="宋体" w:hint="default"/>
                            <w:sz w:val="21"/>
                            <w:szCs w:val="21"/>
                          </w:rPr>
                          <w:t>A4</w:t>
                        </w:r>
                        <w:r>
                          <w:rPr>
                            <w:rFonts w:ascii="宋体" w:hAnsi="宋体" w:cs="宋体" w:eastAsia="宋体" w:hint="default"/>
                            <w:sz w:val="21"/>
                            <w:szCs w:val="21"/>
                          </w:rPr>
                          <w:t>）</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0" w:right="0"/>
                          <w:jc w:val="left"/>
                          <w:rPr>
                            <w:rFonts w:ascii="宋体" w:hAnsi="宋体" w:cs="宋体" w:eastAsia="宋体" w:hint="default"/>
                            <w:sz w:val="21"/>
                            <w:szCs w:val="21"/>
                          </w:rPr>
                        </w:pPr>
                        <w:r>
                          <w:rPr>
                            <w:rFonts w:ascii="宋体"/>
                            <w:sz w:val="21"/>
                          </w:rPr>
                          <w:t>24,412.54</w:t>
                        </w:r>
                      </w:p>
                    </w:tc>
                  </w:tr>
                  <w:tr>
                    <w:trPr>
                      <w:trHeight w:val="463" w:hRule="exact"/>
                    </w:trPr>
                    <w:tc>
                      <w:tcPr>
                        <w:tcW w:w="1018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1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9" w:right="28" w:hanging="526"/>
                          <w:jc w:val="left"/>
                          <w:rPr>
                            <w:rFonts w:ascii="宋体" w:hAnsi="宋体" w:cs="宋体" w:eastAsia="宋体" w:hint="default"/>
                            <w:sz w:val="21"/>
                            <w:szCs w:val="21"/>
                          </w:rPr>
                        </w:pPr>
                        <w:r>
                          <w:rPr>
                            <w:rFonts w:ascii="宋体" w:hAnsi="宋体" w:cs="宋体" w:eastAsia="宋体" w:hint="default"/>
                            <w:sz w:val="21"/>
                            <w:szCs w:val="21"/>
                          </w:rPr>
                          <w:t>实际发生日期（协议</w:t>
                        </w:r>
                        <w:r>
                          <w:rPr>
                            <w:rFonts w:ascii="宋体" w:hAnsi="宋体" w:cs="宋体" w:eastAsia="宋体" w:hint="default"/>
                            <w:w w:val="100"/>
                            <w:sz w:val="21"/>
                            <w:szCs w:val="21"/>
                          </w:rPr>
                          <w:t> </w:t>
                        </w:r>
                        <w:r>
                          <w:rPr>
                            <w:rFonts w:ascii="宋体" w:hAnsi="宋体" w:cs="宋体" w:eastAsia="宋体" w:hint="default"/>
                            <w:sz w:val="21"/>
                            <w:szCs w:val="21"/>
                          </w:rPr>
                          <w:t>签署日）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81"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71"/>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40" w:lineRule="auto"/>
                          <w:ind w:left="23" w:right="19" w:hanging="1"/>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w w:val="100"/>
                            <w:sz w:val="21"/>
                            <w:szCs w:val="21"/>
                          </w:rPr>
                          <w:t> </w:t>
                        </w:r>
                        <w:r>
                          <w:rPr>
                            <w:rFonts w:ascii="宋体" w:hAnsi="宋体" w:cs="宋体" w:eastAsia="宋体" w:hint="default"/>
                            <w:spacing w:val="-11"/>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或否）</w:t>
                        </w:r>
                      </w:p>
                    </w:tc>
                  </w:tr>
                  <w:tr>
                    <w:trPr>
                      <w:trHeight w:val="4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sz w:val="21"/>
                          </w:rPr>
                          <w:t>1,700.00</w:t>
                        </w:r>
                      </w:p>
                    </w:tc>
                    <w:tc>
                      <w:tcPr>
                        <w:tcW w:w="19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5" w:right="0"/>
                          <w:jc w:val="left"/>
                          <w:rPr>
                            <w:rFonts w:ascii="宋体" w:hAnsi="宋体" w:cs="宋体" w:eastAsia="宋体" w:hint="default"/>
                            <w:sz w:val="21"/>
                            <w:szCs w:val="21"/>
                          </w:rPr>
                        </w:pPr>
                        <w:r>
                          <w:rPr>
                            <w:rFonts w:ascii="宋体"/>
                            <w:sz w:val="21"/>
                          </w:rPr>
                          <w:t>1,100.00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45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报告期内审批对子公司担保额度合计（</w:t>
                        </w:r>
                        <w:r>
                          <w:rPr>
                            <w:rFonts w:ascii="宋体" w:hAnsi="宋体" w:cs="宋体" w:eastAsia="宋体" w:hint="default"/>
                            <w:sz w:val="21"/>
                            <w:szCs w:val="21"/>
                          </w:rPr>
                          <w:t>B1</w:t>
                        </w:r>
                        <w:r>
                          <w:rPr>
                            <w:rFonts w:ascii="宋体" w:hAnsi="宋体" w:cs="宋体" w:eastAsia="宋体" w:hint="default"/>
                            <w:sz w:val="21"/>
                            <w:szCs w:val="21"/>
                          </w:rPr>
                          <w:t>）</w:t>
                        </w:r>
                      </w:p>
                    </w:tc>
                    <w:tc>
                      <w:tcPr>
                        <w:tcW w:w="1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sz w:val="21"/>
                          </w:rPr>
                          <w:t>20,900.00</w:t>
                        </w:r>
                      </w:p>
                    </w:tc>
                    <w:tc>
                      <w:tcPr>
                        <w:tcW w:w="2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际发生额合计（</w:t>
                        </w:r>
                        <w:r>
                          <w:rPr>
                            <w:rFonts w:ascii="宋体" w:hAnsi="宋体" w:cs="宋体" w:eastAsia="宋体" w:hint="default"/>
                            <w:sz w:val="21"/>
                            <w:szCs w:val="21"/>
                          </w:rPr>
                          <w:t>B2</w:t>
                        </w:r>
                        <w:r>
                          <w:rPr>
                            <w:rFonts w:ascii="宋体" w:hAnsi="宋体" w:cs="宋体" w:eastAsia="宋体" w:hint="default"/>
                            <w:sz w:val="21"/>
                            <w:szCs w:val="21"/>
                          </w:rPr>
                          <w:t>）</w:t>
                        </w:r>
                      </w:p>
                    </w:tc>
                    <w:tc>
                      <w:tcPr>
                        <w:tcW w:w="1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0" w:right="0"/>
                          <w:jc w:val="left"/>
                          <w:rPr>
                            <w:rFonts w:ascii="宋体" w:hAnsi="宋体" w:cs="宋体" w:eastAsia="宋体" w:hint="default"/>
                            <w:sz w:val="21"/>
                            <w:szCs w:val="21"/>
                          </w:rPr>
                        </w:pPr>
                        <w:r>
                          <w:rPr>
                            <w:rFonts w:ascii="宋体"/>
                            <w:sz w:val="21"/>
                          </w:rPr>
                          <w:t>1,100.00</w:t>
                        </w:r>
                      </w:p>
                    </w:tc>
                  </w:tr>
                  <w:tr>
                    <w:trPr>
                      <w:trHeight w:val="557" w:hRule="exact"/>
                    </w:trPr>
                    <w:tc>
                      <w:tcPr>
                        <w:tcW w:w="45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 w:right="0"/>
                          <w:jc w:val="left"/>
                          <w:rPr>
                            <w:rFonts w:ascii="宋体" w:hAnsi="宋体" w:cs="宋体" w:eastAsia="宋体" w:hint="default"/>
                            <w:sz w:val="21"/>
                            <w:szCs w:val="21"/>
                          </w:rPr>
                        </w:pPr>
                        <w:r>
                          <w:rPr>
                            <w:rFonts w:ascii="宋体" w:hAnsi="宋体" w:cs="宋体" w:eastAsia="宋体" w:hint="default"/>
                            <w:sz w:val="21"/>
                            <w:szCs w:val="21"/>
                          </w:rPr>
                          <w:t>报告期末已审批的对子公司担保额度合计（</w:t>
                        </w:r>
                        <w:r>
                          <w:rPr>
                            <w:rFonts w:ascii="宋体" w:hAnsi="宋体" w:cs="宋体" w:eastAsia="宋体" w:hint="default"/>
                            <w:sz w:val="21"/>
                            <w:szCs w:val="21"/>
                          </w:rPr>
                          <w:t>B3</w:t>
                        </w:r>
                        <w:r>
                          <w:rPr>
                            <w:rFonts w:ascii="宋体" w:hAnsi="宋体" w:cs="宋体" w:eastAsia="宋体" w:hint="default"/>
                            <w:sz w:val="21"/>
                            <w:szCs w:val="21"/>
                          </w:rPr>
                          <w:t>）</w:t>
                        </w:r>
                      </w:p>
                    </w:tc>
                    <w:tc>
                      <w:tcPr>
                        <w:tcW w:w="1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sz w:val="21"/>
                          </w:rPr>
                          <w:t>20,900.00</w:t>
                        </w:r>
                      </w:p>
                    </w:tc>
                    <w:tc>
                      <w:tcPr>
                        <w:tcW w:w="2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保余额合计（</w:t>
                        </w:r>
                        <w:r>
                          <w:rPr>
                            <w:rFonts w:ascii="宋体" w:hAnsi="宋体" w:cs="宋体" w:eastAsia="宋体" w:hint="default"/>
                            <w:sz w:val="21"/>
                            <w:szCs w:val="21"/>
                          </w:rPr>
                          <w:t>B4</w:t>
                        </w:r>
                        <w:r>
                          <w:rPr>
                            <w:rFonts w:ascii="宋体" w:hAnsi="宋体" w:cs="宋体" w:eastAsia="宋体" w:hint="default"/>
                            <w:sz w:val="21"/>
                            <w:szCs w:val="21"/>
                          </w:rPr>
                          <w:t>）</w:t>
                        </w:r>
                      </w:p>
                    </w:tc>
                    <w:tc>
                      <w:tcPr>
                        <w:tcW w:w="1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0" w:right="0"/>
                          <w:jc w:val="left"/>
                          <w:rPr>
                            <w:rFonts w:ascii="宋体" w:hAnsi="宋体" w:cs="宋体" w:eastAsia="宋体" w:hint="default"/>
                            <w:sz w:val="21"/>
                            <w:szCs w:val="21"/>
                          </w:rPr>
                        </w:pPr>
                        <w:r>
                          <w:rPr>
                            <w:rFonts w:ascii="宋体"/>
                            <w:sz w:val="21"/>
                          </w:rPr>
                          <w:t>1,100.00</w:t>
                        </w:r>
                      </w:p>
                    </w:tc>
                  </w:tr>
                  <w:tr>
                    <w:trPr>
                      <w:trHeight w:val="576" w:hRule="exact"/>
                    </w:trPr>
                    <w:tc>
                      <w:tcPr>
                        <w:tcW w:w="1018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78" w:hRule="exact"/>
                    </w:trPr>
                    <w:tc>
                      <w:tcPr>
                        <w:tcW w:w="37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46"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r>
                          <w:rPr>
                            <w:rFonts w:ascii="宋体" w:hAnsi="宋体" w:cs="宋体" w:eastAsia="宋体" w:hint="default"/>
                            <w:sz w:val="21"/>
                            <w:szCs w:val="21"/>
                          </w:rPr>
                          <w:t>A1+B1</w:t>
                        </w:r>
                        <w:r>
                          <w:rPr>
                            <w:rFonts w:ascii="宋体" w:hAnsi="宋体" w:cs="宋体" w:eastAsia="宋体" w:hint="default"/>
                            <w:sz w:val="21"/>
                            <w:szCs w:val="21"/>
                          </w:rPr>
                          <w:t>）</w:t>
                        </w:r>
                      </w:p>
                    </w:tc>
                    <w:tc>
                      <w:tcPr>
                        <w:tcW w:w="1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6" w:right="0"/>
                          <w:jc w:val="left"/>
                          <w:rPr>
                            <w:rFonts w:ascii="宋体" w:hAnsi="宋体" w:cs="宋体" w:eastAsia="宋体" w:hint="default"/>
                            <w:sz w:val="21"/>
                            <w:szCs w:val="21"/>
                          </w:rPr>
                        </w:pPr>
                        <w:r>
                          <w:rPr>
                            <w:rFonts w:ascii="宋体"/>
                            <w:sz w:val="21"/>
                          </w:rPr>
                          <w:t>60,900.00</w:t>
                        </w:r>
                      </w:p>
                    </w:tc>
                    <w:tc>
                      <w:tcPr>
                        <w:tcW w:w="37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0"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报告期内担保实际发生额合计（</w:t>
                        </w:r>
                        <w:r>
                          <w:rPr>
                            <w:rFonts w:ascii="宋体" w:hAnsi="宋体" w:cs="宋体" w:eastAsia="宋体" w:hint="default"/>
                            <w:spacing w:val="-2"/>
                            <w:sz w:val="21"/>
                            <w:szCs w:val="21"/>
                          </w:rPr>
                          <w:t>A2+B2</w:t>
                        </w:r>
                        <w:r>
                          <w:rPr>
                            <w:rFonts w:ascii="宋体" w:hAnsi="宋体" w:cs="宋体" w:eastAsia="宋体" w:hint="default"/>
                            <w:spacing w:val="-2"/>
                            <w:sz w:val="21"/>
                            <w:szCs w:val="21"/>
                          </w:rPr>
                          <w:t>）</w:t>
                        </w:r>
                      </w:p>
                    </w:tc>
                    <w:tc>
                      <w:tcPr>
                        <w:tcW w:w="1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31" w:right="0"/>
                          <w:jc w:val="left"/>
                          <w:rPr>
                            <w:rFonts w:ascii="宋体" w:hAnsi="宋体" w:cs="宋体" w:eastAsia="宋体" w:hint="default"/>
                            <w:sz w:val="21"/>
                            <w:szCs w:val="21"/>
                          </w:rPr>
                        </w:pPr>
                        <w:r>
                          <w:rPr>
                            <w:rFonts w:ascii="宋体"/>
                            <w:sz w:val="21"/>
                          </w:rPr>
                          <w:t>26,905.55</w:t>
                        </w:r>
                      </w:p>
                    </w:tc>
                  </w:tr>
                  <w:tr>
                    <w:trPr>
                      <w:trHeight w:val="576" w:hRule="exact"/>
                    </w:trPr>
                    <w:tc>
                      <w:tcPr>
                        <w:tcW w:w="37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宋体" w:hAnsi="宋体" w:cs="宋体" w:eastAsia="宋体" w:hint="default"/>
                            <w:sz w:val="21"/>
                            <w:szCs w:val="21"/>
                          </w:rPr>
                        </w:pPr>
                        <w:r>
                          <w:rPr>
                            <w:rFonts w:ascii="宋体" w:hAnsi="宋体" w:cs="宋体" w:eastAsia="宋体" w:hint="default"/>
                            <w:spacing w:val="-5"/>
                            <w:sz w:val="21"/>
                            <w:szCs w:val="21"/>
                          </w:rPr>
                          <w:t>报告期末已审批的担保额度合计（</w:t>
                        </w:r>
                        <w:r>
                          <w:rPr>
                            <w:rFonts w:ascii="宋体" w:hAnsi="宋体" w:cs="宋体" w:eastAsia="宋体" w:hint="default"/>
                            <w:spacing w:val="-5"/>
                            <w:sz w:val="21"/>
                            <w:szCs w:val="21"/>
                          </w:rPr>
                          <w:t>A3+B3</w:t>
                        </w:r>
                      </w:p>
                    </w:tc>
                    <w:tc>
                      <w:tcPr>
                        <w:tcW w:w="80" w:type="dxa"/>
                        <w:tcBorders>
                          <w:top w:val="single" w:sz="4" w:space="0" w:color="000000"/>
                          <w:left w:val="single" w:sz="4" w:space="0" w:color="000000"/>
                          <w:bottom w:val="single" w:sz="4" w:space="0" w:color="000000"/>
                          <w:right w:val="nil" w:sz="6" w:space="0" w:color="auto"/>
                        </w:tcBorders>
                      </w:tcPr>
                      <w:p>
                        <w:pPr/>
                      </w:p>
                    </w:tc>
                    <w:tc>
                      <w:tcPr>
                        <w:tcW w:w="973"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 w:right="0"/>
                          <w:jc w:val="left"/>
                          <w:rPr>
                            <w:rFonts w:ascii="宋体" w:hAnsi="宋体" w:cs="宋体" w:eastAsia="宋体" w:hint="default"/>
                            <w:sz w:val="21"/>
                            <w:szCs w:val="21"/>
                          </w:rPr>
                        </w:pPr>
                        <w:r>
                          <w:rPr>
                            <w:rFonts w:ascii="宋体"/>
                            <w:sz w:val="21"/>
                          </w:rPr>
                          <w:t>60,900.00</w:t>
                        </w:r>
                      </w:p>
                    </w:tc>
                    <w:tc>
                      <w:tcPr>
                        <w:tcW w:w="37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5" w:right="0"/>
                          <w:jc w:val="left"/>
                          <w:rPr>
                            <w:rFonts w:ascii="宋体" w:hAnsi="宋体" w:cs="宋体" w:eastAsia="宋体" w:hint="default"/>
                            <w:sz w:val="21"/>
                            <w:szCs w:val="21"/>
                          </w:rPr>
                        </w:pPr>
                        <w:r>
                          <w:rPr>
                            <w:rFonts w:ascii="宋体" w:hAnsi="宋体" w:cs="宋体" w:eastAsia="宋体" w:hint="default"/>
                            <w:sz w:val="21"/>
                            <w:szCs w:val="21"/>
                          </w:rPr>
                          <w:t>报告期末实际担保余额合计（</w:t>
                        </w:r>
                        <w:r>
                          <w:rPr>
                            <w:rFonts w:ascii="宋体" w:hAnsi="宋体" w:cs="宋体" w:eastAsia="宋体" w:hint="default"/>
                            <w:sz w:val="21"/>
                            <w:szCs w:val="21"/>
                          </w:rPr>
                          <w:t>A4+B4</w:t>
                        </w:r>
                        <w:r>
                          <w:rPr>
                            <w:rFonts w:ascii="宋体" w:hAnsi="宋体" w:cs="宋体" w:eastAsia="宋体" w:hint="default"/>
                            <w:sz w:val="21"/>
                            <w:szCs w:val="21"/>
                          </w:rPr>
                          <w:t>）</w:t>
                        </w:r>
                      </w:p>
                    </w:tc>
                    <w:tc>
                      <w:tcPr>
                        <w:tcW w:w="1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31" w:right="0"/>
                          <w:jc w:val="left"/>
                          <w:rPr>
                            <w:rFonts w:ascii="宋体" w:hAnsi="宋体" w:cs="宋体" w:eastAsia="宋体" w:hint="default"/>
                            <w:sz w:val="21"/>
                            <w:szCs w:val="21"/>
                          </w:rPr>
                        </w:pPr>
                        <w:r>
                          <w:rPr>
                            <w:rFonts w:ascii="宋体"/>
                            <w:sz w:val="21"/>
                          </w:rPr>
                          <w:t>25,512.54</w:t>
                        </w:r>
                      </w:p>
                    </w:tc>
                  </w:tr>
                  <w:tr>
                    <w:trPr>
                      <w:trHeight w:val="578" w:hRule="exact"/>
                    </w:trPr>
                    <w:tc>
                      <w:tcPr>
                        <w:tcW w:w="4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6"/>
                            <w:sz w:val="21"/>
                            <w:szCs w:val="21"/>
                          </w:rPr>
                          <w:t> </w:t>
                        </w:r>
                        <w:r>
                          <w:rPr>
                            <w:rFonts w:ascii="宋体" w:hAnsi="宋体" w:cs="宋体" w:eastAsia="宋体" w:hint="default"/>
                            <w:sz w:val="21"/>
                            <w:szCs w:val="21"/>
                          </w:rPr>
                          <w:t>A4+B4</w:t>
                        </w:r>
                        <w:r>
                          <w:rPr>
                            <w:rFonts w:ascii="宋体" w:hAnsi="宋体" w:cs="宋体" w:eastAsia="宋体" w:hint="default"/>
                            <w:sz w:val="21"/>
                            <w:szCs w:val="21"/>
                          </w:rPr>
                          <w:t>）占公司净资产的比例</w:t>
                        </w:r>
                      </w:p>
                    </w:tc>
                    <w:tc>
                      <w:tcPr>
                        <w:tcW w:w="53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宋体" w:hAnsi="宋体" w:cs="宋体" w:eastAsia="宋体" w:hint="default"/>
                            <w:sz w:val="21"/>
                            <w:szCs w:val="21"/>
                          </w:rPr>
                        </w:pPr>
                        <w:r>
                          <w:rPr>
                            <w:rFonts w:ascii="宋体"/>
                            <w:sz w:val="21"/>
                          </w:rPr>
                          <w:t>82.30%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3748" w:right="0"/>
        <w:jc w:val="left"/>
      </w:pPr>
      <w:r>
        <w:rPr>
          <w:w w:val="100"/>
        </w:rPr>
        <w:t>）</w:t>
      </w:r>
    </w:p>
    <w:p>
      <w:pPr>
        <w:spacing w:after="0" w:line="240" w:lineRule="auto"/>
        <w:jc w:val="left"/>
        <w:sectPr>
          <w:pgSz w:w="11910" w:h="16840"/>
          <w:pgMar w:header="752" w:footer="955" w:top="1020" w:bottom="1140" w:left="4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6786"/>
        <w:gridCol w:w="3401"/>
      </w:tblGrid>
      <w:tr>
        <w:trPr>
          <w:trHeight w:val="579" w:hRule="exact"/>
        </w:trPr>
        <w:tc>
          <w:tcPr>
            <w:tcW w:w="10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76" w:hRule="exact"/>
        </w:trPr>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pacing w:val="-1"/>
                <w:sz w:val="21"/>
              </w:rPr>
              <w:t>24,412.54</w:t>
            </w:r>
          </w:p>
        </w:tc>
      </w:tr>
      <w:tr>
        <w:trPr>
          <w:trHeight w:val="576" w:hRule="exact"/>
        </w:trPr>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25"/>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8"/>
                <w:sz w:val="21"/>
                <w:szCs w:val="21"/>
              </w:rPr>
              <w:t> </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的被担保对象提供的债务担保金额（</w:t>
            </w:r>
            <w:r>
              <w:rPr>
                <w:rFonts w:ascii="宋体" w:hAnsi="宋体" w:cs="宋体" w:eastAsia="宋体" w:hint="default"/>
                <w:spacing w:val="-2"/>
                <w:sz w:val="21"/>
                <w:szCs w:val="21"/>
              </w:rPr>
              <w:t>D</w:t>
            </w:r>
            <w:r>
              <w:rPr>
                <w:rFonts w:ascii="宋体" w:hAnsi="宋体" w:cs="宋体" w:eastAsia="宋体" w:hint="default"/>
                <w:spacing w:val="-2"/>
                <w:sz w:val="21"/>
                <w:szCs w:val="21"/>
              </w:rPr>
              <w:t>）</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z w:val="21"/>
              </w:rPr>
              <w:t>0.00</w:t>
            </w:r>
          </w:p>
        </w:tc>
      </w:tr>
      <w:tr>
        <w:trPr>
          <w:trHeight w:val="578" w:hRule="exact"/>
        </w:trPr>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2"/>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宋体" w:hAnsi="宋体" w:cs="宋体" w:eastAsia="宋体" w:hint="default"/>
                <w:sz w:val="21"/>
                <w:szCs w:val="21"/>
              </w:rPr>
            </w:pPr>
            <w:r>
              <w:rPr>
                <w:rFonts w:ascii="宋体"/>
                <w:sz w:val="21"/>
              </w:rPr>
              <w:t>0.00</w:t>
            </w:r>
          </w:p>
        </w:tc>
      </w:tr>
      <w:tr>
        <w:trPr>
          <w:trHeight w:val="576" w:hRule="exact"/>
        </w:trPr>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pacing w:val="-1"/>
                <w:sz w:val="21"/>
              </w:rPr>
              <w:t>24,412.54</w:t>
            </w:r>
          </w:p>
        </w:tc>
      </w:tr>
      <w:tr>
        <w:trPr>
          <w:trHeight w:val="698" w:hRule="exact"/>
        </w:trPr>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2"/>
              <w:jc w:val="left"/>
              <w:rPr>
                <w:rFonts w:ascii="宋体" w:hAnsi="宋体" w:cs="宋体" w:eastAsia="宋体" w:hint="default"/>
                <w:sz w:val="21"/>
                <w:szCs w:val="21"/>
              </w:rPr>
            </w:pPr>
            <w:r>
              <w:rPr>
                <w:rFonts w:ascii="宋体" w:hAnsi="宋体" w:cs="宋体" w:eastAsia="宋体" w:hint="default"/>
                <w:spacing w:val="-3"/>
                <w:sz w:val="21"/>
                <w:szCs w:val="21"/>
              </w:rPr>
              <w:t>被担保单位经营情况正常，未到期担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保承担的连带清偿责任可能性较小。</w:t>
            </w:r>
          </w:p>
        </w:tc>
      </w:tr>
    </w:tbl>
    <w:p>
      <w:pPr>
        <w:pStyle w:val="Heading3"/>
        <w:spacing w:line="357" w:lineRule="auto" w:before="80"/>
        <w:ind w:left="1337" w:right="2689" w:hanging="60"/>
        <w:jc w:val="left"/>
      </w:pPr>
      <w:r>
        <w:rPr/>
        <w:t>（七）重大合同及其履行情况 报告期内本公司各项业务活动均履行正常，无重大合同纠纷发生。 报告期内公司无托管、承包、租赁其它公司资产事项。 关联方租赁上市公司子公司资产情况：</w:t>
      </w:r>
    </w:p>
    <w:p>
      <w:pPr>
        <w:spacing w:line="357" w:lineRule="auto" w:before="36"/>
        <w:ind w:left="857" w:right="1282" w:firstLine="479"/>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宋体" w:hAnsi="宋体" w:cs="宋体" w:eastAsia="宋体" w:hint="default"/>
          <w:spacing w:val="-5"/>
          <w:sz w:val="24"/>
          <w:szCs w:val="24"/>
        </w:rPr>
        <w:t>1</w:t>
      </w:r>
      <w:r>
        <w:rPr>
          <w:rFonts w:ascii="宋体" w:hAnsi="宋体" w:cs="宋体" w:eastAsia="宋体" w:hint="default"/>
          <w:spacing w:val="-5"/>
          <w:sz w:val="24"/>
          <w:szCs w:val="24"/>
        </w:rPr>
        <w:t>）子公司华立仪表与浙江华立电力科技有限公司签订的《房屋租赁合同》，华</w:t>
      </w:r>
      <w:r>
        <w:rPr>
          <w:rFonts w:ascii="宋体" w:hAnsi="宋体" w:cs="宋体" w:eastAsia="宋体" w:hint="default"/>
          <w:sz w:val="24"/>
          <w:szCs w:val="24"/>
        </w:rPr>
        <w:t> 立仪表集团将五常华立科技园南区</w:t>
      </w:r>
      <w:r>
        <w:rPr>
          <w:rFonts w:ascii="宋体" w:hAnsi="宋体" w:cs="宋体" w:eastAsia="宋体" w:hint="default"/>
          <w:spacing w:val="-38"/>
          <w:sz w:val="24"/>
          <w:szCs w:val="24"/>
        </w:rPr>
        <w:t> </w:t>
      </w:r>
      <w:r>
        <w:rPr>
          <w:rFonts w:ascii="宋体" w:hAnsi="宋体" w:cs="宋体" w:eastAsia="宋体" w:hint="default"/>
          <w:sz w:val="24"/>
          <w:szCs w:val="24"/>
        </w:rPr>
        <w:t>2</w:t>
      </w:r>
      <w:r>
        <w:rPr>
          <w:rFonts w:ascii="宋体" w:hAnsi="宋体" w:cs="宋体" w:eastAsia="宋体" w:hint="default"/>
          <w:spacing w:val="-39"/>
          <w:sz w:val="24"/>
          <w:szCs w:val="24"/>
        </w:rPr>
        <w:t> </w:t>
      </w:r>
      <w:r>
        <w:rPr>
          <w:rFonts w:ascii="宋体" w:hAnsi="宋体" w:cs="宋体" w:eastAsia="宋体" w:hint="default"/>
          <w:sz w:val="24"/>
          <w:szCs w:val="24"/>
        </w:rPr>
        <w:t>号厂房一层房屋面积为</w:t>
      </w:r>
      <w:r>
        <w:rPr>
          <w:rFonts w:ascii="宋体" w:hAnsi="宋体" w:cs="宋体" w:eastAsia="宋体" w:hint="default"/>
          <w:spacing w:val="-38"/>
          <w:sz w:val="24"/>
          <w:szCs w:val="24"/>
        </w:rPr>
        <w:t> </w:t>
      </w:r>
      <w:r>
        <w:rPr>
          <w:rFonts w:ascii="宋体" w:hAnsi="宋体" w:cs="宋体" w:eastAsia="宋体" w:hint="default"/>
          <w:sz w:val="24"/>
          <w:szCs w:val="24"/>
        </w:rPr>
        <w:t>1,600.00</w:t>
      </w:r>
      <w:r>
        <w:rPr>
          <w:rFonts w:ascii="宋体" w:hAnsi="宋体" w:cs="宋体" w:eastAsia="宋体" w:hint="default"/>
          <w:spacing w:val="-38"/>
          <w:sz w:val="24"/>
          <w:szCs w:val="24"/>
        </w:rPr>
        <w:t> </w:t>
      </w:r>
      <w:r>
        <w:rPr>
          <w:rFonts w:ascii="宋体" w:hAnsi="宋体" w:cs="宋体" w:eastAsia="宋体" w:hint="default"/>
          <w:sz w:val="24"/>
          <w:szCs w:val="24"/>
        </w:rPr>
        <w:t>平方米（建筑</w:t>
      </w:r>
    </w:p>
    <w:p>
      <w:pPr>
        <w:spacing w:before="36"/>
        <w:ind w:left="857" w:right="0" w:firstLine="0"/>
        <w:jc w:val="left"/>
        <w:rPr>
          <w:rFonts w:ascii="宋体" w:hAnsi="宋体" w:cs="宋体" w:eastAsia="宋体" w:hint="default"/>
          <w:sz w:val="24"/>
          <w:szCs w:val="24"/>
        </w:rPr>
      </w:pPr>
      <w:r>
        <w:rPr>
          <w:rFonts w:ascii="宋体" w:hAnsi="宋体" w:cs="宋体" w:eastAsia="宋体" w:hint="default"/>
          <w:sz w:val="24"/>
          <w:szCs w:val="24"/>
        </w:rPr>
        <w:t>面积）的房产租赁给其使用，年租金</w:t>
      </w:r>
      <w:r>
        <w:rPr>
          <w:rFonts w:ascii="宋体" w:hAnsi="宋体" w:cs="宋体" w:eastAsia="宋体" w:hint="default"/>
          <w:spacing w:val="-58"/>
          <w:sz w:val="24"/>
          <w:szCs w:val="24"/>
        </w:rPr>
        <w:t> </w:t>
      </w:r>
      <w:r>
        <w:rPr>
          <w:rFonts w:ascii="宋体" w:hAnsi="宋体" w:cs="宋体" w:eastAsia="宋体" w:hint="default"/>
          <w:sz w:val="24"/>
          <w:szCs w:val="24"/>
        </w:rPr>
        <w:t>675,881.28</w:t>
      </w:r>
      <w:r>
        <w:rPr>
          <w:rFonts w:ascii="宋体" w:hAnsi="宋体" w:cs="宋体" w:eastAsia="宋体" w:hint="default"/>
          <w:spacing w:val="-57"/>
          <w:sz w:val="24"/>
          <w:szCs w:val="24"/>
        </w:rPr>
        <w:t> </w:t>
      </w:r>
      <w:r>
        <w:rPr>
          <w:rFonts w:ascii="宋体" w:hAnsi="宋体" w:cs="宋体" w:eastAsia="宋体" w:hint="default"/>
          <w:sz w:val="24"/>
          <w:szCs w:val="24"/>
        </w:rPr>
        <w:t>元，租赁期限为</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5"/>
          <w:sz w:val="24"/>
          <w:szCs w:val="24"/>
        </w:rPr>
        <w:t> </w:t>
      </w:r>
      <w:r>
        <w:rPr>
          <w:rFonts w:ascii="宋体" w:hAnsi="宋体" w:cs="宋体" w:eastAsia="宋体" w:hint="default"/>
          <w:sz w:val="24"/>
          <w:szCs w:val="24"/>
        </w:rPr>
        <w:t>年，自</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p>
    <w:p>
      <w:pPr>
        <w:spacing w:before="154"/>
        <w:ind w:left="857" w:right="0"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pacing w:val="-4"/>
          <w:sz w:val="24"/>
          <w:szCs w:val="24"/>
        </w:rPr>
        <w:t>日止。华立仪表集团将五常华立科技园行政办公大楼西区</w:t>
      </w:r>
      <w:r>
        <w:rPr>
          <w:rFonts w:ascii="宋体" w:hAnsi="宋体" w:cs="宋体" w:eastAsia="宋体" w:hint="default"/>
          <w:spacing w:val="-59"/>
          <w:sz w:val="24"/>
          <w:szCs w:val="24"/>
        </w:rPr>
        <w:t> </w:t>
      </w:r>
      <w:r>
        <w:rPr>
          <w:rFonts w:ascii="宋体" w:hAnsi="宋体" w:cs="宋体" w:eastAsia="宋体" w:hint="default"/>
          <w:sz w:val="24"/>
          <w:szCs w:val="24"/>
        </w:rPr>
        <w:t>9</w:t>
      </w:r>
    </w:p>
    <w:p>
      <w:pPr>
        <w:spacing w:before="154"/>
        <w:ind w:left="857" w:right="0" w:firstLine="0"/>
        <w:jc w:val="left"/>
        <w:rPr>
          <w:rFonts w:ascii="宋体" w:hAnsi="宋体" w:cs="宋体" w:eastAsia="宋体" w:hint="default"/>
          <w:sz w:val="24"/>
          <w:szCs w:val="24"/>
        </w:rPr>
      </w:pPr>
      <w:r>
        <w:rPr>
          <w:rFonts w:ascii="宋体" w:hAnsi="宋体" w:cs="宋体" w:eastAsia="宋体" w:hint="default"/>
          <w:sz w:val="24"/>
          <w:szCs w:val="24"/>
        </w:rPr>
        <w:t>层</w:t>
      </w:r>
      <w:r>
        <w:rPr>
          <w:rFonts w:ascii="宋体" w:hAnsi="宋体" w:cs="宋体" w:eastAsia="宋体" w:hint="default"/>
          <w:spacing w:val="-116"/>
          <w:sz w:val="24"/>
          <w:szCs w:val="24"/>
        </w:rPr>
        <w:t>，</w:t>
      </w:r>
      <w:r>
        <w:rPr>
          <w:rFonts w:ascii="宋体" w:hAnsi="宋体" w:cs="宋体" w:eastAsia="宋体" w:hint="default"/>
          <w:sz w:val="24"/>
          <w:szCs w:val="24"/>
        </w:rPr>
        <w:t>面积为</w:t>
      </w:r>
      <w:r>
        <w:rPr>
          <w:rFonts w:ascii="宋体" w:hAnsi="宋体" w:cs="宋体" w:eastAsia="宋体" w:hint="default"/>
          <w:spacing w:val="-61"/>
          <w:sz w:val="24"/>
          <w:szCs w:val="24"/>
        </w:rPr>
        <w:t> </w:t>
      </w:r>
      <w:r>
        <w:rPr>
          <w:rFonts w:ascii="宋体" w:hAnsi="宋体" w:cs="宋体" w:eastAsia="宋体" w:hint="default"/>
          <w:sz w:val="24"/>
          <w:szCs w:val="24"/>
        </w:rPr>
        <w:t>1,134.52</w:t>
      </w:r>
      <w:r>
        <w:rPr>
          <w:rFonts w:ascii="宋体" w:hAnsi="宋体" w:cs="宋体" w:eastAsia="宋体" w:hint="default"/>
          <w:spacing w:val="-60"/>
          <w:sz w:val="24"/>
          <w:szCs w:val="24"/>
        </w:rPr>
        <w:t> </w:t>
      </w:r>
      <w:r>
        <w:rPr>
          <w:rFonts w:ascii="宋体" w:hAnsi="宋体" w:cs="宋体" w:eastAsia="宋体" w:hint="default"/>
          <w:spacing w:val="2"/>
          <w:sz w:val="24"/>
          <w:szCs w:val="24"/>
        </w:rPr>
        <w:t>平</w:t>
      </w:r>
      <w:r>
        <w:rPr>
          <w:rFonts w:ascii="宋体" w:hAnsi="宋体" w:cs="宋体" w:eastAsia="宋体" w:hint="default"/>
          <w:sz w:val="24"/>
          <w:szCs w:val="24"/>
        </w:rPr>
        <w:t>方</w:t>
      </w:r>
      <w:r>
        <w:rPr>
          <w:rFonts w:ascii="宋体" w:hAnsi="宋体" w:cs="宋体" w:eastAsia="宋体" w:hint="default"/>
          <w:spacing w:val="-116"/>
          <w:sz w:val="24"/>
          <w:szCs w:val="24"/>
        </w:rPr>
        <w:t>米</w:t>
      </w:r>
      <w:r>
        <w:rPr>
          <w:rFonts w:ascii="宋体" w:hAnsi="宋体" w:cs="宋体" w:eastAsia="宋体" w:hint="default"/>
          <w:sz w:val="24"/>
          <w:szCs w:val="24"/>
        </w:rPr>
        <w:t>（建筑面积</w:t>
      </w:r>
      <w:r>
        <w:rPr>
          <w:rFonts w:ascii="宋体" w:hAnsi="宋体" w:cs="宋体" w:eastAsia="宋体" w:hint="default"/>
          <w:spacing w:val="-116"/>
          <w:sz w:val="24"/>
          <w:szCs w:val="24"/>
        </w:rPr>
        <w:t>）</w:t>
      </w:r>
      <w:r>
        <w:rPr>
          <w:rFonts w:ascii="宋体" w:hAnsi="宋体" w:cs="宋体" w:eastAsia="宋体" w:hint="default"/>
          <w:sz w:val="24"/>
          <w:szCs w:val="24"/>
        </w:rPr>
        <w:t>的房</w:t>
      </w:r>
      <w:r>
        <w:rPr>
          <w:rFonts w:ascii="宋体" w:hAnsi="宋体" w:cs="宋体" w:eastAsia="宋体" w:hint="default"/>
          <w:spacing w:val="2"/>
          <w:sz w:val="24"/>
          <w:szCs w:val="24"/>
        </w:rPr>
        <w:t>产</w:t>
      </w:r>
      <w:r>
        <w:rPr>
          <w:rFonts w:ascii="宋体" w:hAnsi="宋体" w:cs="宋体" w:eastAsia="宋体" w:hint="default"/>
          <w:sz w:val="24"/>
          <w:szCs w:val="24"/>
        </w:rPr>
        <w:t>租赁给其使用</w:t>
      </w:r>
      <w:r>
        <w:rPr>
          <w:rFonts w:ascii="宋体" w:hAnsi="宋体" w:cs="宋体" w:eastAsia="宋体" w:hint="default"/>
          <w:spacing w:val="-116"/>
          <w:sz w:val="24"/>
          <w:szCs w:val="24"/>
        </w:rPr>
        <w:t>，</w:t>
      </w:r>
      <w:r>
        <w:rPr>
          <w:rFonts w:ascii="宋体" w:hAnsi="宋体" w:cs="宋体" w:eastAsia="宋体" w:hint="default"/>
          <w:sz w:val="24"/>
          <w:szCs w:val="24"/>
        </w:rPr>
        <w:t>年租</w:t>
      </w:r>
      <w:r>
        <w:rPr>
          <w:rFonts w:ascii="宋体" w:hAnsi="宋体" w:cs="宋体" w:eastAsia="宋体" w:hint="default"/>
          <w:spacing w:val="2"/>
          <w:sz w:val="24"/>
          <w:szCs w:val="24"/>
        </w:rPr>
        <w:t>金</w:t>
      </w:r>
      <w:r>
        <w:rPr>
          <w:rFonts w:ascii="宋体" w:hAnsi="宋体" w:cs="宋体" w:eastAsia="宋体" w:hint="default"/>
          <w:sz w:val="24"/>
          <w:szCs w:val="24"/>
        </w:rPr>
        <w:t>为</w:t>
      </w:r>
      <w:r>
        <w:rPr>
          <w:rFonts w:ascii="宋体" w:hAnsi="宋体" w:cs="宋体" w:eastAsia="宋体" w:hint="default"/>
          <w:spacing w:val="-59"/>
          <w:sz w:val="24"/>
          <w:szCs w:val="24"/>
        </w:rPr>
        <w:t> </w:t>
      </w:r>
      <w:r>
        <w:rPr>
          <w:rFonts w:ascii="宋体" w:hAnsi="宋体" w:cs="宋体" w:eastAsia="宋体" w:hint="default"/>
          <w:sz w:val="24"/>
          <w:szCs w:val="24"/>
        </w:rPr>
        <w:t>1,076,659.48</w:t>
      </w:r>
    </w:p>
    <w:p>
      <w:pPr>
        <w:spacing w:before="154"/>
        <w:ind w:left="857" w:right="0" w:firstLine="0"/>
        <w:jc w:val="left"/>
        <w:rPr>
          <w:rFonts w:ascii="宋体" w:hAnsi="宋体" w:cs="宋体" w:eastAsia="宋体" w:hint="default"/>
          <w:sz w:val="24"/>
          <w:szCs w:val="24"/>
        </w:rPr>
      </w:pPr>
      <w:r>
        <w:rPr>
          <w:rFonts w:ascii="宋体" w:hAnsi="宋体" w:cs="宋体" w:eastAsia="宋体" w:hint="default"/>
          <w:sz w:val="24"/>
          <w:szCs w:val="24"/>
        </w:rPr>
        <w:t>元，租赁期限为</w:t>
      </w:r>
      <w:r>
        <w:rPr>
          <w:rFonts w:ascii="宋体" w:hAnsi="宋体" w:cs="宋体" w:eastAsia="宋体" w:hint="default"/>
          <w:spacing w:val="-61"/>
          <w:sz w:val="24"/>
          <w:szCs w:val="24"/>
        </w:rPr>
        <w:t> </w:t>
      </w: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日至</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日止。</w:t>
      </w:r>
    </w:p>
    <w:p>
      <w:pPr>
        <w:spacing w:line="357" w:lineRule="auto" w:before="154"/>
        <w:ind w:left="857" w:right="0" w:firstLine="479"/>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）子公司华立仪表与浙江华立电网控制系统有限公司签订《房屋租赁合同》，</w:t>
      </w:r>
      <w:r>
        <w:rPr>
          <w:rFonts w:ascii="宋体" w:hAnsi="宋体" w:cs="宋体" w:eastAsia="宋体" w:hint="default"/>
          <w:sz w:val="24"/>
          <w:szCs w:val="24"/>
        </w:rPr>
        <w:t> 约定将杭州市余杭区五常大道</w:t>
      </w:r>
      <w:r>
        <w:rPr>
          <w:rFonts w:ascii="宋体" w:hAnsi="宋体" w:cs="宋体" w:eastAsia="宋体" w:hint="default"/>
          <w:spacing w:val="-31"/>
          <w:sz w:val="24"/>
          <w:szCs w:val="24"/>
        </w:rPr>
        <w:t> </w:t>
      </w:r>
      <w:r>
        <w:rPr>
          <w:rFonts w:ascii="宋体" w:hAnsi="宋体" w:cs="宋体" w:eastAsia="宋体" w:hint="default"/>
          <w:sz w:val="24"/>
          <w:szCs w:val="24"/>
        </w:rPr>
        <w:t>181</w:t>
      </w:r>
      <w:r>
        <w:rPr>
          <w:rFonts w:ascii="宋体" w:hAnsi="宋体" w:cs="宋体" w:eastAsia="宋体" w:hint="default"/>
          <w:spacing w:val="-32"/>
          <w:sz w:val="24"/>
          <w:szCs w:val="24"/>
        </w:rPr>
        <w:t> </w:t>
      </w:r>
      <w:r>
        <w:rPr>
          <w:rFonts w:ascii="宋体" w:hAnsi="宋体" w:cs="宋体" w:eastAsia="宋体" w:hint="default"/>
          <w:sz w:val="24"/>
          <w:szCs w:val="24"/>
        </w:rPr>
        <w:t>号华立科技园行政办公楼西区</w:t>
      </w:r>
      <w:r>
        <w:rPr>
          <w:rFonts w:ascii="宋体" w:hAnsi="宋体" w:cs="宋体" w:eastAsia="宋体" w:hint="default"/>
          <w:spacing w:val="-31"/>
          <w:sz w:val="24"/>
          <w:szCs w:val="24"/>
        </w:rPr>
        <w:t> </w:t>
      </w:r>
      <w:r>
        <w:rPr>
          <w:rFonts w:ascii="宋体" w:hAnsi="宋体" w:cs="宋体" w:eastAsia="宋体" w:hint="default"/>
          <w:sz w:val="24"/>
          <w:szCs w:val="24"/>
        </w:rPr>
        <w:t>9</w:t>
      </w:r>
      <w:r>
        <w:rPr>
          <w:rFonts w:ascii="宋体" w:hAnsi="宋体" w:cs="宋体" w:eastAsia="宋体" w:hint="default"/>
          <w:spacing w:val="-31"/>
          <w:sz w:val="24"/>
          <w:szCs w:val="24"/>
        </w:rPr>
        <w:t> </w:t>
      </w:r>
      <w:r>
        <w:rPr>
          <w:rFonts w:ascii="宋体" w:hAnsi="宋体" w:cs="宋体" w:eastAsia="宋体" w:hint="default"/>
          <w:sz w:val="24"/>
          <w:szCs w:val="24"/>
        </w:rPr>
        <w:t>层面积为</w:t>
      </w:r>
      <w:r>
        <w:rPr>
          <w:rFonts w:ascii="宋体" w:hAnsi="宋体" w:cs="宋体" w:eastAsia="宋体" w:hint="default"/>
          <w:spacing w:val="-32"/>
          <w:sz w:val="24"/>
          <w:szCs w:val="24"/>
        </w:rPr>
        <w:t> </w:t>
      </w:r>
      <w:r>
        <w:rPr>
          <w:rFonts w:ascii="宋体" w:hAnsi="宋体" w:cs="宋体" w:eastAsia="宋体" w:hint="default"/>
          <w:sz w:val="24"/>
          <w:szCs w:val="24"/>
        </w:rPr>
        <w:t>429.48</w:t>
      </w:r>
    </w:p>
    <w:p>
      <w:pPr>
        <w:spacing w:before="36"/>
        <w:ind w:left="857" w:right="0" w:firstLine="0"/>
        <w:jc w:val="left"/>
        <w:rPr>
          <w:rFonts w:ascii="宋体" w:hAnsi="宋体" w:cs="宋体" w:eastAsia="宋体" w:hint="default"/>
          <w:sz w:val="24"/>
          <w:szCs w:val="24"/>
        </w:rPr>
      </w:pPr>
      <w:r>
        <w:rPr>
          <w:rFonts w:ascii="宋体" w:hAnsi="宋体" w:cs="宋体" w:eastAsia="宋体" w:hint="default"/>
          <w:sz w:val="24"/>
          <w:szCs w:val="24"/>
        </w:rPr>
        <w:t>平方米（建筑面积）的房产租赁给其使用，年租金</w:t>
      </w:r>
      <w:r>
        <w:rPr>
          <w:rFonts w:ascii="宋体" w:hAnsi="宋体" w:cs="宋体" w:eastAsia="宋体" w:hint="default"/>
          <w:spacing w:val="-52"/>
          <w:sz w:val="24"/>
          <w:szCs w:val="24"/>
        </w:rPr>
        <w:t> </w:t>
      </w:r>
      <w:r>
        <w:rPr>
          <w:rFonts w:ascii="宋体" w:hAnsi="宋体" w:cs="宋体" w:eastAsia="宋体" w:hint="default"/>
          <w:sz w:val="24"/>
          <w:szCs w:val="24"/>
        </w:rPr>
        <w:t>407,576.52</w:t>
      </w:r>
      <w:r>
        <w:rPr>
          <w:rFonts w:ascii="宋体" w:hAnsi="宋体" w:cs="宋体" w:eastAsia="宋体" w:hint="default"/>
          <w:spacing w:val="-53"/>
          <w:sz w:val="24"/>
          <w:szCs w:val="24"/>
        </w:rPr>
        <w:t> </w:t>
      </w:r>
      <w:r>
        <w:rPr>
          <w:rFonts w:ascii="宋体" w:hAnsi="宋体" w:cs="宋体" w:eastAsia="宋体" w:hint="default"/>
          <w:sz w:val="24"/>
          <w:szCs w:val="24"/>
        </w:rPr>
        <w:t>元，租赁期限为</w:t>
      </w:r>
      <w:r>
        <w:rPr>
          <w:rFonts w:ascii="宋体" w:hAnsi="宋体" w:cs="宋体" w:eastAsia="宋体" w:hint="default"/>
          <w:spacing w:val="-52"/>
          <w:sz w:val="24"/>
          <w:szCs w:val="24"/>
        </w:rPr>
        <w:t> </w:t>
      </w:r>
      <w:r>
        <w:rPr>
          <w:rFonts w:ascii="宋体" w:hAnsi="宋体" w:cs="宋体" w:eastAsia="宋体" w:hint="default"/>
          <w:sz w:val="24"/>
          <w:szCs w:val="24"/>
        </w:rPr>
        <w:t>2009</w:t>
      </w:r>
    </w:p>
    <w:p>
      <w:pPr>
        <w:spacing w:before="154"/>
        <w:ind w:left="857"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p>
    <w:p>
      <w:pPr>
        <w:spacing w:line="357" w:lineRule="auto" w:before="154"/>
        <w:ind w:left="857" w:right="1290" w:firstLine="479"/>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宋体" w:hAnsi="宋体" w:cs="宋体" w:eastAsia="宋体" w:hint="default"/>
          <w:spacing w:val="-5"/>
          <w:sz w:val="24"/>
          <w:szCs w:val="24"/>
        </w:rPr>
        <w:t>3</w:t>
      </w:r>
      <w:r>
        <w:rPr>
          <w:rFonts w:ascii="宋体" w:hAnsi="宋体" w:cs="宋体" w:eastAsia="宋体" w:hint="default"/>
          <w:spacing w:val="-5"/>
          <w:sz w:val="24"/>
          <w:szCs w:val="24"/>
        </w:rPr>
        <w:t>）子公司华立仪表与华方医药科技有限公司签订《房屋租赁合同》，约定将余</w:t>
      </w:r>
      <w:r>
        <w:rPr>
          <w:rFonts w:ascii="宋体" w:hAnsi="宋体" w:cs="宋体" w:eastAsia="宋体" w:hint="default"/>
          <w:sz w:val="24"/>
          <w:szCs w:val="24"/>
        </w:rPr>
        <w:t> 杭区五常街道五常大道</w:t>
      </w:r>
      <w:r>
        <w:rPr>
          <w:rFonts w:ascii="宋体" w:hAnsi="宋体" w:cs="宋体" w:eastAsia="宋体" w:hint="default"/>
          <w:spacing w:val="-47"/>
          <w:sz w:val="24"/>
          <w:szCs w:val="24"/>
        </w:rPr>
        <w:t> </w:t>
      </w:r>
      <w:r>
        <w:rPr>
          <w:rFonts w:ascii="宋体" w:hAnsi="宋体" w:cs="宋体" w:eastAsia="宋体" w:hint="default"/>
          <w:sz w:val="24"/>
          <w:szCs w:val="24"/>
        </w:rPr>
        <w:t>181</w:t>
      </w:r>
      <w:r>
        <w:rPr>
          <w:rFonts w:ascii="宋体" w:hAnsi="宋体" w:cs="宋体" w:eastAsia="宋体" w:hint="default"/>
          <w:spacing w:val="-47"/>
          <w:sz w:val="24"/>
          <w:szCs w:val="24"/>
        </w:rPr>
        <w:t> </w:t>
      </w:r>
      <w:r>
        <w:rPr>
          <w:rFonts w:ascii="宋体" w:hAnsi="宋体" w:cs="宋体" w:eastAsia="宋体" w:hint="default"/>
          <w:sz w:val="24"/>
          <w:szCs w:val="24"/>
        </w:rPr>
        <w:t>号仪表园区</w:t>
      </w:r>
      <w:r>
        <w:rPr>
          <w:rFonts w:ascii="宋体" w:hAnsi="宋体" w:cs="宋体" w:eastAsia="宋体" w:hint="default"/>
          <w:spacing w:val="-47"/>
          <w:sz w:val="24"/>
          <w:szCs w:val="24"/>
        </w:rPr>
        <w:t> </w:t>
      </w:r>
      <w:r>
        <w:rPr>
          <w:rFonts w:ascii="宋体" w:hAnsi="宋体" w:cs="宋体" w:eastAsia="宋体" w:hint="default"/>
          <w:sz w:val="24"/>
          <w:szCs w:val="24"/>
        </w:rPr>
        <w:t>3</w:t>
      </w:r>
      <w:r>
        <w:rPr>
          <w:rFonts w:ascii="宋体" w:hAnsi="宋体" w:cs="宋体" w:eastAsia="宋体" w:hint="default"/>
          <w:spacing w:val="-47"/>
          <w:sz w:val="24"/>
          <w:szCs w:val="24"/>
        </w:rPr>
        <w:t> </w:t>
      </w:r>
      <w:r>
        <w:rPr>
          <w:rFonts w:ascii="宋体" w:hAnsi="宋体" w:cs="宋体" w:eastAsia="宋体" w:hint="default"/>
          <w:sz w:val="24"/>
          <w:szCs w:val="24"/>
        </w:rPr>
        <w:t>号厂房一层面积</w:t>
      </w:r>
      <w:r>
        <w:rPr>
          <w:rFonts w:ascii="宋体" w:hAnsi="宋体" w:cs="宋体" w:eastAsia="宋体" w:hint="default"/>
          <w:spacing w:val="-47"/>
          <w:sz w:val="24"/>
          <w:szCs w:val="24"/>
        </w:rPr>
        <w:t> </w:t>
      </w:r>
      <w:r>
        <w:rPr>
          <w:rFonts w:ascii="宋体" w:hAnsi="宋体" w:cs="宋体" w:eastAsia="宋体" w:hint="default"/>
          <w:sz w:val="24"/>
          <w:szCs w:val="24"/>
        </w:rPr>
        <w:t>1,448.04</w:t>
      </w:r>
      <w:r>
        <w:rPr>
          <w:rFonts w:ascii="宋体" w:hAnsi="宋体" w:cs="宋体" w:eastAsia="宋体" w:hint="default"/>
          <w:spacing w:val="-46"/>
          <w:sz w:val="24"/>
          <w:szCs w:val="24"/>
        </w:rPr>
        <w:t> </w:t>
      </w:r>
      <w:r>
        <w:rPr>
          <w:rFonts w:ascii="宋体" w:hAnsi="宋体" w:cs="宋体" w:eastAsia="宋体" w:hint="default"/>
          <w:sz w:val="24"/>
          <w:szCs w:val="24"/>
        </w:rPr>
        <w:t>平方米（建筑面</w:t>
      </w:r>
    </w:p>
    <w:p>
      <w:pPr>
        <w:spacing w:before="37"/>
        <w:ind w:left="857" w:right="0" w:firstLine="0"/>
        <w:jc w:val="left"/>
        <w:rPr>
          <w:rFonts w:ascii="宋体" w:hAnsi="宋体" w:cs="宋体" w:eastAsia="宋体" w:hint="default"/>
          <w:sz w:val="24"/>
          <w:szCs w:val="24"/>
        </w:rPr>
      </w:pPr>
      <w:r>
        <w:rPr>
          <w:rFonts w:ascii="宋体" w:hAnsi="宋体" w:cs="宋体" w:eastAsia="宋体" w:hint="default"/>
          <w:spacing w:val="-6"/>
          <w:sz w:val="24"/>
          <w:szCs w:val="24"/>
        </w:rPr>
        <w:t>积）的商业物流库房租赁给其使用，年租金</w:t>
      </w:r>
      <w:r>
        <w:rPr>
          <w:rFonts w:ascii="宋体" w:hAnsi="宋体" w:cs="宋体" w:eastAsia="宋体" w:hint="default"/>
          <w:spacing w:val="-59"/>
          <w:sz w:val="24"/>
          <w:szCs w:val="24"/>
        </w:rPr>
        <w:t> </w:t>
      </w:r>
      <w:r>
        <w:rPr>
          <w:rFonts w:ascii="宋体" w:hAnsi="宋体" w:cs="宋体" w:eastAsia="宋体" w:hint="default"/>
          <w:sz w:val="24"/>
          <w:szCs w:val="24"/>
        </w:rPr>
        <w:t>260,647.20</w:t>
      </w:r>
      <w:r>
        <w:rPr>
          <w:rFonts w:ascii="宋体" w:hAnsi="宋体" w:cs="宋体" w:eastAsia="宋体" w:hint="default"/>
          <w:spacing w:val="-59"/>
          <w:sz w:val="24"/>
          <w:szCs w:val="24"/>
        </w:rPr>
        <w:t> </w:t>
      </w:r>
      <w:r>
        <w:rPr>
          <w:rFonts w:ascii="宋体" w:hAnsi="宋体" w:cs="宋体" w:eastAsia="宋体" w:hint="default"/>
          <w:spacing w:val="-8"/>
          <w:sz w:val="24"/>
          <w:szCs w:val="24"/>
        </w:rPr>
        <w:t>元，租赁期限为</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pacing w:val="-19"/>
          <w:sz w:val="24"/>
          <w:szCs w:val="24"/>
        </w:rPr>
        <w:t>年，自</w:t>
      </w:r>
      <w:r>
        <w:rPr>
          <w:rFonts w:ascii="宋体" w:hAnsi="宋体" w:cs="宋体" w:eastAsia="宋体" w:hint="default"/>
          <w:spacing w:val="-59"/>
          <w:sz w:val="24"/>
          <w:szCs w:val="24"/>
        </w:rPr>
        <w:t> </w:t>
      </w:r>
      <w:r>
        <w:rPr>
          <w:rFonts w:ascii="宋体" w:hAnsi="宋体" w:cs="宋体" w:eastAsia="宋体" w:hint="default"/>
          <w:sz w:val="24"/>
          <w:szCs w:val="24"/>
        </w:rPr>
        <w:t>2009</w:t>
      </w:r>
    </w:p>
    <w:p>
      <w:pPr>
        <w:spacing w:before="154"/>
        <w:ind w:left="857"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p>
    <w:p>
      <w:pPr>
        <w:spacing w:line="357" w:lineRule="auto" w:before="154"/>
        <w:ind w:left="857" w:right="0" w:firstLine="479"/>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4</w:t>
      </w:r>
      <w:r>
        <w:rPr>
          <w:rFonts w:ascii="宋体" w:hAnsi="宋体" w:cs="宋体" w:eastAsia="宋体" w:hint="default"/>
          <w:spacing w:val="-4"/>
          <w:sz w:val="24"/>
          <w:szCs w:val="24"/>
        </w:rPr>
        <w:t>）子公司华立仪表与杭州华立电力系统工程有限公司签订《房屋租赁合同》，</w:t>
      </w:r>
      <w:r>
        <w:rPr>
          <w:rFonts w:ascii="宋体" w:hAnsi="宋体" w:cs="宋体" w:eastAsia="宋体" w:hint="default"/>
          <w:sz w:val="24"/>
          <w:szCs w:val="24"/>
        </w:rPr>
        <w:t> 约定将五常华立科技园行政办公大楼面积 </w:t>
      </w:r>
      <w:r>
        <w:rPr>
          <w:rFonts w:ascii="宋体" w:hAnsi="宋体" w:cs="宋体" w:eastAsia="宋体" w:hint="default"/>
          <w:sz w:val="24"/>
          <w:szCs w:val="24"/>
        </w:rPr>
        <w:t>507.00</w:t>
      </w:r>
      <w:r>
        <w:rPr>
          <w:rFonts w:ascii="宋体" w:hAnsi="宋体" w:cs="宋体" w:eastAsia="宋体" w:hint="default"/>
          <w:spacing w:val="-34"/>
          <w:sz w:val="24"/>
          <w:szCs w:val="24"/>
        </w:rPr>
        <w:t> </w:t>
      </w:r>
      <w:r>
        <w:rPr>
          <w:rFonts w:ascii="宋体" w:hAnsi="宋体" w:cs="宋体" w:eastAsia="宋体" w:hint="default"/>
          <w:sz w:val="24"/>
          <w:szCs w:val="24"/>
        </w:rPr>
        <w:t>平方米（建筑面积）的房产租赁给</w:t>
      </w:r>
    </w:p>
    <w:p>
      <w:pPr>
        <w:spacing w:before="36"/>
        <w:ind w:left="857" w:right="0" w:firstLine="0"/>
        <w:jc w:val="left"/>
        <w:rPr>
          <w:rFonts w:ascii="宋体" w:hAnsi="宋体" w:cs="宋体" w:eastAsia="宋体" w:hint="default"/>
          <w:sz w:val="24"/>
          <w:szCs w:val="24"/>
        </w:rPr>
      </w:pPr>
      <w:r>
        <w:rPr>
          <w:rFonts w:ascii="宋体" w:hAnsi="宋体" w:cs="宋体" w:eastAsia="宋体" w:hint="default"/>
          <w:spacing w:val="-5"/>
          <w:sz w:val="24"/>
          <w:szCs w:val="24"/>
        </w:rPr>
        <w:t>其使用，年租金</w:t>
      </w:r>
      <w:r>
        <w:rPr>
          <w:rFonts w:ascii="宋体" w:hAnsi="宋体" w:cs="宋体" w:eastAsia="宋体" w:hint="default"/>
          <w:spacing w:val="-61"/>
          <w:sz w:val="24"/>
          <w:szCs w:val="24"/>
        </w:rPr>
        <w:t> </w:t>
      </w:r>
      <w:r>
        <w:rPr>
          <w:rFonts w:ascii="宋体" w:hAnsi="宋体" w:cs="宋体" w:eastAsia="宋体" w:hint="default"/>
          <w:sz w:val="24"/>
          <w:szCs w:val="24"/>
        </w:rPr>
        <w:t>481,143</w:t>
      </w:r>
      <w:r>
        <w:rPr>
          <w:rFonts w:ascii="宋体" w:hAnsi="宋体" w:cs="宋体" w:eastAsia="宋体" w:hint="default"/>
          <w:spacing w:val="-60"/>
          <w:sz w:val="24"/>
          <w:szCs w:val="24"/>
        </w:rPr>
        <w:t> </w:t>
      </w:r>
      <w:r>
        <w:rPr>
          <w:rFonts w:ascii="宋体" w:hAnsi="宋体" w:cs="宋体" w:eastAsia="宋体" w:hint="default"/>
          <w:spacing w:val="-5"/>
          <w:sz w:val="24"/>
          <w:szCs w:val="24"/>
        </w:rPr>
        <w:t>元，租赁期限为</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11"/>
          <w:sz w:val="24"/>
          <w:szCs w:val="24"/>
        </w:rPr>
        <w:t>年，自</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spacing w:after="0"/>
        <w:jc w:val="left"/>
        <w:rPr>
          <w:rFonts w:ascii="宋体" w:hAnsi="宋体" w:cs="宋体" w:eastAsia="宋体" w:hint="default"/>
          <w:sz w:val="24"/>
          <w:szCs w:val="24"/>
        </w:rPr>
        <w:sectPr>
          <w:pgSz w:w="11910" w:h="16840"/>
          <w:pgMar w:header="752" w:footer="955" w:top="1020" w:bottom="1140" w:left="900" w:right="0"/>
        </w:sectPr>
      </w:pPr>
    </w:p>
    <w:p>
      <w:pPr>
        <w:spacing w:line="240" w:lineRule="auto" w:before="1"/>
        <w:rPr>
          <w:rFonts w:ascii="宋体" w:hAnsi="宋体" w:cs="宋体" w:eastAsia="宋体" w:hint="default"/>
          <w:sz w:val="29"/>
          <w:szCs w:val="29"/>
        </w:rPr>
      </w:pPr>
    </w:p>
    <w:p>
      <w:pPr>
        <w:spacing w:before="26"/>
        <w:ind w:left="143" w:right="0" w:firstLine="0"/>
        <w:jc w:val="both"/>
        <w:rPr>
          <w:rFonts w:ascii="宋体" w:hAnsi="宋体" w:cs="宋体" w:eastAsia="宋体" w:hint="default"/>
          <w:sz w:val="24"/>
          <w:szCs w:val="24"/>
        </w:rPr>
      </w:pPr>
      <w:r>
        <w:rPr>
          <w:rFonts w:ascii="宋体" w:hAnsi="宋体" w:cs="宋体" w:eastAsia="宋体" w:hint="default"/>
          <w:sz w:val="24"/>
          <w:szCs w:val="24"/>
        </w:rPr>
        <w:t>日止。</w:t>
      </w:r>
    </w:p>
    <w:p>
      <w:pPr>
        <w:spacing w:line="357" w:lineRule="auto" w:before="154"/>
        <w:ind w:left="143" w:right="1717" w:firstLine="482"/>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5</w:t>
      </w:r>
      <w:r>
        <w:rPr>
          <w:rFonts w:ascii="宋体" w:hAnsi="宋体" w:cs="宋体" w:eastAsia="宋体" w:hint="default"/>
          <w:spacing w:val="-4"/>
          <w:sz w:val="24"/>
          <w:szCs w:val="24"/>
        </w:rPr>
        <w:t>）子公司华立仪表与杭州厚达自动化系统有限公司签订的《房屋租赁合同》，</w:t>
      </w:r>
      <w:r>
        <w:rPr>
          <w:rFonts w:ascii="宋体" w:hAnsi="宋体" w:cs="宋体" w:eastAsia="宋体" w:hint="default"/>
          <w:sz w:val="24"/>
          <w:szCs w:val="24"/>
        </w:rPr>
        <w:t> </w:t>
      </w:r>
      <w:r>
        <w:rPr>
          <w:rFonts w:ascii="宋体" w:hAnsi="宋体" w:cs="宋体" w:eastAsia="宋体" w:hint="default"/>
          <w:spacing w:val="-1"/>
          <w:sz w:val="24"/>
          <w:szCs w:val="24"/>
        </w:rPr>
        <w:t>将五常华立科技园南区智能钢结构厂房面积为</w:t>
      </w:r>
      <w:r>
        <w:rPr>
          <w:rFonts w:ascii="宋体" w:hAnsi="宋体" w:cs="宋体" w:eastAsia="宋体" w:hint="default"/>
          <w:spacing w:val="-1"/>
          <w:sz w:val="24"/>
          <w:szCs w:val="24"/>
        </w:rPr>
        <w:t>598.71</w:t>
      </w:r>
      <w:r>
        <w:rPr>
          <w:rFonts w:ascii="宋体" w:hAnsi="宋体" w:cs="宋体" w:eastAsia="宋体" w:hint="default"/>
          <w:spacing w:val="-1"/>
          <w:sz w:val="24"/>
          <w:szCs w:val="24"/>
        </w:rPr>
        <w:t>平方米的房产租赁给其使用，年</w:t>
      </w:r>
    </w:p>
    <w:p>
      <w:pPr>
        <w:spacing w:line="357" w:lineRule="auto" w:before="36"/>
        <w:ind w:left="143" w:right="1753" w:firstLine="0"/>
        <w:jc w:val="both"/>
        <w:rPr>
          <w:rFonts w:ascii="宋体" w:hAnsi="宋体" w:cs="宋体" w:eastAsia="宋体" w:hint="default"/>
          <w:sz w:val="24"/>
          <w:szCs w:val="24"/>
        </w:rPr>
      </w:pPr>
      <w:r>
        <w:rPr>
          <w:rFonts w:ascii="宋体" w:hAnsi="宋体" w:cs="宋体" w:eastAsia="宋体" w:hint="default"/>
          <w:sz w:val="24"/>
          <w:szCs w:val="24"/>
        </w:rPr>
        <w:t>租金</w:t>
      </w:r>
      <w:r>
        <w:rPr>
          <w:rFonts w:ascii="宋体" w:hAnsi="宋体" w:cs="宋体" w:eastAsia="宋体" w:hint="default"/>
          <w:sz w:val="24"/>
          <w:szCs w:val="24"/>
        </w:rPr>
        <w:t>79,029.72</w:t>
      </w:r>
      <w:r>
        <w:rPr>
          <w:rFonts w:ascii="宋体" w:hAnsi="宋体" w:cs="宋体" w:eastAsia="宋体" w:hint="default"/>
          <w:sz w:val="24"/>
          <w:szCs w:val="24"/>
        </w:rPr>
        <w:t>元，租赁期限为</w:t>
      </w:r>
      <w:r>
        <w:rPr>
          <w:rFonts w:ascii="宋体" w:hAnsi="宋体" w:cs="宋体" w:eastAsia="宋体" w:hint="default"/>
          <w:sz w:val="24"/>
          <w:szCs w:val="24"/>
        </w:rPr>
        <w:t>3</w:t>
      </w:r>
      <w:r>
        <w:rPr>
          <w:rFonts w:ascii="宋体" w:hAnsi="宋体" w:cs="宋体" w:eastAsia="宋体" w:hint="default"/>
          <w:sz w:val="24"/>
          <w:szCs w:val="24"/>
        </w:rPr>
        <w:t>年，自</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日止。同时将五</w:t>
      </w:r>
      <w:r>
        <w:rPr>
          <w:rFonts w:ascii="宋体" w:hAnsi="宋体" w:cs="宋体" w:eastAsia="宋体" w:hint="default"/>
          <w:spacing w:val="-47"/>
          <w:sz w:val="24"/>
          <w:szCs w:val="24"/>
        </w:rPr>
        <w:t> </w:t>
      </w:r>
      <w:r>
        <w:rPr>
          <w:rFonts w:ascii="宋体" w:hAnsi="宋体" w:cs="宋体" w:eastAsia="宋体" w:hint="default"/>
          <w:sz w:val="24"/>
          <w:szCs w:val="24"/>
        </w:rPr>
        <w:t>常华立科技园行政办公大楼西区</w:t>
      </w:r>
      <w:r>
        <w:rPr>
          <w:rFonts w:ascii="宋体" w:hAnsi="宋体" w:cs="宋体" w:eastAsia="宋体" w:hint="default"/>
          <w:sz w:val="24"/>
          <w:szCs w:val="24"/>
        </w:rPr>
        <w:t>6</w:t>
      </w:r>
      <w:r>
        <w:rPr>
          <w:rFonts w:ascii="宋体" w:hAnsi="宋体" w:cs="宋体" w:eastAsia="宋体" w:hint="default"/>
          <w:sz w:val="24"/>
          <w:szCs w:val="24"/>
        </w:rPr>
        <w:t>层，面积为</w:t>
      </w:r>
      <w:r>
        <w:rPr>
          <w:rFonts w:ascii="宋体" w:hAnsi="宋体" w:cs="宋体" w:eastAsia="宋体" w:hint="default"/>
          <w:sz w:val="24"/>
          <w:szCs w:val="24"/>
        </w:rPr>
        <w:t>681.33</w:t>
      </w:r>
      <w:r>
        <w:rPr>
          <w:rFonts w:ascii="宋体" w:hAnsi="宋体" w:cs="宋体" w:eastAsia="宋体" w:hint="default"/>
          <w:sz w:val="24"/>
          <w:szCs w:val="24"/>
        </w:rPr>
        <w:t>平方米（建筑面积）的房产租赁</w:t>
      </w:r>
      <w:r>
        <w:rPr>
          <w:rFonts w:ascii="宋体" w:hAnsi="宋体" w:cs="宋体" w:eastAsia="宋体" w:hint="default"/>
          <w:spacing w:val="-51"/>
          <w:sz w:val="24"/>
          <w:szCs w:val="24"/>
        </w:rPr>
        <w:t> </w:t>
      </w:r>
      <w:r>
        <w:rPr>
          <w:rFonts w:ascii="宋体" w:hAnsi="宋体" w:cs="宋体" w:eastAsia="宋体" w:hint="default"/>
          <w:sz w:val="24"/>
          <w:szCs w:val="24"/>
        </w:rPr>
        <w:t>给其使用，年租金为</w:t>
      </w:r>
      <w:r>
        <w:rPr>
          <w:rFonts w:ascii="宋体" w:hAnsi="宋体" w:cs="宋体" w:eastAsia="宋体" w:hint="default"/>
          <w:sz w:val="24"/>
          <w:szCs w:val="24"/>
        </w:rPr>
        <w:t>323,291.09</w:t>
      </w:r>
      <w:r>
        <w:rPr>
          <w:rFonts w:ascii="宋体" w:hAnsi="宋体" w:cs="宋体" w:eastAsia="宋体" w:hint="default"/>
          <w:sz w:val="24"/>
          <w:szCs w:val="24"/>
        </w:rPr>
        <w:t>元，租赁期限为</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日止。</w:t>
      </w:r>
    </w:p>
    <w:p>
      <w:pPr>
        <w:spacing w:before="36"/>
        <w:ind w:left="626" w:right="1740" w:firstLine="0"/>
        <w:jc w:val="left"/>
        <w:rPr>
          <w:rFonts w:ascii="宋体" w:hAnsi="宋体" w:cs="宋体" w:eastAsia="宋体" w:hint="default"/>
          <w:sz w:val="24"/>
          <w:szCs w:val="24"/>
        </w:rPr>
      </w:pPr>
      <w:r>
        <w:rPr>
          <w:rFonts w:ascii="宋体" w:hAnsi="宋体" w:cs="宋体" w:eastAsia="宋体" w:hint="default"/>
          <w:sz w:val="24"/>
          <w:szCs w:val="24"/>
        </w:rPr>
        <w:t>（八）资产负债表日后重要投资</w:t>
      </w:r>
    </w:p>
    <w:p>
      <w:pPr>
        <w:spacing w:line="357" w:lineRule="auto" w:before="154"/>
        <w:ind w:left="143" w:right="1751" w:firstLine="482"/>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日，浙江华立国际发展有限公司与子公司华立仪表集团股份有限公</w:t>
      </w:r>
      <w:r>
        <w:rPr>
          <w:rFonts w:ascii="宋体" w:hAnsi="宋体" w:cs="宋体" w:eastAsia="宋体" w:hint="default"/>
          <w:spacing w:val="2"/>
          <w:sz w:val="24"/>
          <w:szCs w:val="24"/>
        </w:rPr>
        <w:t> </w:t>
      </w:r>
      <w:r>
        <w:rPr>
          <w:rFonts w:ascii="宋体" w:hAnsi="宋体" w:cs="宋体" w:eastAsia="宋体" w:hint="default"/>
          <w:spacing w:val="-2"/>
          <w:sz w:val="24"/>
          <w:szCs w:val="24"/>
        </w:rPr>
        <w:t>司签署《股权转让协议书》：浙江华立国际发展有限公司同意将其持有华立集团（泰</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国）电气有限公司</w:t>
      </w:r>
      <w:r>
        <w:rPr>
          <w:rFonts w:ascii="宋体" w:hAnsi="宋体" w:cs="宋体" w:eastAsia="宋体" w:hint="default"/>
          <w:sz w:val="24"/>
          <w:szCs w:val="24"/>
        </w:rPr>
        <w:t>100%</w:t>
      </w:r>
      <w:r>
        <w:rPr>
          <w:rFonts w:ascii="宋体" w:hAnsi="宋体" w:cs="宋体" w:eastAsia="宋体" w:hint="default"/>
          <w:sz w:val="24"/>
          <w:szCs w:val="24"/>
        </w:rPr>
        <w:t>的股权以人民币</w:t>
      </w:r>
      <w:r>
        <w:rPr>
          <w:rFonts w:ascii="宋体" w:hAnsi="宋体" w:cs="宋体" w:eastAsia="宋体" w:hint="default"/>
          <w:sz w:val="24"/>
          <w:szCs w:val="24"/>
        </w:rPr>
        <w:t>2237.77</w:t>
      </w:r>
      <w:r>
        <w:rPr>
          <w:rFonts w:ascii="宋体" w:hAnsi="宋体" w:cs="宋体" w:eastAsia="宋体" w:hint="default"/>
          <w:sz w:val="24"/>
          <w:szCs w:val="24"/>
        </w:rPr>
        <w:t>万元转让给华立仪表，华立仪表同意</w:t>
      </w:r>
      <w:r>
        <w:rPr>
          <w:rFonts w:ascii="宋体" w:hAnsi="宋体" w:cs="宋体" w:eastAsia="宋体" w:hint="default"/>
          <w:spacing w:val="-48"/>
          <w:sz w:val="24"/>
          <w:szCs w:val="24"/>
        </w:rPr>
        <w:t> </w:t>
      </w:r>
      <w:r>
        <w:rPr>
          <w:rFonts w:ascii="宋体" w:hAnsi="宋体" w:cs="宋体" w:eastAsia="宋体" w:hint="default"/>
          <w:spacing w:val="-48"/>
          <w:sz w:val="24"/>
          <w:szCs w:val="24"/>
        </w:rPr>
      </w:r>
      <w:r>
        <w:rPr>
          <w:rFonts w:ascii="宋体" w:hAnsi="宋体" w:cs="宋体" w:eastAsia="宋体" w:hint="default"/>
          <w:sz w:val="24"/>
          <w:szCs w:val="24"/>
        </w:rPr>
        <w:t>受让上述股权。</w:t>
      </w:r>
    </w:p>
    <w:p>
      <w:pPr>
        <w:spacing w:line="357" w:lineRule="auto" w:before="36"/>
        <w:ind w:left="623" w:right="2183" w:firstLine="2"/>
        <w:jc w:val="left"/>
        <w:rPr>
          <w:rFonts w:ascii="宋体" w:hAnsi="宋体" w:cs="宋体" w:eastAsia="宋体" w:hint="default"/>
          <w:sz w:val="24"/>
          <w:szCs w:val="24"/>
        </w:rPr>
      </w:pPr>
      <w:r>
        <w:rPr>
          <w:rFonts w:ascii="宋体" w:hAnsi="宋体" w:cs="宋体" w:eastAsia="宋体" w:hint="default"/>
          <w:sz w:val="24"/>
          <w:szCs w:val="24"/>
        </w:rPr>
        <w:t>（九）委托理财情况 报告期内公司未发生委托他人进行现金资产管理事项，也无委托理财计划。</w:t>
      </w:r>
    </w:p>
    <w:p>
      <w:pPr>
        <w:spacing w:before="36"/>
        <w:ind w:left="623" w:right="1740" w:firstLine="0"/>
        <w:jc w:val="left"/>
        <w:rPr>
          <w:rFonts w:ascii="宋体" w:hAnsi="宋体" w:cs="宋体" w:eastAsia="宋体" w:hint="default"/>
          <w:sz w:val="24"/>
          <w:szCs w:val="24"/>
        </w:rPr>
      </w:pPr>
      <w:r>
        <w:rPr>
          <w:rFonts w:ascii="宋体" w:hAnsi="宋体" w:cs="宋体" w:eastAsia="宋体" w:hint="default"/>
          <w:sz w:val="24"/>
          <w:szCs w:val="24"/>
        </w:rPr>
        <w:t>（十）公司或持股</w:t>
      </w:r>
      <w:r>
        <w:rPr>
          <w:rFonts w:ascii="宋体" w:hAnsi="宋体" w:cs="宋体" w:eastAsia="宋体" w:hint="default"/>
          <w:sz w:val="24"/>
          <w:szCs w:val="24"/>
        </w:rPr>
        <w:t>5%</w:t>
      </w:r>
      <w:r>
        <w:rPr>
          <w:rFonts w:ascii="宋体" w:hAnsi="宋体" w:cs="宋体" w:eastAsia="宋体" w:hint="default"/>
          <w:sz w:val="24"/>
          <w:szCs w:val="24"/>
        </w:rPr>
        <w:t>以上股东无在报告期内或持续到报告期内的承诺事项。</w:t>
      </w:r>
    </w:p>
    <w:p>
      <w:pPr>
        <w:spacing w:line="357" w:lineRule="auto" w:before="154"/>
        <w:ind w:left="623" w:right="1740" w:firstLine="0"/>
        <w:jc w:val="left"/>
        <w:rPr>
          <w:rFonts w:ascii="宋体" w:hAnsi="宋体" w:cs="宋体" w:eastAsia="宋体" w:hint="default"/>
          <w:sz w:val="24"/>
          <w:szCs w:val="24"/>
        </w:rPr>
      </w:pPr>
      <w:r>
        <w:rPr>
          <w:rFonts w:ascii="宋体" w:hAnsi="宋体" w:cs="宋体" w:eastAsia="宋体" w:hint="default"/>
          <w:sz w:val="24"/>
          <w:szCs w:val="24"/>
        </w:rPr>
        <w:t>（十一）公司聘任、解聘会计师事务所情况。 </w:t>
      </w:r>
      <w:r>
        <w:rPr>
          <w:rFonts w:ascii="宋体" w:hAnsi="宋体" w:cs="宋体" w:eastAsia="宋体" w:hint="default"/>
          <w:spacing w:val="-1"/>
          <w:sz w:val="24"/>
          <w:szCs w:val="24"/>
        </w:rPr>
        <w:t>公司拟续聘天健正信会计师事务所有限公司为公司</w:t>
      </w:r>
      <w:r>
        <w:rPr>
          <w:rFonts w:ascii="宋体" w:hAnsi="宋体" w:cs="宋体" w:eastAsia="宋体" w:hint="default"/>
          <w:spacing w:val="-1"/>
          <w:sz w:val="24"/>
          <w:szCs w:val="24"/>
        </w:rPr>
        <w:t>2011</w:t>
      </w:r>
      <w:r>
        <w:rPr>
          <w:rFonts w:ascii="宋体" w:hAnsi="宋体" w:cs="宋体" w:eastAsia="宋体" w:hint="default"/>
          <w:spacing w:val="-1"/>
          <w:sz w:val="24"/>
          <w:szCs w:val="24"/>
        </w:rPr>
        <w:t>年度财务审计机构，聘期</w:t>
      </w:r>
    </w:p>
    <w:p>
      <w:pPr>
        <w:spacing w:before="36"/>
        <w:ind w:left="143" w:right="0" w:firstLine="0"/>
        <w:jc w:val="both"/>
        <w:rPr>
          <w:rFonts w:ascii="宋体" w:hAnsi="宋体" w:cs="宋体" w:eastAsia="宋体" w:hint="default"/>
          <w:sz w:val="24"/>
          <w:szCs w:val="24"/>
        </w:rPr>
      </w:pPr>
      <w:r>
        <w:rPr>
          <w:rFonts w:ascii="宋体" w:hAnsi="宋体" w:cs="宋体" w:eastAsia="宋体" w:hint="default"/>
          <w:sz w:val="24"/>
          <w:szCs w:val="24"/>
        </w:rPr>
        <w:t>为一年。</w:t>
      </w:r>
      <w:r>
        <w:rPr>
          <w:rFonts w:ascii="宋体" w:hAnsi="宋体" w:cs="宋体" w:eastAsia="宋体" w:hint="default"/>
          <w:sz w:val="24"/>
          <w:szCs w:val="24"/>
        </w:rPr>
        <w:t>2010</w:t>
      </w:r>
      <w:r>
        <w:rPr>
          <w:rFonts w:ascii="宋体" w:hAnsi="宋体" w:cs="宋体" w:eastAsia="宋体" w:hint="default"/>
          <w:sz w:val="24"/>
          <w:szCs w:val="24"/>
        </w:rPr>
        <w:t>年公司支付其审计费用为</w:t>
      </w:r>
      <w:r>
        <w:rPr>
          <w:rFonts w:ascii="宋体" w:hAnsi="宋体" w:cs="宋体" w:eastAsia="宋体" w:hint="default"/>
          <w:sz w:val="24"/>
          <w:szCs w:val="24"/>
        </w:rPr>
        <w:t>63</w:t>
      </w:r>
      <w:r>
        <w:rPr>
          <w:rFonts w:ascii="宋体" w:hAnsi="宋体" w:cs="宋体" w:eastAsia="宋体" w:hint="default"/>
          <w:sz w:val="24"/>
          <w:szCs w:val="24"/>
        </w:rPr>
        <w:t>万元。</w:t>
      </w:r>
    </w:p>
    <w:p>
      <w:pPr>
        <w:spacing w:line="357" w:lineRule="auto" w:before="154"/>
        <w:ind w:left="143" w:right="1756" w:firstLine="480"/>
        <w:jc w:val="both"/>
        <w:rPr>
          <w:rFonts w:ascii="宋体" w:hAnsi="宋体" w:cs="宋体" w:eastAsia="宋体" w:hint="default"/>
          <w:sz w:val="24"/>
          <w:szCs w:val="24"/>
        </w:rPr>
      </w:pPr>
      <w:r>
        <w:rPr>
          <w:rFonts w:ascii="宋体" w:hAnsi="宋体" w:cs="宋体" w:eastAsia="宋体" w:hint="default"/>
          <w:spacing w:val="-2"/>
          <w:sz w:val="24"/>
          <w:szCs w:val="24"/>
        </w:rPr>
        <w:t>（十二）公司、公司董事会及董事在报告期内无受中国证监会稽查、中国证监会</w:t>
      </w:r>
      <w:r>
        <w:rPr>
          <w:rFonts w:ascii="宋体" w:hAnsi="宋体" w:cs="宋体" w:eastAsia="宋体" w:hint="default"/>
          <w:sz w:val="24"/>
          <w:szCs w:val="24"/>
        </w:rPr>
        <w:t> 行政处罚、通报批评、证券交易所公开谴责的情形。</w:t>
      </w:r>
    </w:p>
    <w:p>
      <w:pPr>
        <w:spacing w:line="357" w:lineRule="auto" w:before="36"/>
        <w:ind w:left="623" w:right="1738" w:firstLine="0"/>
        <w:jc w:val="left"/>
        <w:rPr>
          <w:rFonts w:ascii="宋体" w:hAnsi="宋体" w:cs="宋体" w:eastAsia="宋体" w:hint="default"/>
          <w:sz w:val="24"/>
          <w:szCs w:val="24"/>
        </w:rPr>
      </w:pPr>
      <w:r>
        <w:rPr>
          <w:rFonts w:ascii="宋体" w:hAnsi="宋体" w:cs="宋体" w:eastAsia="宋体" w:hint="default"/>
          <w:sz w:val="24"/>
          <w:szCs w:val="24"/>
        </w:rPr>
        <w:t>（十三）报告期公司接待调研、沟通、采访等活动情况。 </w:t>
      </w:r>
      <w:r>
        <w:rPr>
          <w:rFonts w:ascii="宋体" w:hAnsi="宋体" w:cs="宋体" w:eastAsia="宋体" w:hint="default"/>
          <w:spacing w:val="-1"/>
          <w:sz w:val="24"/>
          <w:szCs w:val="24"/>
        </w:rPr>
        <w:t>报告期内，公司未接待任何个人或机构投资者的现场采访，对投资者电话询问的</w:t>
      </w:r>
    </w:p>
    <w:p>
      <w:pPr>
        <w:spacing w:before="36"/>
        <w:ind w:left="143" w:right="0" w:firstLine="0"/>
        <w:jc w:val="both"/>
        <w:rPr>
          <w:rFonts w:ascii="宋体" w:hAnsi="宋体" w:cs="宋体" w:eastAsia="宋体" w:hint="default"/>
          <w:sz w:val="24"/>
          <w:szCs w:val="24"/>
        </w:rPr>
      </w:pPr>
      <w:r>
        <w:rPr>
          <w:rFonts w:ascii="宋体" w:hAnsi="宋体" w:cs="宋体" w:eastAsia="宋体" w:hint="default"/>
          <w:sz w:val="24"/>
          <w:szCs w:val="24"/>
        </w:rPr>
        <w:t>问题，公司均按照公告的内容进行了回答。</w:t>
      </w:r>
    </w:p>
    <w:p>
      <w:pPr>
        <w:spacing w:after="0"/>
        <w:jc w:val="both"/>
        <w:rPr>
          <w:rFonts w:ascii="宋体" w:hAnsi="宋体" w:cs="宋体" w:eastAsia="宋体" w:hint="default"/>
          <w:sz w:val="24"/>
          <w:szCs w:val="24"/>
        </w:rPr>
        <w:sectPr>
          <w:pgSz w:w="11910" w:h="16840"/>
          <w:pgMar w:header="752" w:footer="955" w:top="1020" w:bottom="1140" w:left="1160" w:right="0"/>
        </w:sectPr>
      </w:pPr>
    </w:p>
    <w:p>
      <w:pPr>
        <w:spacing w:line="240" w:lineRule="auto" w:before="6"/>
        <w:rPr>
          <w:rFonts w:ascii="宋体" w:hAnsi="宋体" w:cs="宋体" w:eastAsia="宋体" w:hint="default"/>
          <w:sz w:val="29"/>
          <w:szCs w:val="29"/>
        </w:rPr>
      </w:pPr>
    </w:p>
    <w:p>
      <w:pPr>
        <w:spacing w:before="14"/>
        <w:ind w:left="276" w:right="1166" w:firstLine="0"/>
        <w:jc w:val="left"/>
        <w:rPr>
          <w:rFonts w:ascii="宋体" w:hAnsi="宋体" w:cs="宋体" w:eastAsia="宋体" w:hint="default"/>
          <w:sz w:val="28"/>
          <w:szCs w:val="28"/>
        </w:rPr>
      </w:pPr>
      <w:r>
        <w:rPr>
          <w:rFonts w:ascii="宋体" w:hAnsi="宋体" w:cs="宋体" w:eastAsia="宋体" w:hint="default"/>
          <w:b/>
          <w:bCs/>
          <w:sz w:val="28"/>
          <w:szCs w:val="28"/>
        </w:rPr>
        <w:t>十、财务报告</w:t>
      </w:r>
      <w:r>
        <w:rPr>
          <w:rFonts w:ascii="宋体" w:hAnsi="宋体" w:cs="宋体" w:eastAsia="宋体" w:hint="default"/>
          <w:sz w:val="28"/>
          <w:szCs w:val="28"/>
        </w:rPr>
      </w:r>
    </w:p>
    <w:p>
      <w:pPr>
        <w:spacing w:before="181"/>
        <w:ind w:left="3705" w:right="4730" w:firstLine="0"/>
        <w:jc w:val="center"/>
        <w:rPr>
          <w:rFonts w:ascii="宋体" w:hAnsi="宋体" w:cs="宋体" w:eastAsia="宋体" w:hint="default"/>
          <w:sz w:val="28"/>
          <w:szCs w:val="28"/>
        </w:rPr>
      </w:pPr>
      <w:r>
        <w:rPr>
          <w:rFonts w:ascii="宋体" w:hAnsi="宋体" w:cs="宋体" w:eastAsia="宋体" w:hint="default"/>
          <w:sz w:val="28"/>
          <w:szCs w:val="28"/>
        </w:rPr>
        <w:t>审 计 报</w:t>
      </w:r>
      <w:r>
        <w:rPr>
          <w:rFonts w:ascii="宋体" w:hAnsi="宋体" w:cs="宋体" w:eastAsia="宋体" w:hint="default"/>
          <w:spacing w:val="2"/>
          <w:sz w:val="28"/>
          <w:szCs w:val="28"/>
        </w:rPr>
        <w:t> </w:t>
      </w:r>
      <w:r>
        <w:rPr>
          <w:rFonts w:ascii="宋体" w:hAnsi="宋体" w:cs="宋体" w:eastAsia="宋体" w:hint="default"/>
          <w:sz w:val="28"/>
          <w:szCs w:val="28"/>
        </w:rPr>
        <w:t>告</w:t>
      </w:r>
    </w:p>
    <w:p>
      <w:pPr>
        <w:spacing w:line="240" w:lineRule="auto" w:before="10"/>
        <w:rPr>
          <w:rFonts w:ascii="宋体" w:hAnsi="宋体" w:cs="宋体" w:eastAsia="宋体" w:hint="default"/>
          <w:sz w:val="11"/>
          <w:szCs w:val="11"/>
        </w:rPr>
      </w:pPr>
    </w:p>
    <w:p>
      <w:pPr>
        <w:pStyle w:val="BodyText"/>
        <w:spacing w:line="240" w:lineRule="auto" w:before="36"/>
        <w:ind w:left="5358" w:right="1166"/>
        <w:jc w:val="left"/>
      </w:pPr>
      <w:r>
        <w:rPr/>
        <w:t>天健正信审（</w:t>
      </w:r>
      <w:r>
        <w:rPr>
          <w:rFonts w:ascii="Arial" w:hAnsi="Arial" w:cs="Arial" w:eastAsia="Arial" w:hint="default"/>
        </w:rPr>
        <w:t>2011</w:t>
      </w:r>
      <w:r>
        <w:rPr/>
        <w:t>）</w:t>
      </w:r>
      <w:r>
        <w:rPr>
          <w:rFonts w:ascii="Arial" w:hAnsi="Arial" w:cs="Arial" w:eastAsia="Arial" w:hint="default"/>
        </w:rPr>
        <w:t>GF</w:t>
      </w:r>
      <w:r>
        <w:rPr/>
        <w:t>字第</w:t>
      </w:r>
      <w:r>
        <w:rPr>
          <w:rFonts w:ascii="Arial" w:hAnsi="Arial" w:cs="Arial" w:eastAsia="Arial" w:hint="default"/>
        </w:rPr>
        <w:t>030036</w:t>
      </w:r>
      <w:r>
        <w:rPr/>
        <w:t>号</w:t>
      </w:r>
    </w:p>
    <w:p>
      <w:pPr>
        <w:pStyle w:val="Heading3"/>
        <w:spacing w:line="240" w:lineRule="auto" w:before="116"/>
        <w:ind w:left="137" w:right="1166"/>
        <w:jc w:val="left"/>
      </w:pPr>
      <w:r>
        <w:rPr/>
        <w:t>重庆华智控股股份有限公司全体股东：</w:t>
      </w:r>
    </w:p>
    <w:p>
      <w:pPr>
        <w:spacing w:line="240" w:lineRule="auto" w:before="10"/>
        <w:rPr>
          <w:rFonts w:ascii="宋体" w:hAnsi="宋体" w:cs="宋体" w:eastAsia="宋体" w:hint="default"/>
          <w:sz w:val="9"/>
          <w:szCs w:val="9"/>
        </w:rPr>
      </w:pPr>
    </w:p>
    <w:p>
      <w:pPr>
        <w:spacing w:line="304" w:lineRule="auto" w:before="26"/>
        <w:ind w:left="137" w:right="1301" w:firstLine="479"/>
        <w:jc w:val="both"/>
        <w:rPr>
          <w:rFonts w:ascii="宋体" w:hAnsi="宋体" w:cs="宋体" w:eastAsia="宋体" w:hint="default"/>
          <w:sz w:val="24"/>
          <w:szCs w:val="24"/>
        </w:rPr>
      </w:pPr>
      <w:r>
        <w:rPr>
          <w:rFonts w:ascii="宋体" w:hAnsi="宋体" w:cs="宋体" w:eastAsia="宋体" w:hint="default"/>
          <w:spacing w:val="-2"/>
          <w:sz w:val="24"/>
          <w:szCs w:val="24"/>
        </w:rPr>
        <w:t>我们审计了后附的重庆华智控股股份有限公司（以下简称“华智控股”）财务报</w:t>
      </w:r>
      <w:r>
        <w:rPr>
          <w:rFonts w:ascii="宋体" w:hAnsi="宋体" w:cs="宋体" w:eastAsia="宋体" w:hint="default"/>
          <w:spacing w:val="2"/>
          <w:sz w:val="24"/>
          <w:szCs w:val="24"/>
        </w:rPr>
        <w:t> </w:t>
      </w:r>
      <w:r>
        <w:rPr>
          <w:rFonts w:ascii="宋体" w:hAnsi="宋体" w:cs="宋体" w:eastAsia="宋体" w:hint="default"/>
          <w:sz w:val="24"/>
          <w:szCs w:val="24"/>
        </w:rPr>
        <w:t>表，包括</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日的资产负债表、合并资产负债表，</w:t>
      </w:r>
      <w:r>
        <w:rPr>
          <w:rFonts w:ascii="宋体" w:hAnsi="宋体" w:cs="宋体" w:eastAsia="宋体" w:hint="default"/>
          <w:sz w:val="24"/>
          <w:szCs w:val="24"/>
        </w:rPr>
        <w:t>2010</w:t>
      </w:r>
      <w:r>
        <w:rPr>
          <w:rFonts w:ascii="宋体" w:hAnsi="宋体" w:cs="宋体" w:eastAsia="宋体" w:hint="default"/>
          <w:spacing w:val="-57"/>
          <w:sz w:val="24"/>
          <w:szCs w:val="24"/>
        </w:rPr>
        <w:t> </w:t>
      </w:r>
      <w:r>
        <w:rPr>
          <w:rFonts w:ascii="宋体" w:hAnsi="宋体" w:cs="宋体" w:eastAsia="宋体" w:hint="default"/>
          <w:sz w:val="24"/>
          <w:szCs w:val="24"/>
        </w:rPr>
        <w:t>年度的利润表、 </w:t>
      </w:r>
      <w:r>
        <w:rPr>
          <w:rFonts w:ascii="宋体" w:hAnsi="宋体" w:cs="宋体" w:eastAsia="宋体" w:hint="default"/>
          <w:spacing w:val="-1"/>
          <w:sz w:val="24"/>
          <w:szCs w:val="24"/>
        </w:rPr>
        <w:t>合并利润表和现金流量表、合并现金流量表、股东权益变动表、合并股东权益变动表</w:t>
      </w:r>
      <w:r>
        <w:rPr>
          <w:rFonts w:ascii="宋体" w:hAnsi="宋体" w:cs="宋体" w:eastAsia="宋体" w:hint="default"/>
          <w:sz w:val="24"/>
          <w:szCs w:val="24"/>
        </w:rPr>
        <w:t> 以及财务报表附注。</w:t>
      </w:r>
    </w:p>
    <w:p>
      <w:pPr>
        <w:spacing w:line="304" w:lineRule="auto" w:before="22"/>
        <w:ind w:left="621" w:right="1166" w:hanging="5"/>
        <w:jc w:val="left"/>
        <w:rPr>
          <w:rFonts w:ascii="宋体" w:hAnsi="宋体" w:cs="宋体" w:eastAsia="宋体" w:hint="default"/>
          <w:sz w:val="24"/>
          <w:szCs w:val="24"/>
        </w:rPr>
      </w:pPr>
      <w:r>
        <w:rPr>
          <w:rFonts w:ascii="宋体" w:hAnsi="宋体" w:cs="宋体" w:eastAsia="宋体" w:hint="default"/>
          <w:sz w:val="24"/>
          <w:szCs w:val="24"/>
        </w:rPr>
        <w:t>一、管理层对财务报表的责任 </w:t>
      </w:r>
      <w:r>
        <w:rPr>
          <w:rFonts w:ascii="宋体" w:hAnsi="宋体" w:cs="宋体" w:eastAsia="宋体" w:hint="default"/>
          <w:spacing w:val="5"/>
          <w:sz w:val="24"/>
          <w:szCs w:val="24"/>
        </w:rPr>
        <w:t>按照企业会计准则的规定编制财务报表是华智控股管理层的责任。这种责任包</w:t>
      </w:r>
    </w:p>
    <w:p>
      <w:pPr>
        <w:spacing w:line="304" w:lineRule="auto" w:before="22"/>
        <w:ind w:left="137" w:right="1298" w:firstLine="0"/>
        <w:jc w:val="both"/>
        <w:rPr>
          <w:rFonts w:ascii="宋体" w:hAnsi="宋体" w:cs="宋体" w:eastAsia="宋体" w:hint="default"/>
          <w:sz w:val="24"/>
          <w:szCs w:val="24"/>
        </w:rPr>
      </w:pPr>
      <w:r>
        <w:rPr>
          <w:rFonts w:ascii="宋体" w:hAnsi="宋体" w:cs="宋体" w:eastAsia="宋体" w:hint="default"/>
          <w:sz w:val="24"/>
          <w:szCs w:val="24"/>
        </w:rPr>
        <w:t>括：（</w:t>
      </w:r>
      <w:r>
        <w:rPr>
          <w:rFonts w:ascii="宋体" w:hAnsi="宋体" w:cs="宋体" w:eastAsia="宋体" w:hint="default"/>
          <w:sz w:val="24"/>
          <w:szCs w:val="24"/>
        </w:rPr>
        <w:t>1</w:t>
      </w:r>
      <w:r>
        <w:rPr>
          <w:rFonts w:ascii="宋体" w:hAnsi="宋体" w:cs="宋体" w:eastAsia="宋体" w:hint="default"/>
          <w:sz w:val="24"/>
          <w:szCs w:val="24"/>
        </w:rPr>
        <w:t>）设计、实施和维护与财务报表编制相关的内部控制，以使财务报表不存在</w:t>
      </w:r>
      <w:r>
        <w:rPr>
          <w:rFonts w:ascii="宋体" w:hAnsi="宋体" w:cs="宋体" w:eastAsia="宋体" w:hint="default"/>
          <w:spacing w:val="-47"/>
          <w:sz w:val="24"/>
          <w:szCs w:val="24"/>
        </w:rPr>
        <w:t> </w:t>
      </w:r>
      <w:r>
        <w:rPr>
          <w:rFonts w:ascii="宋体" w:hAnsi="宋体" w:cs="宋体" w:eastAsia="宋体" w:hint="default"/>
          <w:spacing w:val="-1"/>
          <w:sz w:val="24"/>
          <w:szCs w:val="24"/>
        </w:rPr>
        <w:t>由于舞弊或错误而导致的重大错报；（</w:t>
      </w:r>
      <w:r>
        <w:rPr>
          <w:rFonts w:ascii="宋体" w:hAnsi="宋体" w:cs="宋体" w:eastAsia="宋体" w:hint="default"/>
          <w:spacing w:val="-1"/>
          <w:sz w:val="24"/>
          <w:szCs w:val="24"/>
        </w:rPr>
        <w:t>2</w:t>
      </w:r>
      <w:r>
        <w:rPr>
          <w:rFonts w:ascii="宋体" w:hAnsi="宋体" w:cs="宋体" w:eastAsia="宋体" w:hint="default"/>
          <w:spacing w:val="-1"/>
          <w:sz w:val="24"/>
          <w:szCs w:val="24"/>
        </w:rPr>
        <w:t>）选择和运用恰当的会计政策；（</w:t>
      </w:r>
      <w:r>
        <w:rPr>
          <w:rFonts w:ascii="宋体" w:hAnsi="宋体" w:cs="宋体" w:eastAsia="宋体" w:hint="default"/>
          <w:spacing w:val="-1"/>
          <w:sz w:val="24"/>
          <w:szCs w:val="24"/>
        </w:rPr>
        <w:t>3</w:t>
      </w:r>
      <w:r>
        <w:rPr>
          <w:rFonts w:ascii="宋体" w:hAnsi="宋体" w:cs="宋体" w:eastAsia="宋体" w:hint="default"/>
          <w:spacing w:val="-1"/>
          <w:sz w:val="24"/>
          <w:szCs w:val="24"/>
        </w:rPr>
        <w:t>）做出合</w:t>
      </w:r>
      <w:r>
        <w:rPr>
          <w:rFonts w:ascii="宋体" w:hAnsi="宋体" w:cs="宋体" w:eastAsia="宋体" w:hint="default"/>
          <w:sz w:val="24"/>
          <w:szCs w:val="24"/>
        </w:rPr>
        <w:t> 理的会计估计。</w:t>
      </w:r>
    </w:p>
    <w:p>
      <w:pPr>
        <w:spacing w:line="307" w:lineRule="auto" w:before="22"/>
        <w:ind w:left="621" w:right="1166" w:firstLine="0"/>
        <w:jc w:val="left"/>
        <w:rPr>
          <w:rFonts w:ascii="宋体" w:hAnsi="宋体" w:cs="宋体" w:eastAsia="宋体" w:hint="default"/>
          <w:sz w:val="24"/>
          <w:szCs w:val="24"/>
        </w:rPr>
      </w:pPr>
      <w:r>
        <w:rPr>
          <w:rFonts w:ascii="宋体" w:hAnsi="宋体" w:cs="宋体" w:eastAsia="宋体" w:hint="default"/>
          <w:sz w:val="24"/>
          <w:szCs w:val="24"/>
        </w:rPr>
        <w:t>二、注册会计师的责任 </w:t>
      </w:r>
      <w:r>
        <w:rPr>
          <w:rFonts w:ascii="宋体" w:hAnsi="宋体" w:cs="宋体" w:eastAsia="宋体" w:hint="default"/>
          <w:spacing w:val="-2"/>
          <w:sz w:val="24"/>
          <w:szCs w:val="24"/>
        </w:rPr>
        <w:t>我们的责任是在实施审计工作的基础上对财务报表发表审计意见。我们按照中国</w:t>
      </w:r>
    </w:p>
    <w:p>
      <w:pPr>
        <w:spacing w:line="307" w:lineRule="auto" w:before="17"/>
        <w:ind w:left="137" w:right="1303" w:firstLine="0"/>
        <w:jc w:val="both"/>
        <w:rPr>
          <w:rFonts w:ascii="宋体" w:hAnsi="宋体" w:cs="宋体" w:eastAsia="宋体" w:hint="default"/>
          <w:sz w:val="24"/>
          <w:szCs w:val="24"/>
        </w:rPr>
      </w:pPr>
      <w:r>
        <w:rPr>
          <w:rFonts w:ascii="宋体" w:hAnsi="宋体" w:cs="宋体" w:eastAsia="宋体" w:hint="default"/>
          <w:spacing w:val="-1"/>
          <w:sz w:val="24"/>
          <w:szCs w:val="24"/>
        </w:rPr>
        <w:t>注册会计师审计准则的规定执行了审计工作。中国注册会计师审计准则要求我们遵守</w:t>
      </w:r>
      <w:r>
        <w:rPr>
          <w:rFonts w:ascii="宋体" w:hAnsi="宋体" w:cs="宋体" w:eastAsia="宋体" w:hint="default"/>
          <w:sz w:val="24"/>
          <w:szCs w:val="24"/>
        </w:rPr>
        <w:t> </w:t>
      </w:r>
      <w:r>
        <w:rPr>
          <w:rFonts w:ascii="宋体" w:hAnsi="宋体" w:cs="宋体" w:eastAsia="宋体" w:hint="default"/>
          <w:spacing w:val="4"/>
          <w:sz w:val="24"/>
          <w:szCs w:val="24"/>
        </w:rPr>
        <w:t>职业道德规范，计划和实施审计工作以对财务报表是否不存在重大错报获取合理保</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证。</w:t>
      </w:r>
    </w:p>
    <w:p>
      <w:pPr>
        <w:spacing w:line="304" w:lineRule="auto" w:before="17"/>
        <w:ind w:left="137" w:right="1300" w:firstLine="484"/>
        <w:jc w:val="both"/>
        <w:rPr>
          <w:rFonts w:ascii="宋体" w:hAnsi="宋体" w:cs="宋体" w:eastAsia="宋体" w:hint="default"/>
          <w:sz w:val="24"/>
          <w:szCs w:val="24"/>
        </w:rPr>
      </w:pPr>
      <w:r>
        <w:rPr>
          <w:rFonts w:ascii="宋体" w:hAnsi="宋体" w:cs="宋体" w:eastAsia="宋体" w:hint="default"/>
          <w:spacing w:val="-2"/>
          <w:sz w:val="24"/>
          <w:szCs w:val="24"/>
        </w:rPr>
        <w:t>审计工作涉及实施审计程序，以获取有关财务报表金额和披露的审计证据。选择</w:t>
      </w:r>
      <w:r>
        <w:rPr>
          <w:rFonts w:ascii="宋体" w:hAnsi="宋体" w:cs="宋体" w:eastAsia="宋体" w:hint="default"/>
          <w:sz w:val="24"/>
          <w:szCs w:val="24"/>
        </w:rPr>
        <w:t> </w:t>
      </w:r>
      <w:r>
        <w:rPr>
          <w:rFonts w:ascii="宋体" w:hAnsi="宋体" w:cs="宋体" w:eastAsia="宋体" w:hint="default"/>
          <w:spacing w:val="-1"/>
          <w:sz w:val="24"/>
          <w:szCs w:val="24"/>
        </w:rPr>
        <w:t>的审计程序取决于注册会计师的判断，包括对由于舞弊或错误导致的财务报表重大错</w:t>
      </w:r>
      <w:r>
        <w:rPr>
          <w:rFonts w:ascii="宋体" w:hAnsi="宋体" w:cs="宋体" w:eastAsia="宋体" w:hint="default"/>
          <w:sz w:val="24"/>
          <w:szCs w:val="24"/>
        </w:rPr>
        <w:t> </w:t>
      </w:r>
      <w:r>
        <w:rPr>
          <w:rFonts w:ascii="宋体" w:hAnsi="宋体" w:cs="宋体" w:eastAsia="宋体" w:hint="default"/>
          <w:spacing w:val="-1"/>
          <w:sz w:val="24"/>
          <w:szCs w:val="24"/>
        </w:rPr>
        <w:t>报风险的评估。在进行风险评估时，我们考虑与财务报表编制相关的内部控制，以设</w:t>
      </w:r>
      <w:r>
        <w:rPr>
          <w:rFonts w:ascii="宋体" w:hAnsi="宋体" w:cs="宋体" w:eastAsia="宋体" w:hint="default"/>
          <w:sz w:val="24"/>
          <w:szCs w:val="24"/>
        </w:rPr>
        <w:t> </w:t>
      </w:r>
      <w:r>
        <w:rPr>
          <w:rFonts w:ascii="宋体" w:hAnsi="宋体" w:cs="宋体" w:eastAsia="宋体" w:hint="default"/>
          <w:spacing w:val="-1"/>
          <w:sz w:val="24"/>
          <w:szCs w:val="24"/>
        </w:rPr>
        <w:t>计恰当的审计程序，但目的并非对内部控制的有效性发表意见。审计工作还包括评价</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管理层选用会计政策的恰当性和作出会计估计的合理性，以及评价财务报表的总体列</w:t>
      </w:r>
      <w:r>
        <w:rPr>
          <w:rFonts w:ascii="宋体" w:hAnsi="宋体" w:cs="宋体" w:eastAsia="宋体" w:hint="default"/>
          <w:sz w:val="24"/>
          <w:szCs w:val="24"/>
        </w:rPr>
        <w:t> 报。</w:t>
      </w:r>
    </w:p>
    <w:p>
      <w:pPr>
        <w:spacing w:line="307" w:lineRule="auto" w:before="19"/>
        <w:ind w:left="621" w:right="1245"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 三、审计意见 </w:t>
      </w:r>
      <w:r>
        <w:rPr>
          <w:rFonts w:ascii="宋体" w:hAnsi="宋体" w:cs="宋体" w:eastAsia="宋体" w:hint="default"/>
          <w:spacing w:val="-2"/>
          <w:sz w:val="24"/>
          <w:szCs w:val="24"/>
        </w:rPr>
        <w:t>我们认为，华智控股财务报表已经按照企业会计准则的规定编制，在所有重大方</w:t>
      </w:r>
    </w:p>
    <w:p>
      <w:pPr>
        <w:spacing w:line="307" w:lineRule="auto" w:before="17"/>
        <w:ind w:left="137" w:right="1166" w:firstLine="0"/>
        <w:jc w:val="left"/>
        <w:rPr>
          <w:rFonts w:ascii="宋体" w:hAnsi="宋体" w:cs="宋体" w:eastAsia="宋体" w:hint="default"/>
          <w:sz w:val="24"/>
          <w:szCs w:val="24"/>
        </w:rPr>
      </w:pPr>
      <w:r>
        <w:rPr>
          <w:rFonts w:ascii="宋体" w:hAnsi="宋体" w:cs="宋体" w:eastAsia="宋体" w:hint="default"/>
          <w:spacing w:val="4"/>
          <w:sz w:val="24"/>
          <w:szCs w:val="24"/>
        </w:rPr>
        <w:t>面公允反映了华智控股</w:t>
      </w:r>
      <w:r>
        <w:rPr>
          <w:rFonts w:ascii="宋体" w:hAnsi="宋体" w:cs="宋体" w:eastAsia="宋体" w:hint="default"/>
          <w:spacing w:val="4"/>
          <w:sz w:val="24"/>
          <w:szCs w:val="24"/>
        </w:rPr>
        <w:t>2010</w:t>
      </w:r>
      <w:r>
        <w:rPr>
          <w:rFonts w:ascii="宋体" w:hAnsi="宋体" w:cs="宋体" w:eastAsia="宋体" w:hint="default"/>
          <w:spacing w:val="4"/>
          <w:sz w:val="24"/>
          <w:szCs w:val="24"/>
        </w:rPr>
        <w:t>年</w:t>
      </w:r>
      <w:r>
        <w:rPr>
          <w:rFonts w:ascii="宋体" w:hAnsi="宋体" w:cs="宋体" w:eastAsia="宋体" w:hint="default"/>
          <w:spacing w:val="4"/>
          <w:sz w:val="24"/>
          <w:szCs w:val="24"/>
        </w:rPr>
        <w:t>12</w:t>
      </w:r>
      <w:r>
        <w:rPr>
          <w:rFonts w:ascii="宋体" w:hAnsi="宋体" w:cs="宋体" w:eastAsia="宋体" w:hint="default"/>
          <w:spacing w:val="4"/>
          <w:sz w:val="24"/>
          <w:szCs w:val="24"/>
        </w:rPr>
        <w:t>月</w:t>
      </w:r>
      <w:r>
        <w:rPr>
          <w:rFonts w:ascii="宋体" w:hAnsi="宋体" w:cs="宋体" w:eastAsia="宋体" w:hint="default"/>
          <w:spacing w:val="4"/>
          <w:sz w:val="24"/>
          <w:szCs w:val="24"/>
        </w:rPr>
        <w:t>31</w:t>
      </w:r>
      <w:r>
        <w:rPr>
          <w:rFonts w:ascii="宋体" w:hAnsi="宋体" w:cs="宋体" w:eastAsia="宋体" w:hint="default"/>
          <w:spacing w:val="4"/>
          <w:sz w:val="24"/>
          <w:szCs w:val="24"/>
        </w:rPr>
        <w:t>日的财务状况以及</w:t>
      </w:r>
      <w:r>
        <w:rPr>
          <w:rFonts w:ascii="宋体" w:hAnsi="宋体" w:cs="宋体" w:eastAsia="宋体" w:hint="default"/>
          <w:spacing w:val="4"/>
          <w:sz w:val="24"/>
          <w:szCs w:val="24"/>
        </w:rPr>
        <w:t>2010</w:t>
      </w:r>
      <w:r>
        <w:rPr>
          <w:rFonts w:ascii="宋体" w:hAnsi="宋体" w:cs="宋体" w:eastAsia="宋体" w:hint="default"/>
          <w:spacing w:val="4"/>
          <w:sz w:val="24"/>
          <w:szCs w:val="24"/>
        </w:rPr>
        <w:t>年度的经营成果和现金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流量。</w:t>
      </w:r>
    </w:p>
    <w:p>
      <w:pPr>
        <w:spacing w:line="240" w:lineRule="auto" w:before="3"/>
        <w:rPr>
          <w:rFonts w:ascii="宋体" w:hAnsi="宋体" w:cs="宋体" w:eastAsia="宋体" w:hint="default"/>
          <w:sz w:val="31"/>
          <w:szCs w:val="31"/>
        </w:rPr>
      </w:pPr>
    </w:p>
    <w:p>
      <w:pPr>
        <w:tabs>
          <w:tab w:pos="4938" w:val="left" w:leader="none"/>
          <w:tab w:pos="7338" w:val="left" w:leader="none"/>
        </w:tabs>
        <w:spacing w:line="357" w:lineRule="auto" w:before="0"/>
        <w:ind w:left="1577" w:right="2705" w:hanging="600"/>
        <w:jc w:val="left"/>
        <w:rPr>
          <w:rFonts w:ascii="宋体" w:hAnsi="宋体" w:cs="宋体" w:eastAsia="宋体" w:hint="default"/>
          <w:sz w:val="24"/>
          <w:szCs w:val="24"/>
        </w:rPr>
      </w:pPr>
      <w:r>
        <w:rPr>
          <w:rFonts w:ascii="宋体" w:hAnsi="宋体" w:cs="宋体" w:eastAsia="宋体" w:hint="default"/>
          <w:sz w:val="24"/>
          <w:szCs w:val="24"/>
        </w:rPr>
        <w:t>天健正信会计师事务所</w:t>
        <w:tab/>
        <w:t>中国注册会计师：龙文虎 有限公司</w:t>
        <w:tab/>
        <w:t>中国注册会计师：张</w:t>
        <w:tab/>
        <w:t>凯</w:t>
      </w:r>
    </w:p>
    <w:p>
      <w:pPr>
        <w:tabs>
          <w:tab w:pos="4878" w:val="left" w:leader="none"/>
        </w:tabs>
        <w:spacing w:before="36"/>
        <w:ind w:left="1577" w:right="1166" w:firstLine="0"/>
        <w:jc w:val="left"/>
        <w:rPr>
          <w:rFonts w:ascii="宋体" w:hAnsi="宋体" w:cs="宋体" w:eastAsia="宋体" w:hint="default"/>
          <w:sz w:val="24"/>
          <w:szCs w:val="24"/>
        </w:rPr>
      </w:pPr>
      <w:r>
        <w:rPr>
          <w:rFonts w:ascii="宋体" w:hAnsi="宋体" w:cs="宋体" w:eastAsia="宋体" w:hint="default"/>
          <w:sz w:val="24"/>
          <w:szCs w:val="24"/>
        </w:rPr>
        <w:t>中国·北京</w:t>
        <w:tab/>
        <w:t>报告日期：</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13</w:t>
      </w:r>
      <w:r>
        <w:rPr>
          <w:rFonts w:ascii="宋体" w:hAnsi="宋体" w:cs="宋体" w:eastAsia="宋体" w:hint="default"/>
          <w:sz w:val="24"/>
          <w:szCs w:val="24"/>
        </w:rPr>
        <w:t>日</w:t>
      </w:r>
    </w:p>
    <w:p>
      <w:pPr>
        <w:spacing w:after="0"/>
        <w:jc w:val="left"/>
        <w:rPr>
          <w:rFonts w:ascii="宋体" w:hAnsi="宋体" w:cs="宋体" w:eastAsia="宋体" w:hint="default"/>
          <w:sz w:val="24"/>
          <w:szCs w:val="24"/>
        </w:rPr>
        <w:sectPr>
          <w:pgSz w:w="11910" w:h="16840"/>
          <w:pgMar w:header="752" w:footer="955" w:top="1020" w:bottom="1140" w:left="1620" w:right="0"/>
        </w:sectPr>
      </w:pPr>
    </w:p>
    <w:p>
      <w:pPr>
        <w:spacing w:line="240" w:lineRule="auto" w:before="1"/>
        <w:rPr>
          <w:rFonts w:ascii="宋体" w:hAnsi="宋体" w:cs="宋体" w:eastAsia="宋体" w:hint="default"/>
          <w:sz w:val="29"/>
          <w:szCs w:val="29"/>
        </w:rPr>
      </w:pPr>
    </w:p>
    <w:p>
      <w:pPr>
        <w:spacing w:before="26"/>
        <w:ind w:left="263" w:right="1740" w:firstLine="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年财务报表</w:t>
      </w:r>
    </w:p>
    <w:p>
      <w:pPr>
        <w:spacing w:before="154"/>
        <w:ind w:left="4006" w:right="5500" w:firstLine="0"/>
        <w:jc w:val="center"/>
        <w:rPr>
          <w:rFonts w:ascii="宋体" w:hAnsi="宋体" w:cs="宋体" w:eastAsia="宋体" w:hint="default"/>
          <w:sz w:val="24"/>
          <w:szCs w:val="24"/>
        </w:rPr>
      </w:pPr>
      <w:r>
        <w:rPr>
          <w:rFonts w:ascii="宋体" w:hAnsi="宋体" w:cs="宋体" w:eastAsia="宋体" w:hint="default"/>
          <w:sz w:val="24"/>
          <w:szCs w:val="24"/>
        </w:rPr>
        <w:t>资产负债表</w:t>
      </w:r>
    </w:p>
    <w:p>
      <w:pPr>
        <w:spacing w:line="240" w:lineRule="auto" w:before="6"/>
        <w:rPr>
          <w:rFonts w:ascii="宋体" w:hAnsi="宋体" w:cs="宋体" w:eastAsia="宋体" w:hint="default"/>
          <w:sz w:val="9"/>
          <w:szCs w:val="9"/>
        </w:rPr>
      </w:pPr>
    </w:p>
    <w:p>
      <w:pPr>
        <w:pStyle w:val="BodyText"/>
        <w:tabs>
          <w:tab w:pos="4663" w:val="left" w:leader="none"/>
          <w:tab w:pos="6922" w:val="left" w:leader="none"/>
        </w:tabs>
        <w:spacing w:line="240" w:lineRule="auto" w:before="36"/>
        <w:ind w:left="354" w:right="1740"/>
        <w:jc w:val="left"/>
      </w:pPr>
      <w:r>
        <w:rPr>
          <w:w w:val="100"/>
        </w:rPr>
        <w:t>编制</w:t>
      </w:r>
      <w:r>
        <w:rPr>
          <w:spacing w:val="-3"/>
          <w:w w:val="100"/>
        </w:rPr>
        <w:t>单</w:t>
      </w:r>
      <w:r>
        <w:rPr>
          <w:w w:val="100"/>
        </w:rPr>
        <w:t>位</w:t>
      </w:r>
      <w:r>
        <w:rPr>
          <w:spacing w:val="-3"/>
          <w:w w:val="100"/>
        </w:rPr>
        <w:t>：</w:t>
      </w:r>
      <w:r>
        <w:rPr>
          <w:w w:val="100"/>
        </w:rPr>
        <w:t>重</w:t>
      </w:r>
      <w:r>
        <w:rPr>
          <w:spacing w:val="-3"/>
          <w:w w:val="100"/>
        </w:rPr>
        <w:t>庆</w:t>
      </w:r>
      <w:r>
        <w:rPr>
          <w:w w:val="100"/>
        </w:rPr>
        <w:t>华</w:t>
      </w:r>
      <w:r>
        <w:rPr>
          <w:spacing w:val="-3"/>
          <w:w w:val="100"/>
        </w:rPr>
        <w:t>智</w:t>
      </w:r>
      <w:r>
        <w:rPr>
          <w:w w:val="100"/>
        </w:rPr>
        <w:t>控</w:t>
      </w:r>
      <w:r>
        <w:rPr>
          <w:spacing w:val="-3"/>
          <w:w w:val="100"/>
        </w:rPr>
        <w:t>股</w:t>
      </w:r>
      <w:r>
        <w:rPr>
          <w:w w:val="100"/>
        </w:rPr>
        <w:t>股份</w:t>
      </w:r>
      <w:r>
        <w:rPr>
          <w:spacing w:val="-3"/>
          <w:w w:val="100"/>
        </w:rPr>
        <w:t>有</w:t>
      </w:r>
      <w:r>
        <w:rPr>
          <w:w w:val="100"/>
        </w:rPr>
        <w:t>限</w:t>
      </w:r>
      <w:r>
        <w:rPr>
          <w:spacing w:val="-3"/>
          <w:w w:val="100"/>
        </w:rPr>
        <w:t>公</w:t>
      </w:r>
      <w:r>
        <w:rPr>
          <w:w w:val="100"/>
        </w:rPr>
        <w:t>司</w:t>
      </w:r>
      <w:r>
        <w:rPr/>
        <w:tab/>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w w:val="100"/>
        </w:rPr>
        <w:t>日</w:t>
      </w:r>
      <w:r>
        <w:rPr/>
        <w:tab/>
      </w:r>
      <w:r>
        <w:rPr>
          <w:spacing w:val="-3"/>
          <w:w w:val="100"/>
        </w:rPr>
        <w:t>单位</w:t>
      </w:r>
      <w:r>
        <w:rPr>
          <w:spacing w:val="-106"/>
          <w:w w:val="100"/>
        </w:rPr>
        <w:t>：</w:t>
      </w:r>
      <w:r>
        <w:rPr>
          <w:w w:val="100"/>
        </w:rPr>
        <w:t>（</w:t>
      </w:r>
      <w:r>
        <w:rPr>
          <w:spacing w:val="-3"/>
          <w:w w:val="100"/>
        </w:rPr>
        <w:t>人</w:t>
      </w:r>
      <w:r>
        <w:rPr>
          <w:w w:val="100"/>
        </w:rPr>
        <w:t>民</w:t>
      </w:r>
      <w:r>
        <w:rPr>
          <w:spacing w:val="-3"/>
          <w:w w:val="100"/>
        </w:rPr>
        <w:t>币</w:t>
      </w:r>
      <w:r>
        <w:rPr>
          <w:w w:val="100"/>
        </w:rPr>
        <w:t>）元</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414"/>
        <w:gridCol w:w="1892"/>
        <w:gridCol w:w="1680"/>
        <w:gridCol w:w="1889"/>
        <w:gridCol w:w="1680"/>
      </w:tblGrid>
      <w:tr>
        <w:trPr>
          <w:trHeight w:val="158" w:hRule="exact"/>
        </w:trPr>
        <w:tc>
          <w:tcPr>
            <w:tcW w:w="2414" w:type="dxa"/>
            <w:tcBorders>
              <w:top w:val="single" w:sz="4" w:space="0" w:color="000000"/>
              <w:left w:val="single" w:sz="4" w:space="0" w:color="000000"/>
              <w:bottom w:val="nil" w:sz="6" w:space="0" w:color="auto"/>
              <w:right w:val="single" w:sz="4" w:space="0" w:color="000000"/>
            </w:tcBorders>
            <w:shd w:val="clear" w:color="auto" w:fill="DCDCDC"/>
          </w:tcPr>
          <w:p>
            <w:pPr/>
          </w:p>
        </w:tc>
        <w:tc>
          <w:tcPr>
            <w:tcW w:w="357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6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16" w:hRule="exact"/>
        </w:trPr>
        <w:tc>
          <w:tcPr>
            <w:tcW w:w="241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2" w:type="dxa"/>
            <w:gridSpan w:val="2"/>
            <w:vMerge/>
            <w:tcBorders>
              <w:left w:val="single" w:sz="4" w:space="0" w:color="000000"/>
              <w:bottom w:val="single" w:sz="4" w:space="0" w:color="000000"/>
              <w:right w:val="single" w:sz="4" w:space="0" w:color="000000"/>
            </w:tcBorders>
            <w:shd w:val="clear" w:color="auto" w:fill="DCDCDC"/>
          </w:tcPr>
          <w:p>
            <w:pPr/>
          </w:p>
        </w:tc>
        <w:tc>
          <w:tcPr>
            <w:tcW w:w="3569" w:type="dxa"/>
            <w:gridSpan w:val="2"/>
            <w:vMerge/>
            <w:tcBorders>
              <w:left w:val="single" w:sz="4" w:space="0" w:color="000000"/>
              <w:bottom w:val="single" w:sz="4" w:space="0" w:color="000000"/>
              <w:right w:val="single" w:sz="4" w:space="0" w:color="000000"/>
            </w:tcBorders>
            <w:shd w:val="clear" w:color="auto" w:fill="DCDCDC"/>
          </w:tcPr>
          <w:p>
            <w:pPr/>
          </w:p>
        </w:tc>
      </w:tr>
      <w:tr>
        <w:trPr>
          <w:trHeight w:val="116" w:hRule="exact"/>
        </w:trPr>
        <w:tc>
          <w:tcPr>
            <w:tcW w:w="2414" w:type="dxa"/>
            <w:vMerge/>
            <w:tcBorders>
              <w:left w:val="single" w:sz="4" w:space="0" w:color="000000"/>
              <w:bottom w:val="nil" w:sz="6" w:space="0" w:color="auto"/>
              <w:right w:val="single" w:sz="4" w:space="0" w:color="000000"/>
            </w:tcBorders>
            <w:shd w:val="clear" w:color="auto" w:fill="DCDCDC"/>
          </w:tcPr>
          <w:p>
            <w:pPr/>
          </w:p>
        </w:tc>
        <w:tc>
          <w:tcPr>
            <w:tcW w:w="1892"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89"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7" w:hRule="exact"/>
        </w:trPr>
        <w:tc>
          <w:tcPr>
            <w:tcW w:w="24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2"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889"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r>
      <w:tr>
        <w:trPr>
          <w:trHeight w:val="275"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2" w:type="dxa"/>
            <w:tcBorders>
              <w:top w:val="single" w:sz="8" w:space="0" w:color="DCDCDC"/>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254,986,132.32</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3,452,952.89</w:t>
            </w:r>
          </w:p>
        </w:tc>
        <w:tc>
          <w:tcPr>
            <w:tcW w:w="1889" w:type="dxa"/>
            <w:tcBorders>
              <w:top w:val="single" w:sz="8" w:space="0" w:color="DCDCDC"/>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434,578,888.77</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111,007,729.83</w:t>
            </w: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16,912,428.00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12,328,050.40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500,000.00</w:t>
            </w:r>
          </w:p>
        </w:tc>
      </w:tr>
      <w:tr>
        <w:trPr>
          <w:trHeight w:val="284"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350,353,924.23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366,443,760.03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759,395.70</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59,928,608.47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55,104,368.53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12,847,493.30</w:t>
            </w: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29,682,639.41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63,703,965.96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118,776,362.68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129,866,037.50</w:t>
            </w: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1,471,792.19</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223,921,394.62</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195,995,712.99</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92" w:type="dxa"/>
            <w:tcBorders>
              <w:top w:val="single" w:sz="4" w:space="0" w:color="000000"/>
              <w:left w:val="single" w:sz="4" w:space="0" w:color="000000"/>
              <w:bottom w:val="single" w:sz="12" w:space="0" w:color="DCDCDC"/>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935,785,127.05</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67,156,918.85</w:t>
            </w:r>
          </w:p>
        </w:tc>
        <w:tc>
          <w:tcPr>
            <w:tcW w:w="1889" w:type="dxa"/>
            <w:tcBorders>
              <w:top w:val="single" w:sz="4" w:space="0" w:color="000000"/>
              <w:left w:val="single" w:sz="4" w:space="0" w:color="000000"/>
              <w:bottom w:val="single" w:sz="12"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1,183,227,143.40</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256,452,448.52</w:t>
            </w:r>
          </w:p>
        </w:tc>
      </w:tr>
      <w:tr>
        <w:trPr>
          <w:trHeight w:val="250"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5"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92" w:type="dxa"/>
            <w:tcBorders>
              <w:top w:val="single" w:sz="12" w:space="0" w:color="DCDCDC"/>
              <w:left w:val="single" w:sz="4" w:space="0" w:color="000000"/>
              <w:bottom w:val="single" w:sz="4" w:space="0" w:color="000000"/>
              <w:right w:val="single" w:sz="4" w:space="0" w:color="000000"/>
            </w:tcBorders>
          </w:tcPr>
          <w:p>
            <w:pPr/>
          </w:p>
        </w:tc>
        <w:tc>
          <w:tcPr>
            <w:tcW w:w="1680" w:type="dxa"/>
            <w:tcBorders>
              <w:top w:val="single" w:sz="12" w:space="0" w:color="DCDCDC"/>
              <w:left w:val="single" w:sz="4" w:space="0" w:color="000000"/>
              <w:bottom w:val="single" w:sz="4" w:space="0" w:color="000000"/>
              <w:right w:val="single" w:sz="4" w:space="0" w:color="000000"/>
            </w:tcBorders>
          </w:tcPr>
          <w:p>
            <w:pPr/>
          </w:p>
        </w:tc>
        <w:tc>
          <w:tcPr>
            <w:tcW w:w="1889" w:type="dxa"/>
            <w:tcBorders>
              <w:top w:val="single" w:sz="12" w:space="0" w:color="DCDCDC"/>
              <w:left w:val="single" w:sz="4" w:space="0" w:color="000000"/>
              <w:bottom w:val="single" w:sz="4" w:space="0" w:color="000000"/>
              <w:right w:val="single" w:sz="4" w:space="0" w:color="000000"/>
            </w:tcBorders>
          </w:tcPr>
          <w:p>
            <w:pPr/>
          </w:p>
        </w:tc>
        <w:tc>
          <w:tcPr>
            <w:tcW w:w="1680" w:type="dxa"/>
            <w:tcBorders>
              <w:top w:val="single" w:sz="12" w:space="0" w:color="DCDCDC"/>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31,298,557.49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320,425,869.79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29,565,687.14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455,529,037.35</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460,476,678.05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41,735,731.00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610,885,396.12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39,319,065.57</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28,026,660.16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24,999,725.77</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5,970,367.90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7,684,593.58</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0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162,836,938.43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12,529,195.46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199,943,663.23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29,864,426.25</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28,285,851.25</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2,682,729.69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6,512,023.12</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12,206,236.04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14,080,422.15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11,624,459.68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3,596,611.04</w:t>
            </w:r>
          </w:p>
        </w:tc>
      </w:tr>
      <w:tr>
        <w:trPr>
          <w:trHeight w:val="283"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675,471,507.60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388,771,218.40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922,528,334.28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553,308,865.98</w:t>
            </w:r>
          </w:p>
        </w:tc>
      </w:tr>
      <w:tr>
        <w:trPr>
          <w:trHeight w:val="307"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92" w:type="dxa"/>
            <w:tcBorders>
              <w:top w:val="single" w:sz="4" w:space="0" w:color="000000"/>
              <w:left w:val="single" w:sz="4" w:space="0" w:color="000000"/>
              <w:bottom w:val="single" w:sz="8" w:space="0" w:color="DCDCDC"/>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1,611,256,634.65</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455,928,137.25</w:t>
            </w:r>
          </w:p>
        </w:tc>
        <w:tc>
          <w:tcPr>
            <w:tcW w:w="1889" w:type="dxa"/>
            <w:tcBorders>
              <w:top w:val="single" w:sz="4" w:space="0" w:color="000000"/>
              <w:left w:val="single" w:sz="4" w:space="0" w:color="000000"/>
              <w:bottom w:val="single" w:sz="8"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2,105,755,477.68</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809,761,314.50</w:t>
            </w:r>
          </w:p>
        </w:tc>
      </w:tr>
      <w:tr>
        <w:trPr>
          <w:trHeight w:val="235" w:hRule="exact"/>
        </w:trPr>
        <w:tc>
          <w:tcPr>
            <w:tcW w:w="2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752" w:footer="955" w:top="1020" w:bottom="1140" w:left="11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415"/>
        <w:gridCol w:w="1891"/>
        <w:gridCol w:w="1680"/>
        <w:gridCol w:w="1889"/>
        <w:gridCol w:w="1680"/>
      </w:tblGrid>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323,000,000.00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75,000,000.00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453,100,000.00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179,000,000.00</w:t>
            </w: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196,774,000.00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172,156,723.85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47,200,000.00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345,779,445.41</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243,512,603.13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505,031.00</w:t>
            </w: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70,097,498.70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49,932,071.29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300,000.00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13,507,800.99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375,048.75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18,229,334.56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754,461.81</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12,118,380.18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-6,353.22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16,153,892.31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-2,700,976.06</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15,860,036.99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14,335,027.53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15,941,458.33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14,656,927.53</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104,233,558.01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189,616,838.08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116,877,174.77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175,521,986.71</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91,000,000.00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122,000,000.00</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91" w:type="dxa"/>
            <w:tcBorders>
              <w:top w:val="single" w:sz="4" w:space="0" w:color="000000"/>
              <w:left w:val="single" w:sz="10" w:space="0" w:color="DCDCDC"/>
              <w:bottom w:val="single" w:sz="12" w:space="0" w:color="DCDCDC"/>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1,172,370,720.28</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279,320,561.14</w:t>
            </w:r>
          </w:p>
        </w:tc>
        <w:tc>
          <w:tcPr>
            <w:tcW w:w="1889" w:type="dxa"/>
            <w:tcBorders>
              <w:top w:val="single" w:sz="4" w:space="0" w:color="000000"/>
              <w:left w:val="single" w:sz="4" w:space="0" w:color="000000"/>
              <w:bottom w:val="single" w:sz="12"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1,207,903,258.24</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415,237,430.99</w:t>
            </w:r>
          </w:p>
        </w:tc>
      </w:tr>
      <w:tr>
        <w:trPr>
          <w:trHeight w:val="24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4"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91" w:type="dxa"/>
            <w:tcBorders>
              <w:top w:val="single" w:sz="12" w:space="0" w:color="DCDCDC"/>
              <w:left w:val="single" w:sz="10" w:space="0" w:color="DCDCDC"/>
              <w:bottom w:val="single" w:sz="4" w:space="0" w:color="000000"/>
              <w:right w:val="single" w:sz="4" w:space="0" w:color="000000"/>
            </w:tcBorders>
          </w:tcPr>
          <w:p>
            <w:pPr/>
          </w:p>
        </w:tc>
        <w:tc>
          <w:tcPr>
            <w:tcW w:w="1680" w:type="dxa"/>
            <w:tcBorders>
              <w:top w:val="single" w:sz="12" w:space="0" w:color="DCDCDC"/>
              <w:left w:val="single" w:sz="4" w:space="0" w:color="000000"/>
              <w:bottom w:val="single" w:sz="4" w:space="0" w:color="000000"/>
              <w:right w:val="single" w:sz="4" w:space="0" w:color="000000"/>
            </w:tcBorders>
          </w:tcPr>
          <w:p>
            <w:pPr/>
          </w:p>
        </w:tc>
        <w:tc>
          <w:tcPr>
            <w:tcW w:w="1889" w:type="dxa"/>
            <w:tcBorders>
              <w:top w:val="single" w:sz="12" w:space="0" w:color="DCDCDC"/>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113,561,711.15</w:t>
            </w:r>
          </w:p>
        </w:tc>
        <w:tc>
          <w:tcPr>
            <w:tcW w:w="1680" w:type="dxa"/>
            <w:tcBorders>
              <w:top w:val="single" w:sz="12" w:space="0" w:color="DCDCDC"/>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2,561,711.15</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8,400,000.00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121,961,711.15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10,961,711.15</w:t>
            </w:r>
          </w:p>
        </w:tc>
      </w:tr>
      <w:tr>
        <w:trPr>
          <w:trHeight w:val="310"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91" w:type="dxa"/>
            <w:tcBorders>
              <w:top w:val="single" w:sz="4" w:space="0" w:color="000000"/>
              <w:left w:val="single" w:sz="10" w:space="0" w:color="DCDCDC"/>
              <w:bottom w:val="single" w:sz="8" w:space="0" w:color="DCDCDC"/>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1,172,370,720.28</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279,320,561.14</w:t>
            </w:r>
          </w:p>
        </w:tc>
        <w:tc>
          <w:tcPr>
            <w:tcW w:w="1889" w:type="dxa"/>
            <w:tcBorders>
              <w:top w:val="single" w:sz="4" w:space="0" w:color="000000"/>
              <w:left w:val="single" w:sz="4" w:space="0" w:color="000000"/>
              <w:bottom w:val="single" w:sz="8"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1,329,864,969.39</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426,199,142.14</w:t>
            </w:r>
          </w:p>
        </w:tc>
      </w:tr>
      <w:tr>
        <w:trPr>
          <w:trHeight w:val="250"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91" w:type="dxa"/>
            <w:tcBorders>
              <w:top w:val="single" w:sz="8" w:space="0" w:color="DCDCDC"/>
              <w:left w:val="single" w:sz="10" w:space="0" w:color="DCDCDC"/>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487,731,995.00</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487,731,995.00</w:t>
            </w:r>
          </w:p>
        </w:tc>
        <w:tc>
          <w:tcPr>
            <w:tcW w:w="1889" w:type="dxa"/>
            <w:tcBorders>
              <w:top w:val="single" w:sz="8" w:space="0" w:color="DCDCDC"/>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487,731,995.00</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487,731,995.00</w:t>
            </w: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10,945,004.80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119,506,224.01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30,614,641.22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119,506,224.01</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40,657,199.52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28,791,805.68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40,657,199.52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28,791,805.68</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-229,352,252.61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-459,422,448.58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-63,016,322.92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-252,467,852.33</w:t>
            </w: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9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-235,152.69</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309,981,946.71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176,607,576.11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495,752,360.13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383,562,172.36</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128,903,967.66</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280,138,148.16</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438,885,914.37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176,607,576.11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775,890,508.29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383,562,172.36</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91"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1,611,256,634.65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455,928,137.25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2,105,755,477.68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809,761,314.50</w:t>
            </w:r>
          </w:p>
        </w:tc>
      </w:tr>
    </w:tbl>
    <w:p>
      <w:pPr>
        <w:spacing w:after="0" w:line="241" w:lineRule="exact"/>
        <w:jc w:val="right"/>
        <w:rPr>
          <w:rFonts w:ascii="宋体" w:hAnsi="宋体" w:cs="宋体" w:eastAsia="宋体" w:hint="default"/>
          <w:sz w:val="21"/>
          <w:szCs w:val="21"/>
        </w:rPr>
        <w:sectPr>
          <w:pgSz w:w="11910" w:h="16840"/>
          <w:pgMar w:header="752" w:footer="955" w:top="1020" w:bottom="114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Heading3"/>
        <w:spacing w:line="240" w:lineRule="auto" w:before="26"/>
        <w:ind w:left="3886" w:right="5500"/>
        <w:jc w:val="center"/>
      </w:pPr>
      <w:r>
        <w:rPr/>
        <w:t>利润表</w:t>
      </w:r>
    </w:p>
    <w:p>
      <w:pPr>
        <w:pStyle w:val="BodyText"/>
        <w:tabs>
          <w:tab w:pos="4872" w:val="left" w:leader="none"/>
          <w:tab w:pos="7236" w:val="left" w:leader="none"/>
        </w:tabs>
        <w:spacing w:line="240" w:lineRule="auto" w:before="124"/>
        <w:ind w:left="563" w:right="1740"/>
        <w:jc w:val="left"/>
      </w:pPr>
      <w:r>
        <w:rPr>
          <w:w w:val="100"/>
        </w:rPr>
        <w:t>编制</w:t>
      </w:r>
      <w:r>
        <w:rPr>
          <w:spacing w:val="-3"/>
          <w:w w:val="100"/>
        </w:rPr>
        <w:t>单</w:t>
      </w:r>
      <w:r>
        <w:rPr>
          <w:w w:val="100"/>
        </w:rPr>
        <w:t>位</w:t>
      </w:r>
      <w:r>
        <w:rPr>
          <w:spacing w:val="-3"/>
          <w:w w:val="100"/>
        </w:rPr>
        <w:t>：</w:t>
      </w:r>
      <w:r>
        <w:rPr>
          <w:w w:val="100"/>
        </w:rPr>
        <w:t>重</w:t>
      </w:r>
      <w:r>
        <w:rPr>
          <w:spacing w:val="-3"/>
          <w:w w:val="100"/>
        </w:rPr>
        <w:t>庆</w:t>
      </w:r>
      <w:r>
        <w:rPr>
          <w:w w:val="100"/>
        </w:rPr>
        <w:t>华</w:t>
      </w:r>
      <w:r>
        <w:rPr>
          <w:spacing w:val="-3"/>
          <w:w w:val="100"/>
        </w:rPr>
        <w:t>智</w:t>
      </w:r>
      <w:r>
        <w:rPr>
          <w:w w:val="100"/>
        </w:rPr>
        <w:t>控</w:t>
      </w:r>
      <w:r>
        <w:rPr>
          <w:spacing w:val="-3"/>
          <w:w w:val="100"/>
        </w:rPr>
        <w:t>股</w:t>
      </w:r>
      <w:r>
        <w:rPr>
          <w:w w:val="100"/>
        </w:rPr>
        <w:t>股份</w:t>
      </w:r>
      <w:r>
        <w:rPr>
          <w:spacing w:val="-3"/>
          <w:w w:val="100"/>
        </w:rPr>
        <w:t>有</w:t>
      </w:r>
      <w:r>
        <w:rPr>
          <w:w w:val="100"/>
        </w:rPr>
        <w:t>限</w:t>
      </w:r>
      <w:r>
        <w:rPr>
          <w:spacing w:val="-3"/>
          <w:w w:val="100"/>
        </w:rPr>
        <w:t>公</w:t>
      </w:r>
      <w:r>
        <w:rPr>
          <w:w w:val="100"/>
        </w:rPr>
        <w:t>司</w:t>
      </w:r>
      <w:r>
        <w:rPr/>
        <w:tab/>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2"/>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12</w:t>
      </w:r>
      <w:r>
        <w:rPr>
          <w:rFonts w:ascii="宋体" w:hAnsi="宋体" w:cs="宋体" w:eastAsia="宋体" w:hint="default"/>
          <w:spacing w:val="-55"/>
        </w:rPr>
        <w:t> </w:t>
      </w:r>
      <w:r>
        <w:rPr>
          <w:w w:val="100"/>
        </w:rPr>
        <w:t>月</w:t>
      </w:r>
      <w:r>
        <w:rPr/>
        <w:tab/>
      </w:r>
      <w:r>
        <w:rPr>
          <w:spacing w:val="-3"/>
          <w:w w:val="100"/>
        </w:rPr>
        <w:t>位</w:t>
      </w:r>
      <w:r>
        <w:rPr>
          <w:spacing w:val="-108"/>
          <w:w w:val="100"/>
        </w:rPr>
        <w:t>：</w:t>
      </w:r>
      <w:r>
        <w:rPr>
          <w:w w:val="100"/>
        </w:rPr>
        <w:t>（人</w:t>
      </w:r>
      <w:r>
        <w:rPr>
          <w:spacing w:val="-3"/>
          <w:w w:val="100"/>
        </w:rPr>
        <w:t>民</w:t>
      </w:r>
      <w:r>
        <w:rPr>
          <w:w w:val="100"/>
        </w:rPr>
        <w:t>币</w:t>
      </w:r>
      <w:r>
        <w:rPr>
          <w:spacing w:val="-3"/>
          <w:w w:val="100"/>
        </w:rPr>
        <w:t>）</w:t>
      </w:r>
      <w:r>
        <w:rPr>
          <w:w w:val="100"/>
        </w:rPr>
        <w:t>元</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3255"/>
        <w:gridCol w:w="1577"/>
        <w:gridCol w:w="1584"/>
        <w:gridCol w:w="1565"/>
        <w:gridCol w:w="1366"/>
      </w:tblGrid>
      <w:tr>
        <w:trPr>
          <w:trHeight w:val="178" w:hRule="exact"/>
        </w:trPr>
        <w:tc>
          <w:tcPr>
            <w:tcW w:w="3255"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3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6" w:hRule="exact"/>
        </w:trPr>
        <w:tc>
          <w:tcPr>
            <w:tcW w:w="325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gridSpan w:val="2"/>
            <w:vMerge/>
            <w:tcBorders>
              <w:left w:val="single" w:sz="4" w:space="0" w:color="000000"/>
              <w:bottom w:val="single" w:sz="4" w:space="0" w:color="000000"/>
              <w:right w:val="single" w:sz="4" w:space="0" w:color="000000"/>
            </w:tcBorders>
            <w:shd w:val="clear" w:color="auto" w:fill="DCDCDC"/>
          </w:tcPr>
          <w:p>
            <w:pPr/>
          </w:p>
        </w:tc>
        <w:tc>
          <w:tcPr>
            <w:tcW w:w="2931" w:type="dxa"/>
            <w:gridSpan w:val="2"/>
            <w:vMerge/>
            <w:tcBorders>
              <w:left w:val="single" w:sz="4" w:space="0" w:color="000000"/>
              <w:bottom w:val="single" w:sz="4" w:space="0" w:color="000000"/>
              <w:right w:val="single" w:sz="4" w:space="0" w:color="000000"/>
            </w:tcBorders>
            <w:shd w:val="clear" w:color="auto" w:fill="DCDCDC"/>
          </w:tcPr>
          <w:p>
            <w:pPr/>
          </w:p>
        </w:tc>
      </w:tr>
      <w:tr>
        <w:trPr>
          <w:trHeight w:val="116" w:hRule="exact"/>
        </w:trPr>
        <w:tc>
          <w:tcPr>
            <w:tcW w:w="3255" w:type="dxa"/>
            <w:vMerge/>
            <w:tcBorders>
              <w:left w:val="single" w:sz="4" w:space="0" w:color="000000"/>
              <w:bottom w:val="nil" w:sz="6" w:space="0" w:color="auto"/>
              <w:right w:val="single" w:sz="4" w:space="0" w:color="000000"/>
            </w:tcBorders>
            <w:shd w:val="clear" w:color="auto" w:fill="DCDCDC"/>
          </w:tcPr>
          <w:p>
            <w:pPr/>
          </w:p>
        </w:tc>
        <w:tc>
          <w:tcPr>
            <w:tcW w:w="1577"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84"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516"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65"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407"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64" w:hRule="exact"/>
        </w:trPr>
        <w:tc>
          <w:tcPr>
            <w:tcW w:w="32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7" w:type="dxa"/>
            <w:vMerge/>
            <w:tcBorders>
              <w:left w:val="single" w:sz="4" w:space="0" w:color="000000"/>
              <w:bottom w:val="single" w:sz="4" w:space="0" w:color="000000"/>
              <w:right w:val="single" w:sz="4" w:space="0" w:color="000000"/>
            </w:tcBorders>
            <w:shd w:val="clear" w:color="auto" w:fill="DCDCDC"/>
          </w:tcPr>
          <w:p>
            <w:pPr/>
          </w:p>
        </w:tc>
        <w:tc>
          <w:tcPr>
            <w:tcW w:w="1584" w:type="dxa"/>
            <w:vMerge/>
            <w:tcBorders>
              <w:left w:val="single" w:sz="4" w:space="0" w:color="000000"/>
              <w:bottom w:val="single" w:sz="4" w:space="0" w:color="000000"/>
              <w:right w:val="single" w:sz="4" w:space="0" w:color="000000"/>
            </w:tcBorders>
            <w:shd w:val="clear" w:color="auto" w:fill="DCDCDC"/>
          </w:tcPr>
          <w:p>
            <w:pPr/>
          </w:p>
        </w:tc>
        <w:tc>
          <w:tcPr>
            <w:tcW w:w="1565"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r>
      <w:tr>
        <w:trPr>
          <w:trHeight w:val="306"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77" w:type="dxa"/>
            <w:tcBorders>
              <w:top w:val="single" w:sz="14" w:space="0" w:color="DCDCDC"/>
              <w:left w:val="single" w:sz="9" w:space="0" w:color="DCDCDC"/>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1,194,860,445.99</w:t>
            </w:r>
          </w:p>
        </w:tc>
        <w:tc>
          <w:tcPr>
            <w:tcW w:w="1584" w:type="dxa"/>
            <w:tcBorders>
              <w:top w:val="single" w:sz="14" w:space="0" w:color="DCDCDC"/>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3,051,412.71</w:t>
            </w:r>
          </w:p>
        </w:tc>
        <w:tc>
          <w:tcPr>
            <w:tcW w:w="1565" w:type="dxa"/>
            <w:tcBorders>
              <w:top w:val="single" w:sz="14" w:space="0" w:color="DCDCDC"/>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1,955,611,259.51</w:t>
            </w:r>
          </w:p>
        </w:tc>
        <w:tc>
          <w:tcPr>
            <w:tcW w:w="1366" w:type="dxa"/>
            <w:tcBorders>
              <w:top w:val="single" w:sz="14" w:space="0" w:color="DCDCDC"/>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5,460,733.06</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1,194,860,445.99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3,051,412.71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1,955,611,259.51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5,460,733.06</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1,382,982,910.97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114,435,910.32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2,010,421,749.52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53,817,890.66</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899,535,297.72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2,268,222.30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1,476,103,245.76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5,032,677.74</w:t>
            </w:r>
          </w:p>
        </w:tc>
      </w:tr>
      <w:tr>
        <w:trPr>
          <w:trHeight w:val="296"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9,229,712.97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87,227.70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11,992,892.45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7,180.95</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178,442,058.18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15,909.22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226,449,477.91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379,998.22</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197,755,291.09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12,231,743.24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164,479,387.68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22,848,490.69</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43,420,336.99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21,040,733.74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71,584,282.58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20,280,026.83</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54,600,214.02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78,792,074.12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59,812,463.14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5,269,516.23</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06"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0" w:lineRule="exact"/>
              <w:ind w:right="21"/>
              <w:jc w:val="right"/>
              <w:rPr>
                <w:rFonts w:ascii="宋体" w:hAnsi="宋体" w:cs="宋体" w:eastAsia="宋体" w:hint="default"/>
                <w:sz w:val="18"/>
                <w:szCs w:val="18"/>
              </w:rPr>
            </w:pPr>
            <w:r>
              <w:rPr>
                <w:rFonts w:ascii="宋体"/>
                <w:spacing w:val="-1"/>
                <w:sz w:val="18"/>
              </w:rPr>
              <w:t>-6,218,297.24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
              <w:jc w:val="right"/>
              <w:rPr>
                <w:rFonts w:ascii="宋体" w:hAnsi="宋体" w:cs="宋体" w:eastAsia="宋体" w:hint="default"/>
                <w:sz w:val="18"/>
                <w:szCs w:val="18"/>
              </w:rPr>
            </w:pPr>
            <w:r>
              <w:rPr>
                <w:rFonts w:ascii="宋体"/>
                <w:spacing w:val="-1"/>
                <w:sz w:val="18"/>
              </w:rPr>
              <w:t>-105,707,051.64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0"/>
              <w:jc w:val="right"/>
              <w:rPr>
                <w:rFonts w:ascii="宋体" w:hAnsi="宋体" w:cs="宋体" w:eastAsia="宋体" w:hint="default"/>
                <w:sz w:val="18"/>
                <w:szCs w:val="18"/>
              </w:rPr>
            </w:pPr>
            <w:r>
              <w:rPr>
                <w:rFonts w:ascii="宋体"/>
                <w:spacing w:val="-1"/>
                <w:sz w:val="18"/>
              </w:rPr>
              <w:t>-765,837.95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1"/>
              <w:jc w:val="right"/>
              <w:rPr>
                <w:rFonts w:ascii="宋体" w:hAnsi="宋体" w:cs="宋体" w:eastAsia="宋体" w:hint="default"/>
                <w:sz w:val="18"/>
                <w:szCs w:val="18"/>
              </w:rPr>
            </w:pPr>
            <w:r>
              <w:rPr>
                <w:rFonts w:ascii="宋体"/>
                <w:spacing w:val="-1"/>
                <w:sz w:val="18"/>
              </w:rPr>
              <w:t>32,489,497.24</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3,883,540.79</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4,632,032.71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475"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1577" w:type="dxa"/>
            <w:tcBorders>
              <w:top w:val="single" w:sz="4" w:space="0" w:color="000000"/>
              <w:left w:val="single" w:sz="9" w:space="0" w:color="DCDCDC"/>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-194,340,762.22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-217,091,549.25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-55,576,327.96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-15,867,660.36</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0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16,816,530.31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2,743,038.52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12,621,000.60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2,215,213.65</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0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3,113,011.37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438,259.52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7,786,179.70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196,711.72</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2,201,021.39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117,440.87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7,284,455.68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196,711.72</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-180,637,243.28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-214,786,770.25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-50,741,507.06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-13,849,158.43</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0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-226,613.70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-7,832,174.00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12,704,972.83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-790,427.44</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-180,410,629.58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-206,954,596.25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-63,446,479.89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-13,058,730.99</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-166,308,328.16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-206,954,596.25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-80,191,690.96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-13,058,730.99</w:t>
            </w:r>
          </w:p>
        </w:tc>
      </w:tr>
      <w:tr>
        <w:trPr>
          <w:trHeight w:val="294"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77" w:type="dxa"/>
            <w:tcBorders>
              <w:top w:val="single" w:sz="4" w:space="0" w:color="000000"/>
              <w:left w:val="single" w:sz="9" w:space="0" w:color="DCDCDC"/>
              <w:bottom w:val="single" w:sz="13" w:space="0" w:color="DCDCDC"/>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-14,102,301.42</w:t>
            </w:r>
          </w:p>
        </w:tc>
        <w:tc>
          <w:tcPr>
            <w:tcW w:w="1584" w:type="dxa"/>
            <w:tcBorders>
              <w:top w:val="single" w:sz="4" w:space="0" w:color="000000"/>
              <w:left w:val="single" w:sz="4" w:space="0" w:color="000000"/>
              <w:bottom w:val="single" w:sz="13" w:space="0" w:color="DCDCDC"/>
              <w:right w:val="single" w:sz="4" w:space="0" w:color="000000"/>
            </w:tcBorders>
          </w:tcPr>
          <w:p>
            <w:pPr/>
          </w:p>
        </w:tc>
        <w:tc>
          <w:tcPr>
            <w:tcW w:w="1565" w:type="dxa"/>
            <w:tcBorders>
              <w:top w:val="single" w:sz="4" w:space="0" w:color="000000"/>
              <w:left w:val="single" w:sz="4" w:space="0" w:color="000000"/>
              <w:bottom w:val="single" w:sz="13" w:space="0" w:color="DCDCDC"/>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16,745,211.07</w:t>
            </w:r>
          </w:p>
        </w:tc>
        <w:tc>
          <w:tcPr>
            <w:tcW w:w="1366" w:type="dxa"/>
            <w:tcBorders>
              <w:top w:val="single" w:sz="4" w:space="0" w:color="000000"/>
              <w:left w:val="single" w:sz="4" w:space="0" w:color="000000"/>
              <w:bottom w:val="single" w:sz="13" w:space="0" w:color="DCDCDC"/>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7"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77" w:type="dxa"/>
            <w:tcBorders>
              <w:top w:val="single" w:sz="13" w:space="0" w:color="DCDCDC"/>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z w:val="18"/>
              </w:rPr>
              <w:t>-0.34</w:t>
            </w:r>
          </w:p>
        </w:tc>
        <w:tc>
          <w:tcPr>
            <w:tcW w:w="1584" w:type="dxa"/>
            <w:tcBorders>
              <w:top w:val="single" w:sz="13" w:space="0" w:color="DCDCDC"/>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-0.42</w:t>
            </w:r>
          </w:p>
        </w:tc>
        <w:tc>
          <w:tcPr>
            <w:tcW w:w="1565" w:type="dxa"/>
            <w:tcBorders>
              <w:top w:val="single" w:sz="13" w:space="0" w:color="DCDCDC"/>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z w:val="18"/>
              </w:rPr>
              <w:t>-0.16</w:t>
            </w:r>
          </w:p>
        </w:tc>
        <w:tc>
          <w:tcPr>
            <w:tcW w:w="1366" w:type="dxa"/>
            <w:tcBorders>
              <w:top w:val="single" w:sz="13" w:space="0" w:color="DCDCDC"/>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z w:val="18"/>
              </w:rPr>
              <w:t>-0.03</w:t>
            </w: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38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z w:val="18"/>
              </w:rPr>
              <w:t>-0.34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-0.42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z w:val="18"/>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z w:val="18"/>
              </w:rPr>
              <w:t>-0.03</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577" w:type="dxa"/>
            <w:tcBorders>
              <w:top w:val="single" w:sz="4" w:space="0" w:color="000000"/>
              <w:left w:val="single" w:sz="9"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236,289.48</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-177,421.15</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-180,174,340.10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-206,954,596.25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-63,623,901.04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-13,058,730.99</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-166,073,175.47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-206,954,596.25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-83,037,947.16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-13,058,730.99</w:t>
            </w:r>
          </w:p>
        </w:tc>
      </w:tr>
      <w:tr>
        <w:trPr>
          <w:trHeight w:val="29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-14,101,164.63</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19,414,046.12</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2" w:footer="955" w:top="1020" w:bottom="1140" w:left="11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3"/>
        <w:ind w:left="4339" w:right="5106"/>
        <w:jc w:val="center"/>
      </w:pPr>
      <w:r>
        <w:rPr/>
        <w:t>现金流量表</w:t>
      </w:r>
    </w:p>
    <w:p>
      <w:pPr>
        <w:spacing w:line="240" w:lineRule="auto" w:before="6"/>
        <w:rPr>
          <w:rFonts w:ascii="宋体" w:hAnsi="宋体" w:cs="宋体" w:eastAsia="宋体" w:hint="default"/>
          <w:sz w:val="23"/>
          <w:szCs w:val="23"/>
        </w:rPr>
      </w:pPr>
    </w:p>
    <w:p>
      <w:pPr>
        <w:pStyle w:val="BodyText"/>
        <w:tabs>
          <w:tab w:pos="4740" w:val="left" w:leader="none"/>
          <w:tab w:pos="7207" w:val="left" w:leader="none"/>
        </w:tabs>
        <w:spacing w:line="240" w:lineRule="auto"/>
        <w:ind w:left="537" w:right="0"/>
        <w:jc w:val="left"/>
      </w:pPr>
      <w:r>
        <w:rPr>
          <w:w w:val="100"/>
        </w:rPr>
        <w:t>编制</w:t>
      </w:r>
      <w:r>
        <w:rPr>
          <w:spacing w:val="-3"/>
          <w:w w:val="100"/>
        </w:rPr>
        <w:t>单</w:t>
      </w:r>
      <w:r>
        <w:rPr>
          <w:w w:val="100"/>
        </w:rPr>
        <w:t>位</w:t>
      </w:r>
      <w:r>
        <w:rPr>
          <w:spacing w:val="-3"/>
          <w:w w:val="100"/>
        </w:rPr>
        <w:t>：</w:t>
      </w:r>
      <w:r>
        <w:rPr>
          <w:w w:val="100"/>
        </w:rPr>
        <w:t>重</w:t>
      </w:r>
      <w:r>
        <w:rPr>
          <w:spacing w:val="-3"/>
          <w:w w:val="100"/>
        </w:rPr>
        <w:t>庆</w:t>
      </w:r>
      <w:r>
        <w:rPr>
          <w:w w:val="100"/>
        </w:rPr>
        <w:t>华</w:t>
      </w:r>
      <w:r>
        <w:rPr>
          <w:spacing w:val="-3"/>
          <w:w w:val="100"/>
        </w:rPr>
        <w:t>智</w:t>
      </w:r>
      <w:r>
        <w:rPr>
          <w:w w:val="100"/>
        </w:rPr>
        <w:t>控</w:t>
      </w:r>
      <w:r>
        <w:rPr>
          <w:spacing w:val="-3"/>
          <w:w w:val="100"/>
        </w:rPr>
        <w:t>股</w:t>
      </w:r>
      <w:r>
        <w:rPr>
          <w:w w:val="100"/>
        </w:rPr>
        <w:t>股份</w:t>
      </w:r>
      <w:r>
        <w:rPr>
          <w:spacing w:val="-3"/>
          <w:w w:val="100"/>
        </w:rPr>
        <w:t>有</w:t>
      </w:r>
      <w:r>
        <w:rPr>
          <w:w w:val="100"/>
        </w:rPr>
        <w:t>限</w:t>
      </w:r>
      <w:r>
        <w:rPr>
          <w:spacing w:val="-3"/>
          <w:w w:val="100"/>
        </w:rPr>
        <w:t>公</w:t>
      </w:r>
      <w:r>
        <w:rPr>
          <w:w w:val="100"/>
        </w:rPr>
        <w:t>司</w:t>
      </w:r>
      <w:r>
        <w:rPr/>
        <w:tab/>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tab/>
      </w:r>
      <w:r>
        <w:rPr>
          <w:spacing w:val="-3"/>
          <w:w w:val="100"/>
        </w:rPr>
        <w:t>单位</w:t>
      </w:r>
      <w:r>
        <w:rPr>
          <w:spacing w:val="-106"/>
          <w:w w:val="100"/>
        </w:rPr>
        <w:t>：</w:t>
      </w:r>
      <w:r>
        <w:rPr>
          <w:w w:val="100"/>
        </w:rPr>
        <w:t>（</w:t>
      </w:r>
      <w:r>
        <w:rPr>
          <w:spacing w:val="-3"/>
          <w:w w:val="100"/>
        </w:rPr>
        <w:t>人</w:t>
      </w:r>
      <w:r>
        <w:rPr>
          <w:w w:val="100"/>
        </w:rPr>
        <w:t>民</w:t>
      </w:r>
      <w:r>
        <w:rPr>
          <w:spacing w:val="-3"/>
          <w:w w:val="100"/>
        </w:rPr>
        <w:t>币</w:t>
      </w:r>
      <w:r>
        <w:rPr>
          <w:w w:val="100"/>
        </w:rPr>
        <w:t>）元</w:t>
      </w:r>
    </w:p>
    <w:p>
      <w:pPr>
        <w:spacing w:line="240" w:lineRule="auto" w:before="2"/>
        <w:rPr>
          <w:rFonts w:ascii="宋体" w:hAnsi="宋体" w:cs="宋体" w:eastAsia="宋体" w:hint="default"/>
          <w:sz w:val="24"/>
          <w:szCs w:val="24"/>
        </w:rPr>
      </w:pPr>
    </w:p>
    <w:p>
      <w:pPr>
        <w:spacing w:before="44"/>
        <w:ind w:left="1564" w:right="0" w:firstLine="0"/>
        <w:jc w:val="left"/>
        <w:rPr>
          <w:rFonts w:ascii="宋体" w:hAnsi="宋体" w:cs="宋体" w:eastAsia="宋体" w:hint="default"/>
          <w:sz w:val="18"/>
          <w:szCs w:val="18"/>
        </w:rPr>
      </w:pPr>
      <w:r>
        <w:rPr/>
        <w:pict>
          <v:shape style="position:absolute;margin-left:66.624001pt;margin-top:-6.908279pt;width:489.1pt;height:607.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5"/>
                    <w:gridCol w:w="1680"/>
                    <w:gridCol w:w="1577"/>
                    <w:gridCol w:w="1681"/>
                    <w:gridCol w:w="1574"/>
                  </w:tblGrid>
                  <w:tr>
                    <w:trPr>
                      <w:trHeight w:val="324" w:hRule="exact"/>
                    </w:trPr>
                    <w:tc>
                      <w:tcPr>
                        <w:tcW w:w="3255"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5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9" w:hRule="exact"/>
                    </w:trPr>
                    <w:tc>
                      <w:tcPr>
                        <w:tcW w:w="32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1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13"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4"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7"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80" w:type="dxa"/>
                        <w:tcBorders>
                          <w:top w:val="single" w:sz="25" w:space="0" w:color="DCDCDC"/>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1,380,606,436.12</w:t>
                        </w:r>
                      </w:p>
                    </w:tc>
                    <w:tc>
                      <w:tcPr>
                        <w:tcW w:w="1577"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959,654.00</w:t>
                        </w:r>
                      </w:p>
                    </w:tc>
                    <w:tc>
                      <w:tcPr>
                        <w:tcW w:w="1681"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1,964,167,111.30</w:t>
                        </w:r>
                      </w:p>
                    </w:tc>
                    <w:tc>
                      <w:tcPr>
                        <w:tcW w:w="1574"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7,315,851.25</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20,008,899.70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18,944,973.02</w:t>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80" w:type="dxa"/>
                        <w:tcBorders>
                          <w:top w:val="single" w:sz="4" w:space="0" w:color="000000"/>
                          <w:left w:val="single" w:sz="10" w:space="0" w:color="DCDCDC"/>
                          <w:bottom w:val="single" w:sz="4" w:space="0" w:color="FFFFFF"/>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403,482,352.86</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229,203,114.61</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515,848,260.09</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698,668,549.99</w:t>
                        </w:r>
                      </w:p>
                    </w:tc>
                  </w:tr>
                  <w:tr>
                    <w:trPr>
                      <w:trHeight w:val="350" w:hRule="exact"/>
                    </w:trPr>
                    <w:tc>
                      <w:tcPr>
                        <w:tcW w:w="3255"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56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80" w:type="dxa"/>
                        <w:tcBorders>
                          <w:top w:val="single" w:sz="4" w:space="0" w:color="FFFFFF"/>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1,804,097,688.68</w:t>
                        </w:r>
                      </w:p>
                    </w:tc>
                    <w:tc>
                      <w:tcPr>
                        <w:tcW w:w="15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230,162,768.61</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2,498,960,344.41</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705,984,401.24</w:t>
                        </w:r>
                      </w:p>
                    </w:tc>
                  </w:tr>
                  <w:tr>
                    <w:trPr>
                      <w:trHeight w:val="34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11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3"/>
                          <w:ind w:right="18"/>
                          <w:jc w:val="right"/>
                          <w:rPr>
                            <w:rFonts w:ascii="宋体" w:hAnsi="宋体" w:cs="宋体" w:eastAsia="宋体" w:hint="default"/>
                            <w:sz w:val="18"/>
                            <w:szCs w:val="18"/>
                          </w:rPr>
                        </w:pPr>
                        <w:r>
                          <w:rPr>
                            <w:rFonts w:ascii="宋体"/>
                            <w:spacing w:val="-1"/>
                            <w:sz w:val="18"/>
                          </w:rPr>
                          <w:t>942,169,563.21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669,512.58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18"/>
                            <w:szCs w:val="18"/>
                          </w:rPr>
                        </w:pPr>
                        <w:r>
                          <w:rPr>
                            <w:rFonts w:ascii="宋体"/>
                            <w:spacing w:val="-1"/>
                            <w:sz w:val="18"/>
                          </w:rPr>
                          <w:t>1,569,777,274.53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4,159,851.73</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386"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680" w:type="dxa"/>
                        <w:tcBorders>
                          <w:top w:val="single" w:sz="4" w:space="0" w:color="000000"/>
                          <w:left w:val="single" w:sz="10"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143,041,387.83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3,282,044.35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141,537,490.67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4,804,735.81</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85,412,334.15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1,296,506.25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101,295,211.90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1,343,965.32</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528,281,110.51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183,669,314.32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606,866,711.66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526,661,316.70</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1,698,904,395.70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188,917,377.50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2,419,476,688.76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536,969,869.56</w:t>
                        </w:r>
                      </w:p>
                    </w:tc>
                  </w:tr>
                  <w:tr>
                    <w:trPr>
                      <w:trHeight w:val="377"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0" w:type="dxa"/>
                        <w:tcBorders>
                          <w:top w:val="single" w:sz="4" w:space="0" w:color="000000"/>
                          <w:left w:val="single" w:sz="10" w:space="0" w:color="DCDCDC"/>
                          <w:bottom w:val="single" w:sz="25" w:space="0" w:color="DCDCDC"/>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105,193,292.98</w:t>
                        </w:r>
                        <w:r>
                          <w:rPr>
                            <w:rFonts w:ascii="宋体"/>
                            <w:sz w:val="18"/>
                          </w:rPr>
                        </w:r>
                      </w:p>
                    </w:tc>
                    <w:tc>
                      <w:tcPr>
                        <w:tcW w:w="1577"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41,245,391.11</w:t>
                        </w:r>
                      </w:p>
                    </w:tc>
                    <w:tc>
                      <w:tcPr>
                        <w:tcW w:w="1681"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79,483,655.65</w:t>
                        </w:r>
                      </w:p>
                    </w:tc>
                    <w:tc>
                      <w:tcPr>
                        <w:tcW w:w="1574"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169,014,531.68</w:t>
                        </w:r>
                      </w:p>
                    </w:tc>
                  </w:tr>
                  <w:tr>
                    <w:trPr>
                      <w:trHeight w:val="29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4"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80" w:type="dxa"/>
                        <w:tcBorders>
                          <w:top w:val="single" w:sz="25" w:space="0" w:color="DCDCDC"/>
                          <w:left w:val="single" w:sz="10"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11,327,234.00</w:t>
                        </w:r>
                      </w:p>
                    </w:tc>
                    <w:tc>
                      <w:tcPr>
                        <w:tcW w:w="1577"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867,234.00</w:t>
                        </w:r>
                      </w:p>
                    </w:tc>
                    <w:tc>
                      <w:tcPr>
                        <w:tcW w:w="1681"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52,000.00</w:t>
                        </w:r>
                      </w:p>
                    </w:tc>
                    <w:tc>
                      <w:tcPr>
                        <w:tcW w:w="1574" w:type="dxa"/>
                        <w:tcBorders>
                          <w:top w:val="single" w:sz="25" w:space="0" w:color="DCDCDC"/>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38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3,150,000.00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5,890,220.41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1,264,220.41</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资产收回的现金净额</w:t>
                        </w:r>
                      </w:p>
                    </w:tc>
                    <w:tc>
                      <w:tcPr>
                        <w:tcW w:w="16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7,983,646.70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6,708,954.01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9,675,258.85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9,162,247.60</w:t>
                        </w:r>
                      </w:p>
                    </w:tc>
                  </w:tr>
                  <w:tr>
                    <w:trPr>
                      <w:trHeight w:val="480" w:hRule="exact"/>
                    </w:trPr>
                    <w:tc>
                      <w:tcPr>
                        <w:tcW w:w="3255"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680" w:type="dxa"/>
                        <w:tcBorders>
                          <w:top w:val="single" w:sz="4" w:space="0" w:color="000000"/>
                          <w:left w:val="single" w:sz="10" w:space="0" w:color="DCDCDC"/>
                          <w:bottom w:val="single" w:sz="4" w:space="0" w:color="FFFFFF"/>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-13,176,383.43</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20,359,057.12</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49,893,259.73</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86,116,000.00</w:t>
                        </w:r>
                      </w:p>
                    </w:tc>
                  </w:tr>
                  <w:tr>
                    <w:trPr>
                      <w:trHeight w:val="350" w:hRule="exact"/>
                    </w:trPr>
                    <w:tc>
                      <w:tcPr>
                        <w:tcW w:w="3255"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80" w:type="dxa"/>
                        <w:tcBorders>
                          <w:top w:val="single" w:sz="4" w:space="0" w:color="FFFFFF"/>
                          <w:left w:val="single" w:sz="10" w:space="0" w:color="DCDCDC"/>
                          <w:bottom w:val="single" w:sz="4" w:space="0" w:color="000000"/>
                          <w:right w:val="single" w:sz="4" w:space="0" w:color="000000"/>
                        </w:tcBorders>
                      </w:tcPr>
                      <w:p>
                        <w:pPr/>
                      </w:p>
                    </w:tc>
                    <w:tc>
                      <w:tcPr>
                        <w:tcW w:w="1577" w:type="dxa"/>
                        <w:tcBorders>
                          <w:top w:val="single" w:sz="4" w:space="0" w:color="FFFFFF"/>
                          <w:left w:val="single" w:sz="4" w:space="0" w:color="000000"/>
                          <w:bottom w:val="single" w:sz="4" w:space="0" w:color="000000"/>
                          <w:right w:val="single" w:sz="4" w:space="0" w:color="000000"/>
                        </w:tcBorders>
                      </w:tcPr>
                      <w:p>
                        <w:pP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54,791,900.00</w:t>
                        </w:r>
                      </w:p>
                    </w:tc>
                    <w:tc>
                      <w:tcPr>
                        <w:tcW w:w="1574" w:type="dxa"/>
                        <w:tcBorders>
                          <w:top w:val="single" w:sz="4" w:space="0" w:color="FFFFFF"/>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项目</w:t>
      </w:r>
    </w:p>
    <w:p>
      <w:pPr>
        <w:spacing w:after="0"/>
        <w:jc w:val="left"/>
        <w:rPr>
          <w:rFonts w:ascii="宋体" w:hAnsi="宋体" w:cs="宋体" w:eastAsia="宋体" w:hint="default"/>
          <w:sz w:val="18"/>
          <w:szCs w:val="18"/>
        </w:rPr>
        <w:sectPr>
          <w:pgSz w:w="11910" w:h="16840"/>
          <w:pgMar w:header="752" w:footer="955" w:top="1020" w:bottom="114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255"/>
        <w:gridCol w:w="1680"/>
        <w:gridCol w:w="1577"/>
        <w:gridCol w:w="1681"/>
        <w:gridCol w:w="1574"/>
      </w:tblGrid>
      <w:tr>
        <w:trPr>
          <w:trHeight w:val="35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9,284,497.27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27,935,245.13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120,302,638.99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96,542,468.01</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资产支付的现金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29,125,420.40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262,841.00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28,489,774.60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4,941,001.97</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6,000,000.00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682,000.00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195,000,000.00</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680" w:type="dxa"/>
            <w:tcBorders>
              <w:top w:val="single" w:sz="4" w:space="0" w:color="000000"/>
              <w:left w:val="single" w:sz="9"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8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680" w:type="dxa"/>
            <w:tcBorders>
              <w:top w:val="single" w:sz="4" w:space="0" w:color="000000"/>
              <w:left w:val="single" w:sz="9"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11,561,000.00</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2,500,000.00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35,625,420.40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6,262,841.00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29,171,774.60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211,502,001.97</w:t>
            </w:r>
          </w:p>
        </w:tc>
      </w:tr>
      <w:tr>
        <w:trPr>
          <w:trHeight w:val="376"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80" w:type="dxa"/>
            <w:tcBorders>
              <w:top w:val="single" w:sz="4" w:space="0" w:color="000000"/>
              <w:left w:val="single" w:sz="9" w:space="0" w:color="DCDCDC"/>
              <w:bottom w:val="single" w:sz="26" w:space="0" w:color="DCDCDC"/>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-26,340,923.13</w:t>
            </w:r>
          </w:p>
        </w:tc>
        <w:tc>
          <w:tcPr>
            <w:tcW w:w="1577"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21,672,404.13</w:t>
            </w:r>
          </w:p>
        </w:tc>
        <w:tc>
          <w:tcPr>
            <w:tcW w:w="1681"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91,130,864.39</w:t>
            </w:r>
          </w:p>
        </w:tc>
        <w:tc>
          <w:tcPr>
            <w:tcW w:w="1574"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-114,959,533.96</w:t>
            </w:r>
          </w:p>
        </w:tc>
      </w:tr>
      <w:tr>
        <w:trPr>
          <w:trHeight w:val="296"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0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7"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80" w:type="dxa"/>
            <w:tcBorders>
              <w:top w:val="single" w:sz="25" w:space="0" w:color="DCDCDC"/>
              <w:left w:val="single" w:sz="9" w:space="0" w:color="DCDCDC"/>
              <w:bottom w:val="single" w:sz="4" w:space="0" w:color="000000"/>
              <w:right w:val="single" w:sz="4" w:space="0" w:color="000000"/>
            </w:tcBorders>
          </w:tcPr>
          <w:p>
            <w:pPr/>
          </w:p>
        </w:tc>
        <w:tc>
          <w:tcPr>
            <w:tcW w:w="1577" w:type="dxa"/>
            <w:tcBorders>
              <w:top w:val="single" w:sz="25" w:space="0" w:color="DCDCDC"/>
              <w:left w:val="single" w:sz="4" w:space="0" w:color="000000"/>
              <w:bottom w:val="single" w:sz="4" w:space="0" w:color="000000"/>
              <w:right w:val="single" w:sz="4" w:space="0" w:color="000000"/>
            </w:tcBorders>
          </w:tcPr>
          <w:p>
            <w:pPr/>
          </w:p>
        </w:tc>
        <w:tc>
          <w:tcPr>
            <w:tcW w:w="1681" w:type="dxa"/>
            <w:tcBorders>
              <w:top w:val="single" w:sz="25" w:space="0" w:color="DCDCDC"/>
              <w:left w:val="single" w:sz="4" w:space="0" w:color="000000"/>
              <w:bottom w:val="single" w:sz="4" w:space="0" w:color="000000"/>
              <w:right w:val="single" w:sz="4" w:space="0" w:color="000000"/>
            </w:tcBorders>
          </w:tcPr>
          <w:p>
            <w:pPr/>
          </w:p>
        </w:tc>
        <w:tc>
          <w:tcPr>
            <w:tcW w:w="1574" w:type="dxa"/>
            <w:tcBorders>
              <w:top w:val="single" w:sz="25" w:space="0" w:color="DCDCDC"/>
              <w:left w:val="single" w:sz="4" w:space="0" w:color="000000"/>
              <w:bottom w:val="single" w:sz="4" w:space="0" w:color="000000"/>
              <w:right w:val="single" w:sz="4" w:space="0" w:color="000000"/>
            </w:tcBorders>
          </w:tcPr>
          <w:p>
            <w:pP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680" w:type="dxa"/>
            <w:tcBorders>
              <w:top w:val="single" w:sz="4" w:space="0" w:color="000000"/>
              <w:left w:val="single" w:sz="9"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405,200,000.00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75,000,000.00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1,034,721,370.85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210,000,000.00</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680" w:type="dxa"/>
            <w:tcBorders>
              <w:top w:val="single" w:sz="4" w:space="0" w:color="000000"/>
              <w:left w:val="single" w:sz="9"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324,227,438.42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99,855,000.00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235,468,164.24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125,896,680.67</w:t>
            </w:r>
          </w:p>
        </w:tc>
      </w:tr>
      <w:tr>
        <w:trPr>
          <w:trHeight w:val="350" w:hRule="exact"/>
        </w:trPr>
        <w:tc>
          <w:tcPr>
            <w:tcW w:w="3255"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56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80" w:type="dxa"/>
            <w:tcBorders>
              <w:top w:val="single" w:sz="4" w:space="0" w:color="000000"/>
              <w:left w:val="single" w:sz="9" w:space="0" w:color="DCDCDC"/>
              <w:bottom w:val="single" w:sz="4" w:space="0" w:color="FFFFFF"/>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729,427,438.42</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174,855,000.00</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1,270,189,535.09</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335,896,680.67</w:t>
            </w:r>
          </w:p>
        </w:tc>
      </w:tr>
      <w:tr>
        <w:trPr>
          <w:trHeight w:val="348" w:hRule="exact"/>
        </w:trPr>
        <w:tc>
          <w:tcPr>
            <w:tcW w:w="3255"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80" w:type="dxa"/>
            <w:tcBorders>
              <w:top w:val="single" w:sz="4" w:space="0" w:color="FFFFFF"/>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614,261,711.15</w:t>
            </w:r>
          </w:p>
        </w:tc>
        <w:tc>
          <w:tcPr>
            <w:tcW w:w="15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181,561,711.15</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1,104,582,801.39</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211,000,000.00</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06"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47,719,401.57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6,710,861.03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89,282,273.55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21,941,320.99</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利、利润</w:t>
            </w:r>
          </w:p>
        </w:tc>
        <w:tc>
          <w:tcPr>
            <w:tcW w:w="1680" w:type="dxa"/>
            <w:tcBorders>
              <w:top w:val="single" w:sz="4" w:space="0" w:color="000000"/>
              <w:left w:val="single" w:sz="9" w:space="0" w:color="DCDCDC"/>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0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227,800,000.00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57,200,000.00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228,505,000.00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158,505,000.00</w:t>
            </w:r>
          </w:p>
        </w:tc>
      </w:tr>
      <w:tr>
        <w:trPr>
          <w:trHeight w:val="351" w:hRule="exact"/>
        </w:trPr>
        <w:tc>
          <w:tcPr>
            <w:tcW w:w="3255"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5"/>
              <w:ind w:left="38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80" w:type="dxa"/>
            <w:tcBorders>
              <w:top w:val="single" w:sz="4" w:space="0" w:color="000000"/>
              <w:left w:val="single" w:sz="9" w:space="0" w:color="DCDCDC"/>
              <w:bottom w:val="single" w:sz="4" w:space="0" w:color="FFFFFF"/>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889,781,112.72</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245,472,572.18</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1,422,370,074.94</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391,446,320.99</w:t>
            </w:r>
          </w:p>
        </w:tc>
      </w:tr>
      <w:tr>
        <w:trPr>
          <w:trHeight w:val="350" w:hRule="exact"/>
        </w:trPr>
        <w:tc>
          <w:tcPr>
            <w:tcW w:w="3255"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80" w:type="dxa"/>
            <w:tcBorders>
              <w:top w:val="single" w:sz="4" w:space="0" w:color="FFFFFF"/>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-160,353,674.30</w:t>
            </w:r>
          </w:p>
        </w:tc>
        <w:tc>
          <w:tcPr>
            <w:tcW w:w="15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-70,617,572.18</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-152,180,539.85</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-55,549,640.32</w:t>
            </w: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-74,056.11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-32,739.83</w:t>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-81,575,360.56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-7,699,776.94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18,401,240.36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-1,494,642.60</w:t>
            </w:r>
          </w:p>
        </w:tc>
      </w:tr>
      <w:tr>
        <w:trPr>
          <w:trHeight w:val="348" w:hRule="exact"/>
        </w:trPr>
        <w:tc>
          <w:tcPr>
            <w:tcW w:w="3255"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80" w:type="dxa"/>
            <w:tcBorders>
              <w:top w:val="single" w:sz="4" w:space="0" w:color="000000"/>
              <w:left w:val="single" w:sz="9" w:space="0" w:color="DCDCDC"/>
              <w:bottom w:val="single" w:sz="4" w:space="0" w:color="FFFFFF"/>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272,602,442.88</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11,152,729.83</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254,201,202.52</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12,647,372.43</w:t>
            </w:r>
          </w:p>
        </w:tc>
      </w:tr>
      <w:tr>
        <w:trPr>
          <w:trHeight w:val="350" w:hRule="exact"/>
        </w:trPr>
        <w:tc>
          <w:tcPr>
            <w:tcW w:w="3255"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680" w:type="dxa"/>
            <w:tcBorders>
              <w:top w:val="single" w:sz="4" w:space="0" w:color="FFFFFF"/>
              <w:left w:val="single" w:sz="9" w:space="0" w:color="DCDCDC"/>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191,027,082.32</w:t>
            </w:r>
          </w:p>
        </w:tc>
        <w:tc>
          <w:tcPr>
            <w:tcW w:w="15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3,452,952.89</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272,602,442.88</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11,152,729.83</w:t>
            </w:r>
          </w:p>
        </w:tc>
      </w:tr>
    </w:tbl>
    <w:p>
      <w:pPr>
        <w:spacing w:after="0" w:line="240" w:lineRule="auto"/>
        <w:jc w:val="right"/>
        <w:rPr>
          <w:rFonts w:ascii="宋体" w:hAnsi="宋体" w:cs="宋体" w:eastAsia="宋体" w:hint="default"/>
          <w:sz w:val="18"/>
          <w:szCs w:val="18"/>
        </w:rPr>
        <w:sectPr>
          <w:pgSz w:w="11910" w:h="16840"/>
          <w:pgMar w:header="752" w:footer="955" w:top="1020" w:bottom="1140" w:left="760" w:right="0"/>
        </w:sectPr>
      </w:pPr>
    </w:p>
    <w:p>
      <w:pPr>
        <w:spacing w:line="240" w:lineRule="auto" w:before="8"/>
        <w:rPr>
          <w:rFonts w:ascii="Times New Roman" w:hAnsi="Times New Roman" w:cs="Times New Roman" w:eastAsia="Times New Roman" w:hint="default"/>
          <w:sz w:val="18"/>
          <w:szCs w:val="18"/>
        </w:rPr>
      </w:pPr>
    </w:p>
    <w:p>
      <w:pPr>
        <w:pStyle w:val="Heading3"/>
        <w:spacing w:line="240" w:lineRule="auto" w:before="26"/>
        <w:ind w:left="6159" w:right="7079"/>
        <w:jc w:val="center"/>
      </w:pPr>
      <w:r>
        <w:rPr/>
        <w:t>合并所有者权益变动表</w:t>
      </w:r>
    </w:p>
    <w:p>
      <w:pPr>
        <w:pStyle w:val="BodyText"/>
        <w:tabs>
          <w:tab w:pos="7041" w:val="left" w:leader="none"/>
          <w:tab w:pos="12341" w:val="left" w:leader="none"/>
        </w:tabs>
        <w:spacing w:line="240" w:lineRule="auto" w:before="124"/>
        <w:ind w:left="212" w:right="0"/>
        <w:jc w:val="left"/>
      </w:pPr>
      <w:r>
        <w:rPr>
          <w:w w:val="100"/>
        </w:rPr>
        <w:t>编制</w:t>
      </w:r>
      <w:r>
        <w:rPr>
          <w:spacing w:val="-3"/>
          <w:w w:val="100"/>
        </w:rPr>
        <w:t>单</w:t>
      </w:r>
      <w:r>
        <w:rPr>
          <w:w w:val="100"/>
        </w:rPr>
        <w:t>位</w:t>
      </w:r>
      <w:r>
        <w:rPr>
          <w:spacing w:val="-3"/>
          <w:w w:val="100"/>
        </w:rPr>
        <w:t>：</w:t>
      </w:r>
      <w:r>
        <w:rPr>
          <w:w w:val="100"/>
        </w:rPr>
        <w:t>重</w:t>
      </w:r>
      <w:r>
        <w:rPr>
          <w:spacing w:val="-3"/>
          <w:w w:val="100"/>
        </w:rPr>
        <w:t>庆</w:t>
      </w:r>
      <w:r>
        <w:rPr>
          <w:w w:val="100"/>
        </w:rPr>
        <w:t>华</w:t>
      </w:r>
      <w:r>
        <w:rPr>
          <w:spacing w:val="-3"/>
          <w:w w:val="100"/>
        </w:rPr>
        <w:t>智</w:t>
      </w:r>
      <w:r>
        <w:rPr>
          <w:w w:val="100"/>
        </w:rPr>
        <w:t>控</w:t>
      </w:r>
      <w:r>
        <w:rPr>
          <w:spacing w:val="-3"/>
          <w:w w:val="100"/>
        </w:rPr>
        <w:t>股</w:t>
      </w:r>
      <w:r>
        <w:rPr>
          <w:w w:val="100"/>
        </w:rPr>
        <w:t>股份</w:t>
      </w:r>
      <w:r>
        <w:rPr>
          <w:spacing w:val="-3"/>
          <w:w w:val="100"/>
        </w:rPr>
        <w:t>有</w:t>
      </w:r>
      <w:r>
        <w:rPr>
          <w:w w:val="100"/>
        </w:rPr>
        <w:t>限</w:t>
      </w:r>
      <w:r>
        <w:rPr>
          <w:spacing w:val="-3"/>
          <w:w w:val="100"/>
        </w:rPr>
        <w:t>公</w:t>
      </w:r>
      <w:r>
        <w:rPr>
          <w:w w:val="100"/>
        </w:rPr>
        <w:t>司</w:t>
      </w:r>
      <w:r>
        <w:rPr/>
        <w:tab/>
      </w:r>
      <w:r>
        <w:rPr>
          <w:rFonts w:ascii="宋体" w:hAnsi="宋体" w:cs="宋体" w:eastAsia="宋体" w:hint="default"/>
          <w:w w:val="100"/>
        </w:rPr>
        <w:t>2</w:t>
      </w:r>
      <w:r>
        <w:rPr>
          <w:rFonts w:ascii="宋体" w:hAnsi="宋体" w:cs="宋体" w:eastAsia="宋体" w:hint="default"/>
          <w:spacing w:val="-3"/>
          <w:w w:val="100"/>
        </w:rPr>
        <w:t>01</w:t>
      </w:r>
      <w:r>
        <w:rPr>
          <w:rFonts w:ascii="宋体" w:hAnsi="宋体" w:cs="宋体" w:eastAsia="宋体" w:hint="default"/>
          <w:w w:val="100"/>
        </w:rPr>
        <w:t>0</w:t>
      </w:r>
      <w:r>
        <w:rPr>
          <w:rFonts w:ascii="宋体" w:hAnsi="宋体" w:cs="宋体" w:eastAsia="宋体" w:hint="default"/>
          <w:spacing w:val="-53"/>
        </w:rPr>
        <w:t> </w:t>
      </w:r>
      <w:r>
        <w:rPr>
          <w:w w:val="100"/>
        </w:rPr>
        <w:t>年度</w:t>
      </w:r>
      <w:r>
        <w:rPr/>
        <w:tab/>
      </w:r>
      <w:r>
        <w:rPr>
          <w:w w:val="100"/>
        </w:rPr>
        <w:t>单</w:t>
      </w:r>
      <w:r>
        <w:rPr>
          <w:spacing w:val="-3"/>
          <w:w w:val="100"/>
        </w:rPr>
        <w:t>位</w:t>
      </w:r>
      <w:r>
        <w:rPr>
          <w:spacing w:val="-106"/>
          <w:w w:val="100"/>
        </w:rPr>
        <w:t>：</w:t>
      </w:r>
      <w:r>
        <w:rPr>
          <w:spacing w:val="-3"/>
          <w:w w:val="100"/>
        </w:rPr>
        <w:t>（</w:t>
      </w:r>
      <w:r>
        <w:rPr>
          <w:w w:val="100"/>
        </w:rPr>
        <w:t>人</w:t>
      </w:r>
      <w:r>
        <w:rPr>
          <w:spacing w:val="-3"/>
          <w:w w:val="100"/>
        </w:rPr>
        <w:t>民</w:t>
      </w:r>
      <w:r>
        <w:rPr>
          <w:w w:val="100"/>
        </w:rPr>
        <w:t>币</w:t>
      </w:r>
      <w:r>
        <w:rPr>
          <w:spacing w:val="-3"/>
          <w:w w:val="100"/>
        </w:rPr>
        <w:t>）</w:t>
      </w:r>
      <w:r>
        <w:rPr>
          <w:w w:val="100"/>
        </w:rPr>
        <w:t>元</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3863"/>
        <w:gridCol w:w="1377"/>
        <w:gridCol w:w="1366"/>
        <w:gridCol w:w="523"/>
        <w:gridCol w:w="526"/>
        <w:gridCol w:w="1260"/>
        <w:gridCol w:w="631"/>
        <w:gridCol w:w="1469"/>
        <w:gridCol w:w="1052"/>
        <w:gridCol w:w="1469"/>
        <w:gridCol w:w="1471"/>
      </w:tblGrid>
      <w:tr>
        <w:trPr>
          <w:trHeight w:val="316" w:hRule="exact"/>
        </w:trPr>
        <w:tc>
          <w:tcPr>
            <w:tcW w:w="3863" w:type="dxa"/>
            <w:vMerge w:val="restart"/>
            <w:tcBorders>
              <w:top w:val="single" w:sz="4" w:space="0" w:color="000000"/>
              <w:left w:val="single" w:sz="4" w:space="0" w:color="000000"/>
              <w:right w:val="single" w:sz="4" w:space="0" w:color="000000"/>
            </w:tcBorders>
            <w:shd w:val="clear" w:color="auto" w:fill="DCDCDC"/>
          </w:tcPr>
          <w:p>
            <w:pPr/>
          </w:p>
        </w:tc>
        <w:tc>
          <w:tcPr>
            <w:tcW w:w="11144"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74" w:hRule="exact"/>
        </w:trPr>
        <w:tc>
          <w:tcPr>
            <w:tcW w:w="3863" w:type="dxa"/>
            <w:vMerge/>
            <w:tcBorders>
              <w:left w:val="single" w:sz="4" w:space="0" w:color="000000"/>
              <w:bottom w:val="nil" w:sz="6" w:space="0" w:color="auto"/>
              <w:right w:val="single" w:sz="4" w:space="0" w:color="000000"/>
            </w:tcBorders>
            <w:shd w:val="clear" w:color="auto" w:fill="DCDCDC"/>
          </w:tcPr>
          <w:p>
            <w:pPr/>
          </w:p>
        </w:tc>
        <w:tc>
          <w:tcPr>
            <w:tcW w:w="8204"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69" w:type="dxa"/>
            <w:vMerge w:val="restart"/>
            <w:tcBorders>
              <w:top w:val="single" w:sz="4" w:space="0" w:color="000000"/>
              <w:left w:val="single" w:sz="4" w:space="0" w:color="000000"/>
              <w:right w:val="single" w:sz="4" w:space="0" w:color="000000"/>
            </w:tcBorders>
            <w:shd w:val="clear" w:color="auto" w:fill="DCDCDC"/>
          </w:tcPr>
          <w:p>
            <w:pPr/>
          </w:p>
        </w:tc>
        <w:tc>
          <w:tcPr>
            <w:tcW w:w="1471" w:type="dxa"/>
            <w:vMerge w:val="restart"/>
            <w:tcBorders>
              <w:top w:val="single" w:sz="4" w:space="0" w:color="000000"/>
              <w:left w:val="single" w:sz="4" w:space="0" w:color="000000"/>
              <w:right w:val="single" w:sz="4" w:space="0" w:color="000000"/>
            </w:tcBorders>
            <w:shd w:val="clear" w:color="auto" w:fill="DCDCDC"/>
          </w:tcPr>
          <w:p>
            <w:pPr/>
          </w:p>
        </w:tc>
      </w:tr>
      <w:tr>
        <w:trPr>
          <w:trHeight w:val="164" w:hRule="exact"/>
        </w:trPr>
        <w:tc>
          <w:tcPr>
            <w:tcW w:w="38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204" w:type="dxa"/>
            <w:gridSpan w:val="8"/>
            <w:vMerge/>
            <w:tcBorders>
              <w:left w:val="single" w:sz="4" w:space="0" w:color="000000"/>
              <w:bottom w:val="single" w:sz="4" w:space="0" w:color="000000"/>
              <w:right w:val="single" w:sz="4" w:space="0" w:color="000000"/>
            </w:tcBorders>
            <w:shd w:val="clear" w:color="auto" w:fill="DCDCDC"/>
          </w:tcPr>
          <w:p>
            <w:pPr/>
          </w:p>
        </w:tc>
        <w:tc>
          <w:tcPr>
            <w:tcW w:w="1469" w:type="dxa"/>
            <w:vMerge/>
            <w:tcBorders>
              <w:left w:val="single" w:sz="4" w:space="0" w:color="000000"/>
              <w:bottom w:val="nil" w:sz="6" w:space="0" w:color="auto"/>
              <w:right w:val="single" w:sz="4" w:space="0" w:color="000000"/>
            </w:tcBorders>
            <w:shd w:val="clear" w:color="auto" w:fill="DCDCDC"/>
          </w:tcPr>
          <w:p>
            <w:pPr/>
          </w:p>
        </w:tc>
        <w:tc>
          <w:tcPr>
            <w:tcW w:w="1471" w:type="dxa"/>
            <w:vMerge/>
            <w:tcBorders>
              <w:left w:val="single" w:sz="4" w:space="0" w:color="000000"/>
              <w:bottom w:val="nil" w:sz="6" w:space="0" w:color="auto"/>
              <w:right w:val="single" w:sz="4" w:space="0" w:color="000000"/>
            </w:tcBorders>
            <w:shd w:val="clear" w:color="auto" w:fill="DCDCDC"/>
          </w:tcPr>
          <w:p>
            <w:pPr/>
          </w:p>
        </w:tc>
      </w:tr>
      <w:tr>
        <w:trPr>
          <w:trHeight w:val="175" w:hRule="exact"/>
        </w:trPr>
        <w:tc>
          <w:tcPr>
            <w:tcW w:w="3863" w:type="dxa"/>
            <w:vMerge w:val="restart"/>
            <w:tcBorders>
              <w:top w:val="nil" w:sz="6" w:space="0" w:color="auto"/>
              <w:left w:val="single" w:sz="4" w:space="0" w:color="000000"/>
              <w:right w:val="single" w:sz="4" w:space="0" w:color="000000"/>
            </w:tcBorders>
            <w:shd w:val="clear" w:color="auto" w:fill="DCDCDC"/>
          </w:tcPr>
          <w:p>
            <w:pPr/>
          </w:p>
        </w:tc>
        <w:tc>
          <w:tcPr>
            <w:tcW w:w="1377"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24"/>
              <w:ind w:left="32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4" w:lineRule="exact"/>
              <w:ind w:left="23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523"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9"/>
              <w:ind w:left="76" w:right="19" w:hanging="53"/>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z w:val="18"/>
                <w:szCs w:val="18"/>
              </w:rPr>
              <w:t> 存股</w:t>
            </w:r>
          </w:p>
        </w:tc>
        <w:tc>
          <w:tcPr>
            <w:tcW w:w="526"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9"/>
              <w:ind w:left="76" w:right="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63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9"/>
              <w:ind w:left="40" w:right="3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18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3" w:hRule="exact"/>
        </w:trPr>
        <w:tc>
          <w:tcPr>
            <w:tcW w:w="3863" w:type="dxa"/>
            <w:vMerge/>
            <w:tcBorders>
              <w:left w:val="single" w:sz="4" w:space="0" w:color="000000"/>
              <w:right w:val="single" w:sz="4" w:space="0" w:color="000000"/>
            </w:tcBorders>
            <w:shd w:val="clear" w:color="auto" w:fill="DCDCDC"/>
          </w:tcPr>
          <w:p>
            <w:pPr/>
          </w:p>
        </w:tc>
        <w:tc>
          <w:tcPr>
            <w:tcW w:w="1377" w:type="dxa"/>
            <w:vMerge/>
            <w:tcBorders>
              <w:left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23"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631" w:type="dxa"/>
            <w:vMerge/>
            <w:tcBorders>
              <w:left w:val="single" w:sz="4" w:space="0" w:color="000000"/>
              <w:right w:val="single" w:sz="4" w:space="0" w:color="000000"/>
            </w:tcBorders>
            <w:shd w:val="clear" w:color="auto" w:fill="DCDCDC"/>
          </w:tcPr>
          <w:p>
            <w:pPr/>
          </w:p>
        </w:tc>
        <w:tc>
          <w:tcPr>
            <w:tcW w:w="14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73"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73"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vMerge w:val="restart"/>
            <w:tcBorders>
              <w:top w:val="nil" w:sz="6" w:space="0" w:color="auto"/>
              <w:left w:val="single" w:sz="4" w:space="0" w:color="000000"/>
              <w:right w:val="single" w:sz="4" w:space="0" w:color="000000"/>
            </w:tcBorders>
            <w:shd w:val="clear" w:color="auto" w:fill="DCDCDC"/>
          </w:tcPr>
          <w:p>
            <w:pPr/>
          </w:p>
        </w:tc>
        <w:tc>
          <w:tcPr>
            <w:tcW w:w="1471" w:type="dxa"/>
            <w:vMerge w:val="restart"/>
            <w:tcBorders>
              <w:top w:val="nil" w:sz="6" w:space="0" w:color="auto"/>
              <w:left w:val="single" w:sz="4" w:space="0" w:color="000000"/>
              <w:right w:val="single" w:sz="4" w:space="0" w:color="000000"/>
            </w:tcBorders>
            <w:shd w:val="clear" w:color="auto" w:fill="DCDCDC"/>
          </w:tcPr>
          <w:p>
            <w:pPr/>
          </w:p>
        </w:tc>
      </w:tr>
      <w:tr>
        <w:trPr>
          <w:trHeight w:val="173" w:hRule="exact"/>
        </w:trPr>
        <w:tc>
          <w:tcPr>
            <w:tcW w:w="3863" w:type="dxa"/>
            <w:vMerge/>
            <w:tcBorders>
              <w:left w:val="single" w:sz="4" w:space="0" w:color="000000"/>
              <w:bottom w:val="single" w:sz="4" w:space="0" w:color="000000"/>
              <w:right w:val="single" w:sz="4" w:space="0" w:color="000000"/>
            </w:tcBorders>
            <w:shd w:val="clear" w:color="auto" w:fill="DCDCDC"/>
          </w:tcPr>
          <w:p>
            <w:pPr/>
          </w:p>
        </w:tc>
        <w:tc>
          <w:tcPr>
            <w:tcW w:w="1377" w:type="dxa"/>
            <w:vMerge/>
            <w:tcBorders>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523" w:type="dxa"/>
            <w:vMerge/>
            <w:tcBorders>
              <w:left w:val="single" w:sz="4" w:space="0" w:color="000000"/>
              <w:bottom w:val="single" w:sz="4" w:space="0" w:color="000000"/>
              <w:right w:val="single" w:sz="4" w:space="0" w:color="000000"/>
            </w:tcBorders>
            <w:shd w:val="clear" w:color="auto" w:fill="DCDCDC"/>
          </w:tcPr>
          <w:p>
            <w:pPr/>
          </w:p>
        </w:tc>
        <w:tc>
          <w:tcPr>
            <w:tcW w:w="526"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631" w:type="dxa"/>
            <w:vMerge/>
            <w:tcBorders>
              <w:left w:val="single" w:sz="4" w:space="0" w:color="000000"/>
              <w:bottom w:val="single" w:sz="4" w:space="0" w:color="000000"/>
              <w:right w:val="single" w:sz="4" w:space="0" w:color="000000"/>
            </w:tcBorders>
            <w:shd w:val="clear" w:color="auto" w:fill="DCDCDC"/>
          </w:tcPr>
          <w:p>
            <w:pPr/>
          </w:p>
        </w:tc>
        <w:tc>
          <w:tcPr>
            <w:tcW w:w="14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9" w:type="dxa"/>
            <w:vMerge/>
            <w:tcBorders>
              <w:left w:val="single" w:sz="4" w:space="0" w:color="000000"/>
              <w:bottom w:val="single" w:sz="4" w:space="0" w:color="000000"/>
              <w:right w:val="single" w:sz="4" w:space="0" w:color="000000"/>
            </w:tcBorders>
            <w:shd w:val="clear" w:color="auto" w:fill="DCDCDC"/>
          </w:tcPr>
          <w:p>
            <w:pPr/>
          </w:p>
        </w:tc>
        <w:tc>
          <w:tcPr>
            <w:tcW w:w="1471" w:type="dxa"/>
            <w:vMerge/>
            <w:tcBorders>
              <w:left w:val="single" w:sz="4" w:space="0" w:color="000000"/>
              <w:bottom w:val="single" w:sz="4" w:space="0" w:color="000000"/>
              <w:right w:val="single" w:sz="4" w:space="0" w:color="000000"/>
            </w:tcBorders>
            <w:shd w:val="clear" w:color="auto" w:fill="DCDCDC"/>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7" w:type="dxa"/>
            <w:tcBorders>
              <w:top w:val="single" w:sz="20" w:space="0" w:color="DCDCDC"/>
              <w:left w:val="single" w:sz="9" w:space="0" w:color="DCDCDC"/>
              <w:bottom w:val="single" w:sz="4" w:space="0" w:color="000000"/>
              <w:right w:val="single" w:sz="4" w:space="0" w:color="000000"/>
            </w:tcBorders>
          </w:tcPr>
          <w:p>
            <w:pPr>
              <w:pStyle w:val="TableParagraph"/>
              <w:spacing w:line="192"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36" w:right="0"/>
              <w:jc w:val="center"/>
              <w:rPr>
                <w:rFonts w:ascii="宋体" w:hAnsi="宋体" w:cs="宋体" w:eastAsia="宋体" w:hint="default"/>
                <w:sz w:val="18"/>
                <w:szCs w:val="18"/>
              </w:rPr>
            </w:pPr>
            <w:r>
              <w:rPr>
                <w:rFonts w:ascii="宋体"/>
                <w:sz w:val="18"/>
              </w:rPr>
              <w:t>30,614,641.22</w:t>
            </w:r>
          </w:p>
        </w:tc>
        <w:tc>
          <w:tcPr>
            <w:tcW w:w="523" w:type="dxa"/>
            <w:tcBorders>
              <w:top w:val="single" w:sz="20" w:space="0" w:color="DCDCDC"/>
              <w:left w:val="single" w:sz="4" w:space="0" w:color="000000"/>
              <w:bottom w:val="single" w:sz="4" w:space="0" w:color="000000"/>
              <w:right w:val="single" w:sz="4" w:space="0" w:color="000000"/>
            </w:tcBorders>
          </w:tcPr>
          <w:p>
            <w:pPr/>
          </w:p>
        </w:tc>
        <w:tc>
          <w:tcPr>
            <w:tcW w:w="526" w:type="dxa"/>
            <w:tcBorders>
              <w:top w:val="single" w:sz="20"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5" w:right="0"/>
              <w:jc w:val="center"/>
              <w:rPr>
                <w:rFonts w:ascii="宋体" w:hAnsi="宋体" w:cs="宋体" w:eastAsia="宋体" w:hint="default"/>
                <w:sz w:val="18"/>
                <w:szCs w:val="18"/>
              </w:rPr>
            </w:pPr>
            <w:r>
              <w:rPr>
                <w:rFonts w:ascii="宋体"/>
                <w:sz w:val="18"/>
              </w:rPr>
              <w:t>40,657,199.52</w:t>
            </w:r>
          </w:p>
        </w:tc>
        <w:tc>
          <w:tcPr>
            <w:tcW w:w="631" w:type="dxa"/>
            <w:tcBorders>
              <w:top w:val="single" w:sz="20" w:space="0" w:color="DCDCDC"/>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-68,125,440.16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2"/>
              <w:jc w:val="right"/>
              <w:rPr>
                <w:rFonts w:ascii="宋体" w:hAnsi="宋体" w:cs="宋体" w:eastAsia="宋体" w:hint="default"/>
                <w:sz w:val="18"/>
                <w:szCs w:val="18"/>
              </w:rPr>
            </w:pPr>
            <w:r>
              <w:rPr>
                <w:rFonts w:ascii="宋体"/>
                <w:spacing w:val="-1"/>
                <w:sz w:val="18"/>
              </w:rPr>
              <w:t>-235,152.69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285,247,265.40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775,890,508.29</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5,109,117.24</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81"/>
              <w:jc w:val="right"/>
              <w:rPr>
                <w:rFonts w:ascii="宋体" w:hAnsi="宋体" w:cs="宋体" w:eastAsia="宋体" w:hint="default"/>
                <w:sz w:val="18"/>
                <w:szCs w:val="18"/>
              </w:rPr>
            </w:pPr>
            <w:r>
              <w:rPr>
                <w:rFonts w:ascii="宋体"/>
                <w:spacing w:val="-1"/>
                <w:sz w:val="18"/>
              </w:rPr>
              <w:t>-5,109,117.24</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77" w:type="dxa"/>
            <w:tcBorders>
              <w:top w:val="single" w:sz="4" w:space="0" w:color="000000"/>
              <w:left w:val="single" w:sz="9" w:space="0" w:color="DCDCDC"/>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6" w:right="0"/>
              <w:jc w:val="center"/>
              <w:rPr>
                <w:rFonts w:ascii="宋体" w:hAnsi="宋体" w:cs="宋体" w:eastAsia="宋体" w:hint="default"/>
                <w:sz w:val="18"/>
                <w:szCs w:val="18"/>
              </w:rPr>
            </w:pPr>
            <w:r>
              <w:rPr>
                <w:rFonts w:ascii="宋体"/>
                <w:sz w:val="18"/>
              </w:rPr>
              <w:t>30,614,641.22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40,657,199.52</w:t>
            </w: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8"/>
              <w:jc w:val="right"/>
              <w:rPr>
                <w:rFonts w:ascii="宋体" w:hAnsi="宋体" w:cs="宋体" w:eastAsia="宋体" w:hint="default"/>
                <w:sz w:val="18"/>
                <w:szCs w:val="18"/>
              </w:rPr>
            </w:pPr>
            <w:r>
              <w:rPr>
                <w:rFonts w:ascii="宋体"/>
                <w:spacing w:val="-1"/>
                <w:sz w:val="18"/>
              </w:rPr>
              <w:t>-63,016,322.92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-235,152.69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280,138,148.16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pacing w:val="-1"/>
                <w:sz w:val="18"/>
              </w:rPr>
              <w:t>775,890,508.29</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45"/>
              <w:jc w:val="center"/>
              <w:rPr>
                <w:rFonts w:ascii="宋体" w:hAnsi="宋体" w:cs="宋体" w:eastAsia="宋体" w:hint="default"/>
                <w:sz w:val="18"/>
                <w:szCs w:val="18"/>
              </w:rPr>
            </w:pPr>
            <w:r>
              <w:rPr>
                <w:rFonts w:ascii="宋体"/>
                <w:sz w:val="18"/>
              </w:rPr>
              <w:t>-19,669,636.42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-166,335,929.69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2"/>
              <w:jc w:val="right"/>
              <w:rPr>
                <w:rFonts w:ascii="宋体" w:hAnsi="宋体" w:cs="宋体" w:eastAsia="宋体" w:hint="default"/>
                <w:sz w:val="18"/>
                <w:szCs w:val="18"/>
              </w:rPr>
            </w:pPr>
            <w:r>
              <w:rPr>
                <w:rFonts w:ascii="宋体"/>
                <w:spacing w:val="-1"/>
                <w:sz w:val="18"/>
              </w:rPr>
              <w:t>235,152.69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-151,234,180.50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-337,004,593.92</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-166,308,328.16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-14,102,301.42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-180,410,629.58</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235,152.69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1,136.79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236,289.48</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-166,308,328.16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235,152.69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-14,101,164.63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pacing w:val="-1"/>
                <w:sz w:val="18"/>
              </w:rPr>
              <w:t>-180,174,340.10</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45"/>
              <w:jc w:val="center"/>
              <w:rPr>
                <w:rFonts w:ascii="宋体" w:hAnsi="宋体" w:cs="宋体" w:eastAsia="宋体" w:hint="default"/>
                <w:sz w:val="18"/>
                <w:szCs w:val="18"/>
              </w:rPr>
            </w:pPr>
            <w:r>
              <w:rPr>
                <w:rFonts w:ascii="宋体"/>
                <w:sz w:val="18"/>
              </w:rPr>
              <w:t>-19,669,636.42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-119,249,753.19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-138,919,389.61</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9,669,980.85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9,669,980.85</w:t>
            </w: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45"/>
              <w:jc w:val="center"/>
              <w:rPr>
                <w:rFonts w:ascii="宋体" w:hAnsi="宋体" w:cs="宋体" w:eastAsia="宋体" w:hint="default"/>
                <w:sz w:val="18"/>
                <w:szCs w:val="18"/>
              </w:rPr>
            </w:pPr>
            <w:r>
              <w:rPr>
                <w:rFonts w:ascii="宋体"/>
                <w:sz w:val="18"/>
              </w:rPr>
              <w:t>-19,669,636.42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-128,919,734.04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-148,589,370.46</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-27,601.53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-17,883,262.68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-17,910,864.21</w:t>
            </w: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-17,883,262.68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-17,883,262.68</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-27,601.53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-27,601.53</w:t>
            </w: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7" w:type="dxa"/>
            <w:tcBorders>
              <w:top w:val="single" w:sz="4" w:space="0" w:color="000000"/>
              <w:left w:val="single" w:sz="9" w:space="0" w:color="DCDCDC"/>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7" w:right="0"/>
              <w:jc w:val="center"/>
              <w:rPr>
                <w:rFonts w:ascii="宋体" w:hAnsi="宋体" w:cs="宋体" w:eastAsia="宋体" w:hint="default"/>
                <w:sz w:val="18"/>
                <w:szCs w:val="18"/>
              </w:rPr>
            </w:pPr>
            <w:r>
              <w:rPr>
                <w:rFonts w:ascii="宋体"/>
                <w:sz w:val="18"/>
              </w:rPr>
              <w:t>10,945,004.80</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40,657,199.52</w:t>
            </w:r>
          </w:p>
        </w:tc>
        <w:tc>
          <w:tcPr>
            <w:tcW w:w="6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-229,352,252.61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128,903,967.66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pacing w:val="-1"/>
                <w:sz w:val="18"/>
              </w:rPr>
              <w:t>438,885,914.37</w:t>
            </w:r>
          </w:p>
        </w:tc>
      </w:tr>
    </w:tbl>
    <w:p>
      <w:pPr>
        <w:spacing w:after="0" w:line="210" w:lineRule="exact"/>
        <w:jc w:val="right"/>
        <w:rPr>
          <w:rFonts w:ascii="宋体" w:hAnsi="宋体" w:cs="宋体" w:eastAsia="宋体" w:hint="default"/>
          <w:sz w:val="18"/>
          <w:szCs w:val="18"/>
        </w:rPr>
        <w:sectPr>
          <w:headerReference w:type="default" r:id="rId22"/>
          <w:headerReference w:type="even" r:id="rId23"/>
          <w:footerReference w:type="default" r:id="rId24"/>
          <w:footerReference w:type="even" r:id="rId25"/>
          <w:pgSz w:w="16840" w:h="11910" w:orient="landscape"/>
          <w:pgMar w:header="884" w:footer="977" w:top="1140" w:bottom="1160" w:left="920" w:right="0"/>
          <w:pgNumType w:start="45"/>
        </w:sectPr>
      </w:pPr>
    </w:p>
    <w:p>
      <w:pPr>
        <w:spacing w:line="240" w:lineRule="auto" w:before="1"/>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3863"/>
        <w:gridCol w:w="1377"/>
        <w:gridCol w:w="1366"/>
        <w:gridCol w:w="523"/>
        <w:gridCol w:w="526"/>
        <w:gridCol w:w="1260"/>
        <w:gridCol w:w="720"/>
        <w:gridCol w:w="1337"/>
        <w:gridCol w:w="1081"/>
        <w:gridCol w:w="1378"/>
        <w:gridCol w:w="1577"/>
      </w:tblGrid>
      <w:tr>
        <w:trPr>
          <w:trHeight w:val="401" w:hRule="exact"/>
        </w:trPr>
        <w:tc>
          <w:tcPr>
            <w:tcW w:w="3863" w:type="dxa"/>
            <w:vMerge w:val="restart"/>
            <w:tcBorders>
              <w:top w:val="single" w:sz="4" w:space="0" w:color="000000"/>
              <w:left w:val="single" w:sz="4" w:space="0" w:color="000000"/>
              <w:right w:val="single" w:sz="4" w:space="0" w:color="000000"/>
            </w:tcBorders>
            <w:shd w:val="clear" w:color="auto" w:fill="DCDCDC"/>
          </w:tcPr>
          <w:p>
            <w:pPr/>
          </w:p>
        </w:tc>
        <w:tc>
          <w:tcPr>
            <w:tcW w:w="11144"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80" w:hRule="exact"/>
        </w:trPr>
        <w:tc>
          <w:tcPr>
            <w:tcW w:w="3863" w:type="dxa"/>
            <w:vMerge/>
            <w:tcBorders>
              <w:left w:val="single" w:sz="4" w:space="0" w:color="000000"/>
              <w:bottom w:val="nil" w:sz="6" w:space="0" w:color="auto"/>
              <w:right w:val="single" w:sz="4" w:space="0" w:color="000000"/>
            </w:tcBorders>
            <w:shd w:val="clear" w:color="auto" w:fill="DCDCDC"/>
          </w:tcPr>
          <w:p>
            <w:pPr/>
          </w:p>
        </w:tc>
        <w:tc>
          <w:tcPr>
            <w:tcW w:w="8189"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5"/>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78" w:type="dxa"/>
            <w:vMerge w:val="restart"/>
            <w:tcBorders>
              <w:top w:val="single" w:sz="4" w:space="0" w:color="000000"/>
              <w:left w:val="single" w:sz="4" w:space="0" w:color="000000"/>
              <w:right w:val="single" w:sz="4" w:space="0" w:color="000000"/>
            </w:tcBorders>
            <w:shd w:val="clear" w:color="auto" w:fill="DCDCDC"/>
          </w:tcPr>
          <w:p>
            <w:pPr/>
          </w:p>
        </w:tc>
        <w:tc>
          <w:tcPr>
            <w:tcW w:w="1577" w:type="dxa"/>
            <w:vMerge w:val="restart"/>
            <w:tcBorders>
              <w:top w:val="single" w:sz="4" w:space="0" w:color="000000"/>
              <w:left w:val="single" w:sz="4" w:space="0" w:color="000000"/>
              <w:right w:val="single" w:sz="4" w:space="0" w:color="000000"/>
            </w:tcBorders>
            <w:shd w:val="clear" w:color="auto" w:fill="DCDCDC"/>
          </w:tcPr>
          <w:p>
            <w:pPr/>
          </w:p>
        </w:tc>
      </w:tr>
      <w:tr>
        <w:trPr>
          <w:trHeight w:val="217" w:hRule="exact"/>
        </w:trPr>
        <w:tc>
          <w:tcPr>
            <w:tcW w:w="38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89" w:type="dxa"/>
            <w:gridSpan w:val="8"/>
            <w:vMerge/>
            <w:tcBorders>
              <w:left w:val="single" w:sz="4" w:space="0" w:color="000000"/>
              <w:bottom w:val="single" w:sz="4" w:space="0" w:color="000000"/>
              <w:right w:val="single" w:sz="4" w:space="0" w:color="000000"/>
            </w:tcBorders>
            <w:shd w:val="clear" w:color="auto" w:fill="DCDCDC"/>
          </w:tcPr>
          <w:p>
            <w:pPr/>
          </w:p>
        </w:tc>
        <w:tc>
          <w:tcPr>
            <w:tcW w:w="1378" w:type="dxa"/>
            <w:vMerge/>
            <w:tcBorders>
              <w:left w:val="single" w:sz="4" w:space="0" w:color="000000"/>
              <w:bottom w:val="nil" w:sz="6" w:space="0" w:color="auto"/>
              <w:right w:val="single" w:sz="4" w:space="0" w:color="000000"/>
            </w:tcBorders>
            <w:shd w:val="clear" w:color="auto" w:fill="DCDCDC"/>
          </w:tcPr>
          <w:p>
            <w:pPr/>
          </w:p>
        </w:tc>
        <w:tc>
          <w:tcPr>
            <w:tcW w:w="1577" w:type="dxa"/>
            <w:vMerge/>
            <w:tcBorders>
              <w:left w:val="single" w:sz="4" w:space="0" w:color="000000"/>
              <w:bottom w:val="nil" w:sz="6" w:space="0" w:color="auto"/>
              <w:right w:val="single" w:sz="4" w:space="0" w:color="000000"/>
            </w:tcBorders>
            <w:shd w:val="clear" w:color="auto" w:fill="DCDCDC"/>
          </w:tcPr>
          <w:p>
            <w:pPr/>
          </w:p>
        </w:tc>
      </w:tr>
      <w:tr>
        <w:trPr>
          <w:trHeight w:val="236" w:hRule="exact"/>
        </w:trPr>
        <w:tc>
          <w:tcPr>
            <w:tcW w:w="3863" w:type="dxa"/>
            <w:vMerge w:val="restart"/>
            <w:tcBorders>
              <w:top w:val="nil" w:sz="6" w:space="0" w:color="auto"/>
              <w:left w:val="single" w:sz="4" w:space="0" w:color="000000"/>
              <w:right w:val="single" w:sz="4" w:space="0" w:color="000000"/>
            </w:tcBorders>
            <w:shd w:val="clear" w:color="auto" w:fill="DCDCDC"/>
          </w:tcPr>
          <w:p>
            <w:pPr/>
          </w:p>
        </w:tc>
        <w:tc>
          <w:tcPr>
            <w:tcW w:w="1377"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83"/>
              <w:ind w:left="32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52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3"/>
              <w:ind w:left="76" w:right="19" w:hanging="53"/>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z w:val="18"/>
                <w:szCs w:val="18"/>
              </w:rPr>
              <w:t> 存股</w:t>
            </w:r>
          </w:p>
        </w:tc>
        <w:tc>
          <w:tcPr>
            <w:tcW w:w="52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3"/>
              <w:ind w:left="76" w:right="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3"/>
              <w:ind w:left="86" w:right="8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37" w:type="dxa"/>
            <w:tcBorders>
              <w:top w:val="single" w:sz="4" w:space="0" w:color="000000"/>
              <w:left w:val="single" w:sz="4" w:space="0" w:color="000000"/>
              <w:bottom w:val="single" w:sz="3" w:space="0" w:color="FFFFFF"/>
              <w:right w:val="single" w:sz="4" w:space="0" w:color="000000"/>
            </w:tcBorders>
            <w:shd w:val="clear" w:color="auto" w:fill="DCDCDC"/>
          </w:tcPr>
          <w:p>
            <w:pPr/>
          </w:p>
        </w:tc>
        <w:tc>
          <w:tcPr>
            <w:tcW w:w="1081" w:type="dxa"/>
            <w:tcBorders>
              <w:top w:val="single" w:sz="4" w:space="0" w:color="000000"/>
              <w:left w:val="single" w:sz="4" w:space="0" w:color="000000"/>
              <w:bottom w:val="single" w:sz="3" w:space="0" w:color="FFFFFF"/>
              <w:right w:val="single" w:sz="4" w:space="0" w:color="000000"/>
            </w:tcBorders>
            <w:shd w:val="clear" w:color="auto" w:fill="DCDCDC"/>
          </w:tcPr>
          <w:p>
            <w:pPr/>
          </w:p>
        </w:tc>
        <w:tc>
          <w:tcPr>
            <w:tcW w:w="1378" w:type="dxa"/>
            <w:tcBorders>
              <w:top w:val="nil" w:sz="6" w:space="0" w:color="auto"/>
              <w:left w:val="single" w:sz="4" w:space="0" w:color="000000"/>
              <w:bottom w:val="single" w:sz="3" w:space="0" w:color="FFFFFF"/>
              <w:right w:val="single" w:sz="4" w:space="0" w:color="000000"/>
            </w:tcBorders>
            <w:shd w:val="clear" w:color="auto" w:fill="DCDCDC"/>
          </w:tcPr>
          <w:p>
            <w:pPr>
              <w:pStyle w:val="TableParagraph"/>
              <w:spacing w:line="214" w:lineRule="exact"/>
              <w:ind w:left="1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7" w:type="dxa"/>
            <w:tcBorders>
              <w:top w:val="nil" w:sz="6" w:space="0" w:color="auto"/>
              <w:left w:val="single" w:sz="4" w:space="0" w:color="000000"/>
              <w:bottom w:val="single" w:sz="3" w:space="0" w:color="FFFFFF"/>
              <w:right w:val="single" w:sz="4" w:space="0" w:color="000000"/>
            </w:tcBorders>
            <w:shd w:val="clear" w:color="auto" w:fill="DCDCDC"/>
          </w:tcPr>
          <w:p>
            <w:pPr>
              <w:pStyle w:val="TableParagraph"/>
              <w:spacing w:line="214" w:lineRule="exact"/>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31" w:hRule="exact"/>
        </w:trPr>
        <w:tc>
          <w:tcPr>
            <w:tcW w:w="3863" w:type="dxa"/>
            <w:vMerge/>
            <w:tcBorders>
              <w:left w:val="single" w:sz="4" w:space="0" w:color="000000"/>
              <w:right w:val="single" w:sz="4" w:space="0" w:color="000000"/>
            </w:tcBorders>
            <w:shd w:val="clear" w:color="auto" w:fill="DCDCDC"/>
          </w:tcPr>
          <w:p>
            <w:pPr/>
          </w:p>
        </w:tc>
        <w:tc>
          <w:tcPr>
            <w:tcW w:w="1377" w:type="dxa"/>
            <w:vMerge/>
            <w:tcBorders>
              <w:left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23"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vMerge/>
            <w:tcBorders>
              <w:left w:val="single" w:sz="4" w:space="0" w:color="000000"/>
              <w:right w:val="single" w:sz="4" w:space="0" w:color="000000"/>
            </w:tcBorders>
            <w:shd w:val="clear" w:color="auto" w:fill="DCDCDC"/>
          </w:tcPr>
          <w:p>
            <w:pPr/>
          </w:p>
        </w:tc>
        <w:tc>
          <w:tcPr>
            <w:tcW w:w="1337" w:type="dxa"/>
            <w:tcBorders>
              <w:top w:val="single" w:sz="3" w:space="0" w:color="FFFFFF"/>
              <w:left w:val="single" w:sz="4" w:space="0" w:color="000000"/>
              <w:bottom w:val="nil" w:sz="6" w:space="0" w:color="auto"/>
              <w:right w:val="single" w:sz="4" w:space="0" w:color="000000"/>
            </w:tcBorders>
            <w:shd w:val="clear" w:color="auto" w:fill="DCDCDC"/>
          </w:tcPr>
          <w:p>
            <w:pPr>
              <w:pStyle w:val="TableParagraph"/>
              <w:spacing w:line="200" w:lineRule="exact"/>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1" w:type="dxa"/>
            <w:tcBorders>
              <w:top w:val="single" w:sz="3" w:space="0" w:color="FFFFFF"/>
              <w:left w:val="single" w:sz="4" w:space="0" w:color="000000"/>
              <w:bottom w:val="nil" w:sz="6" w:space="0" w:color="auto"/>
              <w:right w:val="single" w:sz="4" w:space="0" w:color="000000"/>
            </w:tcBorders>
            <w:shd w:val="clear" w:color="auto" w:fill="DCDCDC"/>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val="restart"/>
            <w:tcBorders>
              <w:top w:val="single" w:sz="3" w:space="0" w:color="FFFFFF"/>
              <w:left w:val="single" w:sz="4" w:space="0" w:color="000000"/>
              <w:right w:val="single" w:sz="4" w:space="0" w:color="000000"/>
            </w:tcBorders>
            <w:shd w:val="clear" w:color="auto" w:fill="DCDCDC"/>
          </w:tcPr>
          <w:p>
            <w:pPr/>
          </w:p>
        </w:tc>
        <w:tc>
          <w:tcPr>
            <w:tcW w:w="1577" w:type="dxa"/>
            <w:vMerge w:val="restart"/>
            <w:tcBorders>
              <w:top w:val="single" w:sz="3" w:space="0" w:color="FFFFFF"/>
              <w:left w:val="single" w:sz="4" w:space="0" w:color="000000"/>
              <w:right w:val="single" w:sz="4" w:space="0" w:color="000000"/>
            </w:tcBorders>
            <w:shd w:val="clear" w:color="auto" w:fill="DCDCDC"/>
          </w:tcPr>
          <w:p>
            <w:pPr/>
          </w:p>
        </w:tc>
      </w:tr>
      <w:tr>
        <w:trPr>
          <w:trHeight w:val="151" w:hRule="exact"/>
        </w:trPr>
        <w:tc>
          <w:tcPr>
            <w:tcW w:w="3863" w:type="dxa"/>
            <w:vMerge/>
            <w:tcBorders>
              <w:left w:val="single" w:sz="4" w:space="0" w:color="000000"/>
              <w:bottom w:val="single" w:sz="4" w:space="0" w:color="000000"/>
              <w:right w:val="single" w:sz="4" w:space="0" w:color="000000"/>
            </w:tcBorders>
            <w:shd w:val="clear" w:color="auto" w:fill="DCDCDC"/>
          </w:tcPr>
          <w:p>
            <w:pPr/>
          </w:p>
        </w:tc>
        <w:tc>
          <w:tcPr>
            <w:tcW w:w="1377" w:type="dxa"/>
            <w:vMerge/>
            <w:tcBorders>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523" w:type="dxa"/>
            <w:vMerge/>
            <w:tcBorders>
              <w:left w:val="single" w:sz="4" w:space="0" w:color="000000"/>
              <w:bottom w:val="single" w:sz="4" w:space="0" w:color="000000"/>
              <w:right w:val="single" w:sz="4" w:space="0" w:color="000000"/>
            </w:tcBorders>
            <w:shd w:val="clear" w:color="auto" w:fill="DCDCDC"/>
          </w:tcPr>
          <w:p>
            <w:pPr/>
          </w:p>
        </w:tc>
        <w:tc>
          <w:tcPr>
            <w:tcW w:w="526"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3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vMerge/>
            <w:tcBorders>
              <w:left w:val="single" w:sz="4" w:space="0" w:color="000000"/>
              <w:bottom w:val="single" w:sz="4" w:space="0" w:color="000000"/>
              <w:right w:val="single" w:sz="4" w:space="0" w:color="000000"/>
            </w:tcBorders>
            <w:shd w:val="clear" w:color="auto" w:fill="DCDCDC"/>
          </w:tcPr>
          <w:p>
            <w:pPr/>
          </w:p>
        </w:tc>
        <w:tc>
          <w:tcPr>
            <w:tcW w:w="1577"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7" w:type="dxa"/>
            <w:tcBorders>
              <w:top w:val="single" w:sz="27" w:space="0" w:color="DCDCDC"/>
              <w:left w:val="single" w:sz="9" w:space="0" w:color="DCDCDC"/>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6" w:right="0"/>
              <w:jc w:val="center"/>
              <w:rPr>
                <w:rFonts w:ascii="宋体" w:hAnsi="宋体" w:cs="宋体" w:eastAsia="宋体" w:hint="default"/>
                <w:sz w:val="18"/>
                <w:szCs w:val="18"/>
              </w:rPr>
            </w:pPr>
            <w:r>
              <w:rPr>
                <w:rFonts w:ascii="宋体"/>
                <w:sz w:val="18"/>
              </w:rPr>
              <w:t>30,614,641.22</w:t>
            </w:r>
          </w:p>
        </w:tc>
        <w:tc>
          <w:tcPr>
            <w:tcW w:w="523" w:type="dxa"/>
            <w:tcBorders>
              <w:top w:val="single" w:sz="27" w:space="0" w:color="DCDCDC"/>
              <w:left w:val="single" w:sz="4" w:space="0" w:color="000000"/>
              <w:bottom w:val="single" w:sz="4" w:space="0" w:color="000000"/>
              <w:right w:val="single" w:sz="4" w:space="0" w:color="000000"/>
            </w:tcBorders>
          </w:tcPr>
          <w:p>
            <w:pPr/>
          </w:p>
        </w:tc>
        <w:tc>
          <w:tcPr>
            <w:tcW w:w="526" w:type="dxa"/>
            <w:tcBorders>
              <w:top w:val="single" w:sz="27"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 w:right="0"/>
              <w:jc w:val="center"/>
              <w:rPr>
                <w:rFonts w:ascii="宋体" w:hAnsi="宋体" w:cs="宋体" w:eastAsia="宋体" w:hint="default"/>
                <w:sz w:val="18"/>
                <w:szCs w:val="18"/>
              </w:rPr>
            </w:pPr>
            <w:r>
              <w:rPr>
                <w:rFonts w:ascii="宋体"/>
                <w:sz w:val="18"/>
              </w:rPr>
              <w:t>40,657,199.52</w:t>
            </w:r>
          </w:p>
        </w:tc>
        <w:tc>
          <w:tcPr>
            <w:tcW w:w="720" w:type="dxa"/>
            <w:tcBorders>
              <w:top w:val="single" w:sz="27" w:space="0" w:color="DCDCDC"/>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14,783,864.52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 w:right="0"/>
              <w:jc w:val="center"/>
              <w:rPr>
                <w:rFonts w:ascii="宋体" w:hAnsi="宋体" w:cs="宋体" w:eastAsia="宋体" w:hint="default"/>
                <w:sz w:val="18"/>
                <w:szCs w:val="18"/>
              </w:rPr>
            </w:pPr>
            <w:r>
              <w:rPr>
                <w:rFonts w:ascii="宋体"/>
                <w:sz w:val="18"/>
              </w:rPr>
              <w:t>-87,276.12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宋体" w:hAnsi="宋体" w:cs="宋体" w:eastAsia="宋体" w:hint="default"/>
                <w:sz w:val="18"/>
                <w:szCs w:val="18"/>
              </w:rPr>
            </w:pPr>
            <w:r>
              <w:rPr>
                <w:rFonts w:ascii="宋体"/>
                <w:spacing w:val="-1"/>
                <w:sz w:val="18"/>
              </w:rPr>
              <w:t>303,530,837.44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877,231,261.58</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2,410,737.61</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-2,410,737.61</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77" w:type="dxa"/>
            <w:tcBorders>
              <w:top w:val="single" w:sz="4" w:space="0" w:color="000000"/>
              <w:left w:val="single" w:sz="9" w:space="0" w:color="DCDCDC"/>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6" w:right="0"/>
              <w:jc w:val="center"/>
              <w:rPr>
                <w:rFonts w:ascii="宋体" w:hAnsi="宋体" w:cs="宋体" w:eastAsia="宋体" w:hint="default"/>
                <w:sz w:val="18"/>
                <w:szCs w:val="18"/>
              </w:rPr>
            </w:pPr>
            <w:r>
              <w:rPr>
                <w:rFonts w:ascii="宋体"/>
                <w:sz w:val="18"/>
              </w:rPr>
              <w:t>30,614,641.22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40,657,199.52</w:t>
            </w: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17,194,602.13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7" w:right="0"/>
              <w:jc w:val="center"/>
              <w:rPr>
                <w:rFonts w:ascii="宋体" w:hAnsi="宋体" w:cs="宋体" w:eastAsia="宋体" w:hint="default"/>
                <w:sz w:val="18"/>
                <w:szCs w:val="18"/>
              </w:rPr>
            </w:pPr>
            <w:r>
              <w:rPr>
                <w:rFonts w:ascii="宋体"/>
                <w:sz w:val="18"/>
              </w:rPr>
              <w:t>-87,276.12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301,120,099.83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pacing w:val="-1"/>
                <w:sz w:val="18"/>
              </w:rPr>
              <w:t>877,231,261.58</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-80,210,925.05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6" w:right="0"/>
              <w:jc w:val="center"/>
              <w:rPr>
                <w:rFonts w:ascii="宋体" w:hAnsi="宋体" w:cs="宋体" w:eastAsia="宋体" w:hint="default"/>
                <w:sz w:val="18"/>
                <w:szCs w:val="18"/>
              </w:rPr>
            </w:pPr>
            <w:r>
              <w:rPr>
                <w:rFonts w:ascii="宋体"/>
                <w:sz w:val="18"/>
              </w:rPr>
              <w:t>-147,876.57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-20,981,951.67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-101,340,753.29</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-80,191,690.96</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16,745,211.07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-63,446,479.89</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-147,876.57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-29,544.58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-177,421.15</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-80,191,690.96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-147,876.57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16,715,666.49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-63,623,901.04</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-22,015,856.07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-22,015,856.07</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-22,015,856.07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-22,015,856.07</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-19,234.09</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-15,681,762.09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-15,700,996.18</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-15,681,762.09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-15,681,762.09</w:t>
            </w: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-19,234.09</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-19,234.09</w:t>
            </w: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9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7" w:type="dxa"/>
            <w:tcBorders>
              <w:top w:val="single" w:sz="4" w:space="0" w:color="000000"/>
              <w:left w:val="single" w:sz="9" w:space="0" w:color="DCDCDC"/>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pacing w:val="-1"/>
                <w:sz w:val="18"/>
              </w:rPr>
              <w:t>487,731,995.00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6" w:right="0"/>
              <w:jc w:val="center"/>
              <w:rPr>
                <w:rFonts w:ascii="宋体" w:hAnsi="宋体" w:cs="宋体" w:eastAsia="宋体" w:hint="default"/>
                <w:sz w:val="18"/>
                <w:szCs w:val="18"/>
              </w:rPr>
            </w:pPr>
            <w:r>
              <w:rPr>
                <w:rFonts w:ascii="宋体"/>
                <w:sz w:val="18"/>
              </w:rPr>
              <w:t>30,614,641.22</w:t>
            </w:r>
          </w:p>
        </w:tc>
        <w:tc>
          <w:tcPr>
            <w:tcW w:w="52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40,657,199.52</w:t>
            </w:r>
          </w:p>
        </w:tc>
        <w:tc>
          <w:tcPr>
            <w:tcW w:w="7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1"/>
              <w:jc w:val="right"/>
              <w:rPr>
                <w:rFonts w:ascii="宋体" w:hAnsi="宋体" w:cs="宋体" w:eastAsia="宋体" w:hint="default"/>
                <w:sz w:val="18"/>
                <w:szCs w:val="18"/>
              </w:rPr>
            </w:pPr>
            <w:r>
              <w:rPr>
                <w:rFonts w:ascii="宋体"/>
                <w:spacing w:val="-1"/>
                <w:sz w:val="18"/>
              </w:rPr>
              <w:t>-63,016,322.92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5" w:right="0"/>
              <w:jc w:val="center"/>
              <w:rPr>
                <w:rFonts w:ascii="宋体" w:hAnsi="宋体" w:cs="宋体" w:eastAsia="宋体" w:hint="default"/>
                <w:sz w:val="18"/>
                <w:szCs w:val="18"/>
              </w:rPr>
            </w:pPr>
            <w:r>
              <w:rPr>
                <w:rFonts w:ascii="宋体"/>
                <w:sz w:val="18"/>
              </w:rPr>
              <w:t>-235,152.69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280,138,148.16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pacing w:val="-1"/>
                <w:sz w:val="18"/>
              </w:rPr>
              <w:t>775,890,508.29</w:t>
            </w:r>
          </w:p>
        </w:tc>
      </w:tr>
    </w:tbl>
    <w:p>
      <w:pPr>
        <w:spacing w:after="0" w:line="210" w:lineRule="exact"/>
        <w:jc w:val="right"/>
        <w:rPr>
          <w:rFonts w:ascii="宋体" w:hAnsi="宋体" w:cs="宋体" w:eastAsia="宋体" w:hint="default"/>
          <w:sz w:val="18"/>
          <w:szCs w:val="18"/>
        </w:rPr>
        <w:sectPr>
          <w:pgSz w:w="16840" w:h="11910" w:orient="landscape"/>
          <w:pgMar w:header="884" w:footer="977" w:top="1140" w:bottom="1160" w:left="920" w:right="0"/>
        </w:sectPr>
      </w:pPr>
    </w:p>
    <w:p>
      <w:pPr>
        <w:spacing w:line="240" w:lineRule="auto" w:before="1"/>
        <w:rPr>
          <w:rFonts w:ascii="Times New Roman" w:hAnsi="Times New Roman" w:cs="Times New Roman" w:eastAsia="Times New Roman" w:hint="default"/>
          <w:sz w:val="29"/>
          <w:szCs w:val="29"/>
        </w:rPr>
      </w:pPr>
    </w:p>
    <w:p>
      <w:pPr>
        <w:pStyle w:val="Heading3"/>
        <w:spacing w:line="240" w:lineRule="auto" w:before="26"/>
        <w:ind w:left="6159" w:right="7079"/>
        <w:jc w:val="center"/>
      </w:pPr>
      <w:r>
        <w:rPr/>
        <w:t>母公司所有者权益变动表</w:t>
      </w:r>
    </w:p>
    <w:p>
      <w:pPr>
        <w:pStyle w:val="BodyText"/>
        <w:tabs>
          <w:tab w:pos="7041" w:val="left" w:leader="none"/>
          <w:tab w:pos="12341" w:val="left" w:leader="none"/>
        </w:tabs>
        <w:spacing w:line="240" w:lineRule="auto" w:before="160"/>
        <w:ind w:left="212" w:right="0"/>
        <w:jc w:val="left"/>
      </w:pPr>
      <w:r>
        <w:rPr>
          <w:w w:val="100"/>
        </w:rPr>
        <w:t>编制</w:t>
      </w:r>
      <w:r>
        <w:rPr>
          <w:spacing w:val="-3"/>
          <w:w w:val="100"/>
        </w:rPr>
        <w:t>单</w:t>
      </w:r>
      <w:r>
        <w:rPr>
          <w:w w:val="100"/>
        </w:rPr>
        <w:t>位</w:t>
      </w:r>
      <w:r>
        <w:rPr>
          <w:spacing w:val="-3"/>
          <w:w w:val="100"/>
        </w:rPr>
        <w:t>：</w:t>
      </w:r>
      <w:r>
        <w:rPr>
          <w:w w:val="100"/>
        </w:rPr>
        <w:t>重</w:t>
      </w:r>
      <w:r>
        <w:rPr>
          <w:spacing w:val="-3"/>
          <w:w w:val="100"/>
        </w:rPr>
        <w:t>庆</w:t>
      </w:r>
      <w:r>
        <w:rPr>
          <w:w w:val="100"/>
        </w:rPr>
        <w:t>华</w:t>
      </w:r>
      <w:r>
        <w:rPr>
          <w:spacing w:val="-3"/>
          <w:w w:val="100"/>
        </w:rPr>
        <w:t>智</w:t>
      </w:r>
      <w:r>
        <w:rPr>
          <w:w w:val="100"/>
        </w:rPr>
        <w:t>控</w:t>
      </w:r>
      <w:r>
        <w:rPr>
          <w:spacing w:val="-3"/>
          <w:w w:val="100"/>
        </w:rPr>
        <w:t>股</w:t>
      </w:r>
      <w:r>
        <w:rPr>
          <w:w w:val="100"/>
        </w:rPr>
        <w:t>股份</w:t>
      </w:r>
      <w:r>
        <w:rPr>
          <w:spacing w:val="-3"/>
          <w:w w:val="100"/>
        </w:rPr>
        <w:t>有</w:t>
      </w:r>
      <w:r>
        <w:rPr>
          <w:w w:val="100"/>
        </w:rPr>
        <w:t>限</w:t>
      </w:r>
      <w:r>
        <w:rPr>
          <w:spacing w:val="-3"/>
          <w:w w:val="100"/>
        </w:rPr>
        <w:t>公</w:t>
      </w:r>
      <w:r>
        <w:rPr>
          <w:w w:val="100"/>
        </w:rPr>
        <w:t>司</w:t>
      </w:r>
      <w:r>
        <w:rPr/>
        <w:tab/>
      </w:r>
      <w:r>
        <w:rPr>
          <w:rFonts w:ascii="宋体" w:hAnsi="宋体" w:cs="宋体" w:eastAsia="宋体" w:hint="default"/>
          <w:w w:val="100"/>
        </w:rPr>
        <w:t>2</w:t>
      </w:r>
      <w:r>
        <w:rPr>
          <w:rFonts w:ascii="宋体" w:hAnsi="宋体" w:cs="宋体" w:eastAsia="宋体" w:hint="default"/>
          <w:spacing w:val="-3"/>
          <w:w w:val="100"/>
        </w:rPr>
        <w:t>01</w:t>
      </w:r>
      <w:r>
        <w:rPr>
          <w:rFonts w:ascii="宋体" w:hAnsi="宋体" w:cs="宋体" w:eastAsia="宋体" w:hint="default"/>
          <w:w w:val="100"/>
        </w:rPr>
        <w:t>0</w:t>
      </w:r>
      <w:r>
        <w:rPr>
          <w:rFonts w:ascii="宋体" w:hAnsi="宋体" w:cs="宋体" w:eastAsia="宋体" w:hint="default"/>
          <w:spacing w:val="-53"/>
        </w:rPr>
        <w:t> </w:t>
      </w:r>
      <w:r>
        <w:rPr>
          <w:w w:val="100"/>
        </w:rPr>
        <w:t>年度</w:t>
      </w:r>
      <w:r>
        <w:rPr/>
        <w:tab/>
      </w:r>
      <w:r>
        <w:rPr>
          <w:w w:val="100"/>
        </w:rPr>
        <w:t>单</w:t>
      </w:r>
      <w:r>
        <w:rPr>
          <w:spacing w:val="-3"/>
          <w:w w:val="100"/>
        </w:rPr>
        <w:t>位</w:t>
      </w:r>
      <w:r>
        <w:rPr>
          <w:spacing w:val="-106"/>
          <w:w w:val="100"/>
        </w:rPr>
        <w:t>：</w:t>
      </w:r>
      <w:r>
        <w:rPr>
          <w:spacing w:val="-3"/>
          <w:w w:val="100"/>
        </w:rPr>
        <w:t>（</w:t>
      </w:r>
      <w:r>
        <w:rPr>
          <w:w w:val="100"/>
        </w:rPr>
        <w:t>人</w:t>
      </w:r>
      <w:r>
        <w:rPr>
          <w:spacing w:val="-3"/>
          <w:w w:val="100"/>
        </w:rPr>
        <w:t>民</w:t>
      </w:r>
      <w:r>
        <w:rPr>
          <w:w w:val="100"/>
        </w:rPr>
        <w:t>币</w:t>
      </w:r>
      <w:r>
        <w:rPr>
          <w:spacing w:val="-3"/>
          <w:w w:val="100"/>
        </w:rPr>
        <w:t>）</w:t>
      </w:r>
      <w:r>
        <w:rPr>
          <w:w w:val="100"/>
        </w:rPr>
        <w:t>元</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880"/>
        <w:gridCol w:w="1369"/>
        <w:gridCol w:w="1368"/>
        <w:gridCol w:w="1154"/>
        <w:gridCol w:w="840"/>
        <w:gridCol w:w="1260"/>
        <w:gridCol w:w="1154"/>
        <w:gridCol w:w="1472"/>
        <w:gridCol w:w="1783"/>
      </w:tblGrid>
      <w:tr>
        <w:trPr>
          <w:trHeight w:val="378" w:hRule="exact"/>
        </w:trPr>
        <w:tc>
          <w:tcPr>
            <w:tcW w:w="3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0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1" w:hRule="exact"/>
        </w:trPr>
        <w:tc>
          <w:tcPr>
            <w:tcW w:w="38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11"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left="31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15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97"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69" w:type="dxa"/>
            <w:tcBorders>
              <w:top w:val="single" w:sz="4" w:space="0" w:color="000000"/>
              <w:left w:val="single" w:sz="22" w:space="0" w:color="DCDCDC"/>
              <w:bottom w:val="single" w:sz="4" w:space="0" w:color="000000"/>
              <w:right w:val="single" w:sz="13" w:space="0" w:color="DCDCDC"/>
            </w:tcBorders>
          </w:tcPr>
          <w:p>
            <w:pPr>
              <w:pStyle w:val="TableParagraph"/>
              <w:spacing w:line="240" w:lineRule="auto" w:before="76"/>
              <w:ind w:right="10"/>
              <w:jc w:val="right"/>
              <w:rPr>
                <w:rFonts w:ascii="宋体" w:hAnsi="宋体" w:cs="宋体" w:eastAsia="宋体" w:hint="default"/>
                <w:sz w:val="18"/>
                <w:szCs w:val="18"/>
              </w:rPr>
            </w:pPr>
            <w:r>
              <w:rPr>
                <w:rFonts w:ascii="宋体"/>
                <w:spacing w:val="-1"/>
                <w:sz w:val="18"/>
              </w:rPr>
              <w:t>487,731,995.00</w:t>
            </w:r>
          </w:p>
        </w:tc>
        <w:tc>
          <w:tcPr>
            <w:tcW w:w="1368"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7"/>
              <w:ind w:left="43" w:right="0"/>
              <w:jc w:val="center"/>
              <w:rPr>
                <w:rFonts w:ascii="宋体" w:hAnsi="宋体" w:cs="宋体" w:eastAsia="宋体" w:hint="default"/>
                <w:sz w:val="18"/>
                <w:szCs w:val="18"/>
              </w:rPr>
            </w:pPr>
            <w:r>
              <w:rPr>
                <w:rFonts w:ascii="宋体"/>
                <w:sz w:val="18"/>
              </w:rPr>
              <w:t>119,506,224.01</w:t>
            </w:r>
          </w:p>
        </w:tc>
        <w:tc>
          <w:tcPr>
            <w:tcW w:w="1154" w:type="dxa"/>
            <w:tcBorders>
              <w:top w:val="single" w:sz="51" w:space="0" w:color="DCDCDC"/>
              <w:left w:val="single" w:sz="4" w:space="0" w:color="000000"/>
              <w:bottom w:val="single" w:sz="4" w:space="0" w:color="000000"/>
              <w:right w:val="single" w:sz="4" w:space="0" w:color="000000"/>
            </w:tcBorders>
          </w:tcPr>
          <w:p>
            <w:pPr/>
          </w:p>
        </w:tc>
        <w:tc>
          <w:tcPr>
            <w:tcW w:w="840" w:type="dxa"/>
            <w:tcBorders>
              <w:top w:val="single" w:sz="51" w:space="0" w:color="DCDCDC"/>
              <w:left w:val="single" w:sz="4" w:space="0" w:color="000000"/>
              <w:bottom w:val="single" w:sz="4" w:space="0" w:color="000000"/>
              <w:right w:val="single" w:sz="4" w:space="0" w:color="000000"/>
            </w:tcBorders>
          </w:tcPr>
          <w:p>
            <w:pPr/>
          </w:p>
        </w:tc>
        <w:tc>
          <w:tcPr>
            <w:tcW w:w="126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7"/>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51" w:space="0" w:color="DCDCDC"/>
              <w:left w:val="single" w:sz="4" w:space="0" w:color="000000"/>
              <w:bottom w:val="single" w:sz="4" w:space="0" w:color="000000"/>
              <w:right w:val="single" w:sz="4" w:space="0" w:color="000000"/>
            </w:tcBorders>
          </w:tcPr>
          <w:p>
            <w:pPr/>
          </w:p>
        </w:tc>
        <w:tc>
          <w:tcPr>
            <w:tcW w:w="1472"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7"/>
              <w:ind w:left="61" w:right="0"/>
              <w:jc w:val="center"/>
              <w:rPr>
                <w:rFonts w:ascii="宋体" w:hAnsi="宋体" w:cs="宋体" w:eastAsia="宋体" w:hint="default"/>
                <w:sz w:val="18"/>
                <w:szCs w:val="18"/>
              </w:rPr>
            </w:pPr>
            <w:r>
              <w:rPr>
                <w:rFonts w:ascii="宋体"/>
                <w:sz w:val="18"/>
              </w:rPr>
              <w:t>-252,467,852.33</w:t>
            </w:r>
          </w:p>
        </w:tc>
        <w:tc>
          <w:tcPr>
            <w:tcW w:w="1783" w:type="dxa"/>
            <w:tcBorders>
              <w:top w:val="single" w:sz="43" w:space="0" w:color="DCDCDC"/>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18"/>
                <w:szCs w:val="18"/>
              </w:rPr>
            </w:pPr>
            <w:r>
              <w:rPr>
                <w:rFonts w:ascii="宋体"/>
                <w:spacing w:val="-1"/>
                <w:sz w:val="18"/>
              </w:rPr>
              <w:t>383,562,172.36</w:t>
            </w:r>
          </w:p>
        </w:tc>
      </w:tr>
      <w:tr>
        <w:trPr>
          <w:trHeight w:val="28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0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8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487,731,995.00</w:t>
            </w:r>
          </w:p>
        </w:tc>
        <w:tc>
          <w:tcPr>
            <w:tcW w:w="13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0"/>
              <w:ind w:left="55" w:right="0"/>
              <w:jc w:val="center"/>
              <w:rPr>
                <w:rFonts w:ascii="宋体" w:hAnsi="宋体" w:cs="宋体" w:eastAsia="宋体" w:hint="default"/>
                <w:sz w:val="18"/>
                <w:szCs w:val="18"/>
              </w:rPr>
            </w:pPr>
            <w:r>
              <w:rPr>
                <w:rFonts w:ascii="宋体"/>
                <w:sz w:val="18"/>
              </w:rPr>
              <w:t>119,506,224.01</w:t>
            </w:r>
          </w:p>
        </w:tc>
        <w:tc>
          <w:tcPr>
            <w:tcW w:w="1154" w:type="dxa"/>
            <w:tcBorders>
              <w:top w:val="single" w:sz="4" w:space="0" w:color="000000"/>
              <w:left w:val="single" w:sz="4" w:space="0" w:color="000000"/>
              <w:bottom w:val="single" w:sz="4" w:space="0" w:color="FFFFFF"/>
              <w:right w:val="single" w:sz="4" w:space="0" w:color="000000"/>
            </w:tcBorders>
          </w:tcPr>
          <w:p>
            <w:pPr/>
          </w:p>
        </w:tc>
        <w:tc>
          <w:tcPr>
            <w:tcW w:w="840" w:type="dxa"/>
            <w:tcBorders>
              <w:top w:val="single" w:sz="4" w:space="0" w:color="000000"/>
              <w:left w:val="single" w:sz="4" w:space="0" w:color="000000"/>
              <w:bottom w:val="single" w:sz="4" w:space="0" w:color="FFFFFF"/>
              <w:right w:val="single" w:sz="4" w:space="0" w:color="000000"/>
            </w:tcBorders>
          </w:tcPr>
          <w:p>
            <w:pPr/>
          </w:p>
        </w:tc>
        <w:tc>
          <w:tcPr>
            <w:tcW w:w="12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0"/>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FFFFFF"/>
              <w:right w:val="single" w:sz="4" w:space="0" w:color="000000"/>
            </w:tcBorders>
          </w:tcPr>
          <w:p>
            <w:pPr/>
          </w:p>
        </w:tc>
        <w:tc>
          <w:tcPr>
            <w:tcW w:w="147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0"/>
              <w:ind w:left="61" w:right="0"/>
              <w:jc w:val="center"/>
              <w:rPr>
                <w:rFonts w:ascii="宋体" w:hAnsi="宋体" w:cs="宋体" w:eastAsia="宋体" w:hint="default"/>
                <w:sz w:val="18"/>
                <w:szCs w:val="18"/>
              </w:rPr>
            </w:pPr>
            <w:r>
              <w:rPr>
                <w:rFonts w:ascii="宋体"/>
                <w:sz w:val="18"/>
              </w:rPr>
              <w:t>-252,467,852.33</w:t>
            </w:r>
          </w:p>
        </w:tc>
        <w:tc>
          <w:tcPr>
            <w:tcW w:w="178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383,562,172.36</w:t>
            </w:r>
          </w:p>
        </w:tc>
      </w:tr>
      <w:tr>
        <w:trPr>
          <w:trHeight w:val="341" w:hRule="exact"/>
        </w:trPr>
        <w:tc>
          <w:tcPr>
            <w:tcW w:w="388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1369"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left="61" w:right="0"/>
              <w:jc w:val="center"/>
              <w:rPr>
                <w:rFonts w:ascii="宋体" w:hAnsi="宋体" w:cs="宋体" w:eastAsia="宋体" w:hint="default"/>
                <w:sz w:val="18"/>
                <w:szCs w:val="18"/>
              </w:rPr>
            </w:pPr>
            <w:r>
              <w:rPr>
                <w:rFonts w:ascii="宋体"/>
                <w:sz w:val="18"/>
              </w:rPr>
              <w:t>-206,954,596.25</w:t>
            </w:r>
          </w:p>
        </w:tc>
        <w:tc>
          <w:tcPr>
            <w:tcW w:w="178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-206,954,596.25</w:t>
            </w:r>
          </w:p>
        </w:tc>
      </w:tr>
      <w:tr>
        <w:trPr>
          <w:trHeight w:val="338" w:hRule="exact"/>
        </w:trPr>
        <w:tc>
          <w:tcPr>
            <w:tcW w:w="388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17"/>
              <w:ind w:left="205"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9" w:type="dxa"/>
            <w:tcBorders>
              <w:top w:val="single" w:sz="4" w:space="0" w:color="FFFFFF"/>
              <w:left w:val="single" w:sz="4" w:space="0" w:color="000000"/>
              <w:bottom w:val="single" w:sz="4" w:space="0" w:color="000000"/>
              <w:right w:val="single" w:sz="4" w:space="0" w:color="000000"/>
            </w:tcBorders>
          </w:tcPr>
          <w:p>
            <w:pPr/>
          </w:p>
        </w:tc>
        <w:tc>
          <w:tcPr>
            <w:tcW w:w="1368" w:type="dxa"/>
            <w:tcBorders>
              <w:top w:val="single" w:sz="4" w:space="0" w:color="FFFFFF"/>
              <w:left w:val="single" w:sz="4" w:space="0" w:color="000000"/>
              <w:bottom w:val="single" w:sz="4" w:space="0" w:color="000000"/>
              <w:right w:val="single" w:sz="4" w:space="0" w:color="000000"/>
            </w:tcBorders>
          </w:tcPr>
          <w:p>
            <w:pPr/>
          </w:p>
        </w:tc>
        <w:tc>
          <w:tcPr>
            <w:tcW w:w="1154" w:type="dxa"/>
            <w:tcBorders>
              <w:top w:val="single" w:sz="4" w:space="0" w:color="FFFFFF"/>
              <w:left w:val="single" w:sz="4" w:space="0" w:color="000000"/>
              <w:bottom w:val="single" w:sz="4" w:space="0" w:color="000000"/>
              <w:right w:val="single" w:sz="4" w:space="0" w:color="000000"/>
            </w:tcBorders>
          </w:tcPr>
          <w:p>
            <w:pPr/>
          </w:p>
        </w:tc>
        <w:tc>
          <w:tcPr>
            <w:tcW w:w="84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
        </w:tc>
        <w:tc>
          <w:tcPr>
            <w:tcW w:w="1154" w:type="dxa"/>
            <w:tcBorders>
              <w:top w:val="single" w:sz="4" w:space="0" w:color="FFFFFF"/>
              <w:left w:val="single" w:sz="4" w:space="0" w:color="000000"/>
              <w:bottom w:val="single" w:sz="4" w:space="0" w:color="000000"/>
              <w:right w:val="single" w:sz="4" w:space="0" w:color="000000"/>
            </w:tcBorders>
          </w:tcPr>
          <w:p>
            <w:pPr/>
          </w:p>
        </w:tc>
        <w:tc>
          <w:tcPr>
            <w:tcW w:w="147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left="61" w:right="0"/>
              <w:jc w:val="center"/>
              <w:rPr>
                <w:rFonts w:ascii="宋体" w:hAnsi="宋体" w:cs="宋体" w:eastAsia="宋体" w:hint="default"/>
                <w:sz w:val="18"/>
                <w:szCs w:val="18"/>
              </w:rPr>
            </w:pPr>
            <w:r>
              <w:rPr>
                <w:rFonts w:ascii="宋体"/>
                <w:sz w:val="18"/>
              </w:rPr>
              <w:t>-206,954,596.25</w:t>
            </w:r>
          </w:p>
        </w:tc>
        <w:tc>
          <w:tcPr>
            <w:tcW w:w="17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-206,954,596.25</w:t>
            </w:r>
          </w:p>
        </w:tc>
      </w:tr>
      <w:tr>
        <w:trPr>
          <w:trHeight w:val="28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05"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 w:right="0"/>
              <w:jc w:val="center"/>
              <w:rPr>
                <w:rFonts w:ascii="宋体" w:hAnsi="宋体" w:cs="宋体" w:eastAsia="宋体" w:hint="default"/>
                <w:sz w:val="18"/>
                <w:szCs w:val="18"/>
              </w:rPr>
            </w:pPr>
            <w:r>
              <w:rPr>
                <w:rFonts w:ascii="宋体"/>
                <w:sz w:val="18"/>
              </w:rPr>
              <w:t>-206,954,596.25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-206,954,596.25</w:t>
            </w: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8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487,731,995.00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119,506,224.01</w:t>
            </w: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 w:right="0"/>
              <w:jc w:val="center"/>
              <w:rPr>
                <w:rFonts w:ascii="宋体" w:hAnsi="宋体" w:cs="宋体" w:eastAsia="宋体" w:hint="default"/>
                <w:sz w:val="18"/>
                <w:szCs w:val="18"/>
              </w:rPr>
            </w:pPr>
            <w:r>
              <w:rPr>
                <w:rFonts w:ascii="宋体"/>
                <w:sz w:val="18"/>
              </w:rPr>
              <w:t>-459,422,448.58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176,607,576.11</w:t>
            </w:r>
          </w:p>
        </w:tc>
      </w:tr>
    </w:tbl>
    <w:p>
      <w:pPr>
        <w:spacing w:after="0" w:line="205" w:lineRule="exact"/>
        <w:jc w:val="right"/>
        <w:rPr>
          <w:rFonts w:ascii="宋体" w:hAnsi="宋体" w:cs="宋体" w:eastAsia="宋体" w:hint="default"/>
          <w:sz w:val="18"/>
          <w:szCs w:val="18"/>
        </w:rPr>
        <w:sectPr>
          <w:pgSz w:w="16840" w:h="11910" w:orient="landscape"/>
          <w:pgMar w:header="884" w:footer="977" w:top="1140" w:bottom="1160" w:left="920" w:right="0"/>
        </w:sectPr>
      </w:pPr>
    </w:p>
    <w:p>
      <w:pPr>
        <w:spacing w:line="240" w:lineRule="auto" w:before="0"/>
        <w:rPr>
          <w:rFonts w:ascii="宋体" w:hAnsi="宋体" w:cs="宋体" w:eastAsia="宋体" w:hint="default"/>
          <w:sz w:val="20"/>
          <w:szCs w:val="20"/>
        </w:rPr>
      </w:pPr>
      <w:r>
        <w:rPr/>
        <w:pict>
          <v:shape style="position:absolute;margin-left:51.119999pt;margin-top:75.020004pt;width:714.85pt;height:427.0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0"/>
                    <w:gridCol w:w="1379"/>
                    <w:gridCol w:w="1368"/>
                    <w:gridCol w:w="1154"/>
                    <w:gridCol w:w="840"/>
                    <w:gridCol w:w="1260"/>
                    <w:gridCol w:w="1154"/>
                    <w:gridCol w:w="1472"/>
                    <w:gridCol w:w="1783"/>
                  </w:tblGrid>
                  <w:tr>
                    <w:trPr>
                      <w:trHeight w:val="415" w:hRule="exact"/>
                    </w:trPr>
                    <w:tc>
                      <w:tcPr>
                        <w:tcW w:w="38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1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10" w:hRule="exact"/>
                    </w:trPr>
                    <w:tc>
                      <w:tcPr>
                        <w:tcW w:w="38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3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ind w:left="23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3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0"/>
                          <w:ind w:right="22"/>
                          <w:jc w:val="right"/>
                          <w:rPr>
                            <w:rFonts w:ascii="宋体" w:hAnsi="宋体" w:cs="宋体" w:eastAsia="宋体" w:hint="default"/>
                            <w:sz w:val="18"/>
                            <w:szCs w:val="18"/>
                          </w:rPr>
                        </w:pPr>
                        <w:r>
                          <w:rPr>
                            <w:rFonts w:ascii="宋体"/>
                            <w:spacing w:val="-1"/>
                            <w:sz w:val="18"/>
                          </w:rPr>
                          <w:t>487,731,995.00</w:t>
                        </w:r>
                      </w:p>
                    </w:tc>
                    <w:tc>
                      <w:tcPr>
                        <w:tcW w:w="1368"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7"/>
                          <w:ind w:left="55" w:right="0"/>
                          <w:jc w:val="center"/>
                          <w:rPr>
                            <w:rFonts w:ascii="宋体" w:hAnsi="宋体" w:cs="宋体" w:eastAsia="宋体" w:hint="default"/>
                            <w:sz w:val="18"/>
                            <w:szCs w:val="18"/>
                          </w:rPr>
                        </w:pPr>
                        <w:r>
                          <w:rPr>
                            <w:rFonts w:ascii="宋体"/>
                            <w:sz w:val="18"/>
                          </w:rPr>
                          <w:t>119,506,224.01</w:t>
                        </w:r>
                      </w:p>
                    </w:tc>
                    <w:tc>
                      <w:tcPr>
                        <w:tcW w:w="1154" w:type="dxa"/>
                        <w:tcBorders>
                          <w:top w:val="single" w:sz="46" w:space="0" w:color="DCDCDC"/>
                          <w:left w:val="single" w:sz="4" w:space="0" w:color="000000"/>
                          <w:bottom w:val="single" w:sz="4" w:space="0" w:color="000000"/>
                          <w:right w:val="single" w:sz="4" w:space="0" w:color="000000"/>
                        </w:tcBorders>
                      </w:tcPr>
                      <w:p>
                        <w:pPr/>
                      </w:p>
                    </w:tc>
                    <w:tc>
                      <w:tcPr>
                        <w:tcW w:w="840" w:type="dxa"/>
                        <w:tcBorders>
                          <w:top w:val="single" w:sz="46" w:space="0" w:color="DCDCDC"/>
                          <w:left w:val="single" w:sz="4" w:space="0" w:color="000000"/>
                          <w:bottom w:val="single" w:sz="4" w:space="0" w:color="000000"/>
                          <w:right w:val="single" w:sz="4" w:space="0" w:color="000000"/>
                        </w:tcBorders>
                      </w:tcPr>
                      <w:p>
                        <w:pPr/>
                      </w:p>
                    </w:tc>
                    <w:tc>
                      <w:tcPr>
                        <w:tcW w:w="1260"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7"/>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46" w:space="0" w:color="DCDCDC"/>
                          <w:left w:val="single" w:sz="4" w:space="0" w:color="000000"/>
                          <w:bottom w:val="single" w:sz="4" w:space="0" w:color="000000"/>
                          <w:right w:val="single" w:sz="4" w:space="0" w:color="000000"/>
                        </w:tcBorders>
                      </w:tcPr>
                      <w:p>
                        <w:pPr/>
                      </w:p>
                    </w:tc>
                    <w:tc>
                      <w:tcPr>
                        <w:tcW w:w="1472"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-239,409,121.34</w:t>
                        </w:r>
                      </w:p>
                    </w:tc>
                    <w:tc>
                      <w:tcPr>
                        <w:tcW w:w="1783"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396,620,903.35</w:t>
                        </w:r>
                      </w:p>
                    </w:tc>
                  </w:tr>
                  <w:tr>
                    <w:trPr>
                      <w:trHeight w:val="228"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7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487,731,995.00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 w:right="0"/>
                          <w:jc w:val="center"/>
                          <w:rPr>
                            <w:rFonts w:ascii="宋体" w:hAnsi="宋体" w:cs="宋体" w:eastAsia="宋体" w:hint="default"/>
                            <w:sz w:val="18"/>
                            <w:szCs w:val="18"/>
                          </w:rPr>
                        </w:pPr>
                        <w:r>
                          <w:rPr>
                            <w:rFonts w:ascii="宋体"/>
                            <w:sz w:val="18"/>
                          </w:rPr>
                          <w:t>119,506,224.01</w:t>
                        </w: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-239,409,121.34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396,620,903.35</w:t>
                        </w:r>
                        <w:r>
                          <w:rPr>
                            <w:rFonts w:ascii="宋体"/>
                            <w:sz w:val="18"/>
                          </w:rPr>
                        </w:r>
                      </w:p>
                    </w:tc>
                  </w:tr>
                  <w:tr>
                    <w:trPr>
                      <w:trHeight w:val="341"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-13,058,730.99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-13,058,730.99</w:t>
                        </w:r>
                      </w:p>
                    </w:tc>
                  </w:tr>
                  <w:tr>
                    <w:trPr>
                      <w:trHeight w:val="341"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-13,058,730.99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-13,058,730.99</w:t>
                        </w:r>
                      </w:p>
                    </w:tc>
                  </w:tr>
                  <w:tr>
                    <w:trPr>
                      <w:trHeight w:val="338"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-13,058,730.99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-13,058,730.99</w:t>
                        </w: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206"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79" w:type="dxa"/>
                        <w:tcBorders>
                          <w:top w:val="single" w:sz="4" w:space="0" w:color="000000"/>
                          <w:left w:val="single" w:sz="10" w:space="0" w:color="DCDCD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487,731,995.00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 w:right="0"/>
                          <w:jc w:val="center"/>
                          <w:rPr>
                            <w:rFonts w:ascii="宋体" w:hAnsi="宋体" w:cs="宋体" w:eastAsia="宋体" w:hint="default"/>
                            <w:sz w:val="18"/>
                            <w:szCs w:val="18"/>
                          </w:rPr>
                        </w:pPr>
                        <w:r>
                          <w:rPr>
                            <w:rFonts w:ascii="宋体"/>
                            <w:sz w:val="18"/>
                          </w:rPr>
                          <w:t>119,506,224.01</w:t>
                        </w: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pacing w:val="-1"/>
                            <w:sz w:val="18"/>
                          </w:rPr>
                          <w:t>-252,467,852.33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pacing w:val="-1"/>
                            <w:sz w:val="18"/>
                          </w:rPr>
                          <w:t>383,562,172.36</w:t>
                        </w:r>
                      </w:p>
                    </w:tc>
                  </w:tr>
                </w:tbl>
                <w:p>
                  <w:pPr/>
                </w:p>
              </w:txbxContent>
            </v:textbox>
            <w10:wrap type="none"/>
          </v:shape>
        </w:pict>
      </w:r>
    </w:p>
    <w:p>
      <w:pPr>
        <w:spacing w:line="240" w:lineRule="auto" w:before="1"/>
        <w:rPr>
          <w:rFonts w:ascii="宋体" w:hAnsi="宋体" w:cs="宋体" w:eastAsia="宋体" w:hint="default"/>
          <w:sz w:val="23"/>
          <w:szCs w:val="23"/>
        </w:rPr>
      </w:pPr>
    </w:p>
    <w:p>
      <w:pPr>
        <w:spacing w:before="44"/>
        <w:ind w:left="1869"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after="0"/>
        <w:jc w:val="left"/>
        <w:rPr>
          <w:rFonts w:ascii="宋体" w:hAnsi="宋体" w:cs="宋体" w:eastAsia="宋体" w:hint="default"/>
          <w:sz w:val="18"/>
          <w:szCs w:val="18"/>
        </w:rPr>
        <w:sectPr>
          <w:pgSz w:w="16840" w:h="11910" w:orient="landscape"/>
          <w:pgMar w:header="884" w:footer="977" w:top="1140" w:bottom="1160" w:left="92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75pt;mso-position-horizontal-relative:char;mso-position-vertical-relative:line" coordorigin="0,0" coordsize="8740,15">
            <v:group style="position:absolute;left:7;top:7;width:8726;height:2" coordorigin="7,7" coordsize="8726,2">
              <v:shape style="position:absolute;left:7;top:7;width:8726;height:2" coordorigin="7,7" coordsize="8726,0" path="m7,7l8733,7e" filled="false" stroked="true" strokeweight=".72pt" strokecolor="#000000">
                <v:path arrowok="t"/>
              </v:shape>
            </v:group>
          </v:group>
        </w:pict>
      </w:r>
      <w:r>
        <w:rPr>
          <w:rFonts w:ascii="宋体" w:hAnsi="宋体" w:cs="宋体" w:eastAsia="宋体" w:hint="default"/>
          <w:sz w:val="2"/>
          <w:szCs w:val="2"/>
        </w:rPr>
      </w:r>
    </w:p>
    <w:p>
      <w:pPr>
        <w:spacing w:before="74"/>
        <w:ind w:left="2274" w:right="3570" w:firstLine="0"/>
        <w:jc w:val="center"/>
        <w:rPr>
          <w:rFonts w:ascii="宋体" w:hAnsi="宋体" w:cs="宋体" w:eastAsia="宋体" w:hint="default"/>
          <w:sz w:val="24"/>
          <w:szCs w:val="24"/>
        </w:rPr>
      </w:pPr>
      <w:r>
        <w:rPr>
          <w:rFonts w:ascii="宋体" w:hAnsi="宋体" w:cs="宋体" w:eastAsia="宋体" w:hint="default"/>
          <w:b/>
          <w:bCs/>
          <w:sz w:val="24"/>
          <w:szCs w:val="24"/>
        </w:rPr>
        <w:t>重庆华智控股股份有限公司</w:t>
      </w:r>
      <w:r>
        <w:rPr>
          <w:rFonts w:ascii="宋体" w:hAnsi="宋体" w:cs="宋体" w:eastAsia="宋体" w:hint="default"/>
          <w:sz w:val="24"/>
          <w:szCs w:val="24"/>
        </w:rPr>
      </w:r>
    </w:p>
    <w:p>
      <w:pPr>
        <w:spacing w:before="154"/>
        <w:ind w:left="2274" w:right="3570"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年度财务报表附注</w:t>
      </w:r>
      <w:r>
        <w:rPr>
          <w:rFonts w:ascii="宋体" w:hAnsi="宋体" w:cs="宋体" w:eastAsia="宋体" w:hint="default"/>
          <w:sz w:val="24"/>
          <w:szCs w:val="24"/>
        </w:rPr>
      </w:r>
    </w:p>
    <w:p>
      <w:pPr>
        <w:spacing w:line="240" w:lineRule="auto" w:before="3"/>
        <w:rPr>
          <w:rFonts w:ascii="宋体" w:hAnsi="宋体" w:cs="宋体" w:eastAsia="宋体" w:hint="default"/>
          <w:b/>
          <w:bCs/>
          <w:sz w:val="17"/>
          <w:szCs w:val="17"/>
        </w:rPr>
      </w:pPr>
    </w:p>
    <w:p>
      <w:pPr>
        <w:pStyle w:val="BodyText"/>
        <w:spacing w:line="410" w:lineRule="auto" w:before="36"/>
        <w:ind w:left="560" w:right="1205" w:hanging="420"/>
        <w:jc w:val="left"/>
      </w:pPr>
      <w:r>
        <w:rPr>
          <w:rFonts w:ascii="宋体" w:hAnsi="宋体" w:cs="宋体" w:eastAsia="宋体" w:hint="default"/>
          <w:b/>
          <w:bCs/>
        </w:rPr>
        <w:t>一、</w:t>
      </w:r>
      <w:r>
        <w:rPr>
          <w:rFonts w:ascii="宋体" w:hAnsi="宋体" w:cs="宋体" w:eastAsia="宋体" w:hint="default"/>
          <w:b/>
          <w:bCs/>
          <w:spacing w:val="-49"/>
        </w:rPr>
        <w:t> </w:t>
      </w:r>
      <w:r>
        <w:rPr>
          <w:rFonts w:ascii="宋体" w:hAnsi="宋体" w:cs="宋体" w:eastAsia="宋体" w:hint="default"/>
          <w:b/>
          <w:bCs/>
        </w:rPr>
        <w:t>公司的基本情况</w:t>
      </w:r>
      <w:r>
        <w:rPr>
          <w:rFonts w:ascii="宋体" w:hAnsi="宋体" w:cs="宋体" w:eastAsia="宋体" w:hint="default"/>
          <w:b/>
          <w:bCs/>
          <w:w w:val="100"/>
        </w:rPr>
        <w:t> </w:t>
      </w:r>
      <w:r>
        <w:rPr>
          <w:spacing w:val="-4"/>
          <w:w w:val="96"/>
        </w:rPr>
        <w:t>重庆华智控股股份有限公司（以下简称</w:t>
      </w:r>
      <w:r>
        <w:rPr>
          <w:rFonts w:ascii="Arial" w:hAnsi="Arial" w:cs="Arial" w:eastAsia="Arial" w:hint="default"/>
          <w:spacing w:val="-4"/>
          <w:w w:val="96"/>
        </w:rPr>
        <w:t>―</w:t>
      </w:r>
      <w:r>
        <w:rPr>
          <w:spacing w:val="-4"/>
          <w:w w:val="96"/>
        </w:rPr>
        <w:t>公司</w:t>
      </w:r>
      <w:r>
        <w:rPr>
          <w:rFonts w:ascii="Arial" w:hAnsi="Arial" w:cs="Arial" w:eastAsia="Arial" w:hint="default"/>
          <w:spacing w:val="-4"/>
          <w:w w:val="96"/>
        </w:rPr>
        <w:t>‖</w:t>
      </w:r>
      <w:r>
        <w:rPr>
          <w:spacing w:val="-4"/>
          <w:w w:val="96"/>
        </w:rPr>
        <w:t>或</w:t>
      </w:r>
      <w:r>
        <w:rPr>
          <w:rFonts w:ascii="Arial" w:hAnsi="Arial" w:cs="Arial" w:eastAsia="Arial" w:hint="default"/>
          <w:spacing w:val="-4"/>
          <w:w w:val="96"/>
        </w:rPr>
        <w:t>―</w:t>
      </w:r>
      <w:r>
        <w:rPr>
          <w:spacing w:val="-4"/>
          <w:w w:val="96"/>
        </w:rPr>
        <w:t>本公司</w:t>
      </w:r>
      <w:r>
        <w:rPr>
          <w:rFonts w:ascii="Arial" w:hAnsi="Arial" w:cs="Arial" w:eastAsia="Arial" w:hint="default"/>
          <w:spacing w:val="-4"/>
          <w:w w:val="96"/>
        </w:rPr>
        <w:t>‖</w:t>
      </w:r>
      <w:r>
        <w:rPr>
          <w:spacing w:val="-4"/>
          <w:w w:val="96"/>
        </w:rPr>
        <w:t>）系由重庆华立药业股份有限公司更名</w:t>
      </w:r>
    </w:p>
    <w:p>
      <w:pPr>
        <w:pStyle w:val="BodyText"/>
        <w:spacing w:line="241" w:lineRule="exact"/>
        <w:ind w:right="1205"/>
        <w:jc w:val="left"/>
      </w:pPr>
      <w:r>
        <w:rPr/>
        <w:t>而来。其前身为重庆川仪股份有限公司，系于</w:t>
      </w:r>
      <w:r>
        <w:rPr>
          <w:spacing w:val="-56"/>
        </w:rPr>
        <w:t> </w:t>
      </w:r>
      <w:r>
        <w:rPr>
          <w:rFonts w:ascii="Arial" w:hAnsi="Arial" w:cs="Arial" w:eastAsia="Arial" w:hint="default"/>
        </w:rPr>
        <w:t>1993</w:t>
      </w:r>
      <w:r>
        <w:rPr>
          <w:rFonts w:ascii="Arial" w:hAnsi="Arial" w:cs="Arial" w:eastAsia="Arial" w:hint="default"/>
          <w:spacing w:val="-9"/>
        </w:rPr>
        <w:t> </w:t>
      </w:r>
      <w:r>
        <w:rPr/>
        <w:t>年经重庆市体改委体改发</w:t>
      </w:r>
      <w:r>
        <w:rPr>
          <w:rFonts w:ascii="Arial" w:hAnsi="Arial" w:cs="Arial" w:eastAsia="Arial" w:hint="default"/>
        </w:rPr>
        <w:t>[93]30</w:t>
      </w:r>
      <w:r>
        <w:rPr>
          <w:rFonts w:ascii="Arial" w:hAnsi="Arial" w:cs="Arial" w:eastAsia="Arial" w:hint="default"/>
          <w:spacing w:val="-10"/>
        </w:rPr>
        <w:t> </w:t>
      </w:r>
      <w:r>
        <w:rPr/>
        <w:t>号文批准设立</w:t>
      </w:r>
    </w:p>
    <w:p>
      <w:pPr>
        <w:pStyle w:val="BodyText"/>
        <w:spacing w:line="240" w:lineRule="auto" w:before="120"/>
        <w:ind w:right="1205"/>
        <w:jc w:val="left"/>
        <w:rPr>
          <w:rFonts w:ascii="Arial" w:hAnsi="Arial" w:cs="Arial" w:eastAsia="Arial" w:hint="default"/>
        </w:rPr>
      </w:pPr>
      <w:r>
        <w:rPr>
          <w:spacing w:val="-6"/>
        </w:rPr>
        <w:t>的定向募集股份有限公司，</w:t>
      </w:r>
      <w:r>
        <w:rPr>
          <w:rFonts w:ascii="Arial" w:hAnsi="Arial" w:cs="Arial" w:eastAsia="Arial" w:hint="default"/>
          <w:spacing w:val="-6"/>
        </w:rPr>
        <w:t>1996</w:t>
      </w:r>
      <w:r>
        <w:rPr>
          <w:rFonts w:ascii="Arial" w:hAnsi="Arial" w:cs="Arial" w:eastAsia="Arial" w:hint="default"/>
          <w:spacing w:val="-2"/>
        </w:rPr>
        <w:t> </w:t>
      </w:r>
      <w:r>
        <w:rPr/>
        <w:t>年经批准向社会公开发行</w:t>
      </w:r>
      <w:r>
        <w:rPr>
          <w:spacing w:val="-51"/>
        </w:rPr>
        <w:t> </w:t>
      </w:r>
      <w:r>
        <w:rPr>
          <w:rFonts w:ascii="Arial" w:hAnsi="Arial" w:cs="Arial" w:eastAsia="Arial" w:hint="default"/>
        </w:rPr>
        <w:t>A</w:t>
      </w:r>
      <w:r>
        <w:rPr>
          <w:rFonts w:ascii="Arial" w:hAnsi="Arial" w:cs="Arial" w:eastAsia="Arial" w:hint="default"/>
          <w:spacing w:val="-1"/>
        </w:rPr>
        <w:t> </w:t>
      </w:r>
      <w:r>
        <w:rPr>
          <w:spacing w:val="-14"/>
        </w:rPr>
        <w:t>股股票，同年</w:t>
      </w:r>
      <w:r>
        <w:rPr>
          <w:spacing w:val="-51"/>
        </w:rPr>
        <w:t> </w:t>
      </w:r>
      <w:r>
        <w:rPr>
          <w:rFonts w:ascii="Arial" w:hAnsi="Arial" w:cs="Arial" w:eastAsia="Arial" w:hint="default"/>
        </w:rPr>
        <w:t>8</w:t>
      </w:r>
      <w:r>
        <w:rPr>
          <w:rFonts w:ascii="Arial" w:hAnsi="Arial" w:cs="Arial" w:eastAsia="Arial" w:hint="default"/>
          <w:spacing w:val="-4"/>
        </w:rPr>
        <w:t> </w:t>
      </w:r>
      <w:r>
        <w:rPr/>
        <w:t>月</w:t>
      </w:r>
      <w:r>
        <w:rPr>
          <w:spacing w:val="-49"/>
        </w:rPr>
        <w:t> </w:t>
      </w:r>
      <w:r>
        <w:rPr>
          <w:rFonts w:ascii="Arial" w:hAnsi="Arial" w:cs="Arial" w:eastAsia="Arial" w:hint="default"/>
        </w:rPr>
        <w:t>30</w:t>
      </w:r>
      <w:r>
        <w:rPr>
          <w:rFonts w:ascii="Arial" w:hAnsi="Arial" w:cs="Arial" w:eastAsia="Arial" w:hint="default"/>
          <w:spacing w:val="-1"/>
        </w:rPr>
        <w:t> </w:t>
      </w:r>
      <w:r>
        <w:rPr>
          <w:spacing w:val="-17"/>
        </w:rPr>
        <w:t>日，人民币</w:t>
      </w:r>
      <w:r>
        <w:rPr>
          <w:spacing w:val="-49"/>
        </w:rPr>
        <w:t> </w:t>
      </w:r>
      <w:r>
        <w:rPr>
          <w:rFonts w:ascii="Arial" w:hAnsi="Arial" w:cs="Arial" w:eastAsia="Arial" w:hint="default"/>
        </w:rPr>
        <w:t>4,500</w:t>
      </w:r>
    </w:p>
    <w:p>
      <w:pPr>
        <w:pStyle w:val="BodyText"/>
        <w:spacing w:line="240" w:lineRule="auto" w:before="118"/>
        <w:ind w:right="1205"/>
        <w:jc w:val="left"/>
      </w:pPr>
      <w:r>
        <w:rPr/>
        <w:t>万股普通股在深交所挂牌上市。</w:t>
      </w:r>
    </w:p>
    <w:p>
      <w:pPr>
        <w:spacing w:line="240" w:lineRule="auto" w:before="7"/>
        <w:rPr>
          <w:rFonts w:ascii="宋体" w:hAnsi="宋体" w:cs="宋体" w:eastAsia="宋体" w:hint="default"/>
          <w:sz w:val="19"/>
          <w:szCs w:val="19"/>
        </w:rPr>
      </w:pPr>
    </w:p>
    <w:p>
      <w:pPr>
        <w:pStyle w:val="BodyText"/>
        <w:spacing w:line="338" w:lineRule="auto"/>
        <w:ind w:right="1462" w:firstLine="420"/>
        <w:jc w:val="both"/>
      </w:pPr>
      <w:r>
        <w:rPr/>
        <w:t>公司于</w:t>
      </w:r>
      <w:r>
        <w:rPr>
          <w:spacing w:val="-53"/>
        </w:rPr>
        <w:t> </w:t>
      </w:r>
      <w:r>
        <w:rPr>
          <w:rFonts w:ascii="Arial" w:hAnsi="Arial" w:cs="Arial" w:eastAsia="Arial" w:hint="default"/>
        </w:rPr>
        <w:t>1999</w:t>
      </w:r>
      <w:r>
        <w:rPr>
          <w:rFonts w:ascii="Arial" w:hAnsi="Arial" w:cs="Arial" w:eastAsia="Arial" w:hint="default"/>
          <w:spacing w:val="-8"/>
        </w:rPr>
        <w:t> </w:t>
      </w:r>
      <w:r>
        <w:rPr/>
        <w:t>年</w:t>
      </w:r>
      <w:r>
        <w:rPr>
          <w:spacing w:val="-53"/>
        </w:rPr>
        <w:t> </w:t>
      </w:r>
      <w:r>
        <w:rPr>
          <w:rFonts w:ascii="Arial" w:hAnsi="Arial" w:cs="Arial" w:eastAsia="Arial" w:hint="default"/>
        </w:rPr>
        <w:t>5</w:t>
      </w:r>
      <w:r>
        <w:rPr>
          <w:rFonts w:ascii="Arial" w:hAnsi="Arial" w:cs="Arial" w:eastAsia="Arial" w:hint="default"/>
          <w:spacing w:val="-8"/>
        </w:rPr>
        <w:t> </w:t>
      </w:r>
      <w:r>
        <w:rPr/>
        <w:t>月和</w:t>
      </w:r>
      <w:r>
        <w:rPr>
          <w:spacing w:val="-54"/>
        </w:rPr>
        <w:t> </w:t>
      </w:r>
      <w:r>
        <w:rPr>
          <w:rFonts w:ascii="Arial" w:hAnsi="Arial" w:cs="Arial" w:eastAsia="Arial" w:hint="default"/>
        </w:rPr>
        <w:t>7</w:t>
      </w:r>
      <w:r>
        <w:rPr>
          <w:rFonts w:ascii="Arial" w:hAnsi="Arial" w:cs="Arial" w:eastAsia="Arial" w:hint="default"/>
          <w:spacing w:val="-8"/>
        </w:rPr>
        <w:t> </w:t>
      </w:r>
      <w:r>
        <w:rPr/>
        <w:t>月分别进行了股权转让和重大资产重组，华方医药科技有限公司（原</w:t>
      </w:r>
      <w:r>
        <w:rPr>
          <w:w w:val="100"/>
        </w:rPr>
        <w:t> </w:t>
      </w:r>
      <w:r>
        <w:rPr>
          <w:spacing w:val="-2"/>
          <w:w w:val="98"/>
        </w:rPr>
        <w:t>名华立产业集团有限公司，以下简称</w:t>
      </w:r>
      <w:r>
        <w:rPr>
          <w:rFonts w:ascii="Arial" w:hAnsi="Arial" w:cs="Arial" w:eastAsia="Arial" w:hint="default"/>
          <w:spacing w:val="-2"/>
          <w:w w:val="98"/>
        </w:rPr>
        <w:t>―</w:t>
      </w:r>
      <w:r>
        <w:rPr>
          <w:spacing w:val="-2"/>
          <w:w w:val="98"/>
        </w:rPr>
        <w:t>华方医药</w:t>
      </w:r>
      <w:r>
        <w:rPr>
          <w:rFonts w:ascii="Arial" w:hAnsi="Arial" w:cs="Arial" w:eastAsia="Arial" w:hint="default"/>
          <w:spacing w:val="-2"/>
          <w:w w:val="98"/>
        </w:rPr>
        <w:t>‖</w:t>
      </w:r>
      <w:r>
        <w:rPr>
          <w:spacing w:val="-2"/>
          <w:w w:val="98"/>
        </w:rPr>
        <w:t>）成为公司第一大股东。</w:t>
      </w:r>
      <w:r>
        <w:rPr>
          <w:rFonts w:ascii="Arial" w:hAnsi="Arial" w:cs="Arial" w:eastAsia="Arial" w:hint="default"/>
          <w:spacing w:val="-2"/>
          <w:w w:val="98"/>
        </w:rPr>
        <w:t>1999</w:t>
      </w:r>
      <w:r>
        <w:rPr>
          <w:rFonts w:ascii="Arial" w:hAnsi="Arial" w:cs="Arial" w:eastAsia="Arial" w:hint="default"/>
          <w:spacing w:val="3"/>
          <w:w w:val="98"/>
        </w:rPr>
        <w:t> </w:t>
      </w:r>
      <w:r>
        <w:rPr>
          <w:w w:val="100"/>
        </w:rPr>
        <w:t>年</w:t>
      </w:r>
      <w:r>
        <w:rPr>
          <w:spacing w:val="-42"/>
          <w:w w:val="100"/>
        </w:rPr>
        <w:t> </w:t>
      </w:r>
      <w:r>
        <w:rPr>
          <w:rFonts w:ascii="Arial" w:hAnsi="Arial" w:cs="Arial" w:eastAsia="Arial" w:hint="default"/>
          <w:w w:val="100"/>
        </w:rPr>
        <w:t>10</w:t>
      </w:r>
      <w:r>
        <w:rPr>
          <w:rFonts w:ascii="Arial" w:hAnsi="Arial" w:cs="Arial" w:eastAsia="Arial" w:hint="default"/>
          <w:spacing w:val="2"/>
          <w:w w:val="100"/>
        </w:rPr>
        <w:t> </w:t>
      </w:r>
      <w:r>
        <w:rPr>
          <w:spacing w:val="-1"/>
          <w:w w:val="100"/>
        </w:rPr>
        <w:t>月公司更名为</w:t>
      </w:r>
      <w:r>
        <w:rPr>
          <w:spacing w:val="-98"/>
          <w:w w:val="100"/>
        </w:rPr>
        <w:t> </w:t>
      </w:r>
      <w:r>
        <w:rPr>
          <w:spacing w:val="-98"/>
          <w:w w:val="100"/>
        </w:rPr>
      </w:r>
      <w:r>
        <w:rPr/>
        <w:t>重庆华立控股股份有限公司，</w:t>
      </w:r>
      <w:r>
        <w:rPr>
          <w:rFonts w:ascii="Arial" w:hAnsi="Arial" w:cs="Arial" w:eastAsia="Arial" w:hint="default"/>
        </w:rPr>
        <w:t>2006</w:t>
      </w:r>
      <w:r>
        <w:rPr>
          <w:rFonts w:ascii="Arial" w:hAnsi="Arial" w:cs="Arial" w:eastAsia="Arial" w:hint="default"/>
          <w:spacing w:val="-8"/>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月公司更名为重庆华立药业股份有限公司。</w:t>
      </w:r>
    </w:p>
    <w:p>
      <w:pPr>
        <w:pStyle w:val="BodyText"/>
        <w:spacing w:line="338" w:lineRule="auto" w:before="144"/>
        <w:ind w:right="1205" w:firstLine="420"/>
        <w:jc w:val="left"/>
      </w:pPr>
      <w:r>
        <w:rPr>
          <w:rFonts w:ascii="Arial" w:hAnsi="Arial" w:cs="Arial" w:eastAsia="Arial" w:hint="default"/>
        </w:rPr>
        <w:t>2001</w:t>
      </w:r>
      <w:r>
        <w:rPr>
          <w:rFonts w:ascii="Arial" w:hAnsi="Arial" w:cs="Arial" w:eastAsia="Arial" w:hint="default"/>
          <w:spacing w:val="-7"/>
        </w:rPr>
        <w:t> </w:t>
      </w:r>
      <w:r>
        <w:rPr/>
        <w:t>年度，公司以</w:t>
      </w:r>
      <w:r>
        <w:rPr>
          <w:spacing w:val="-54"/>
        </w:rPr>
        <w:t> </w:t>
      </w:r>
      <w:r>
        <w:rPr>
          <w:rFonts w:ascii="Arial" w:hAnsi="Arial" w:cs="Arial" w:eastAsia="Arial" w:hint="default"/>
        </w:rPr>
        <w:t>10</w:t>
      </w:r>
      <w:r>
        <w:rPr/>
        <w:t>：</w:t>
      </w:r>
      <w:r>
        <w:rPr>
          <w:rFonts w:ascii="Arial" w:hAnsi="Arial" w:cs="Arial" w:eastAsia="Arial" w:hint="default"/>
        </w:rPr>
        <w:t>2.5</w:t>
      </w:r>
      <w:r>
        <w:rPr>
          <w:rFonts w:ascii="Arial" w:hAnsi="Arial" w:cs="Arial" w:eastAsia="Arial" w:hint="default"/>
          <w:spacing w:val="-7"/>
        </w:rPr>
        <w:t> </w:t>
      </w:r>
      <w:r>
        <w:rPr/>
        <w:t>的比例以资本公积向全体股东转增股本</w:t>
      </w:r>
      <w:r>
        <w:rPr>
          <w:spacing w:val="-54"/>
        </w:rPr>
        <w:t> </w:t>
      </w:r>
      <w:r>
        <w:rPr>
          <w:rFonts w:ascii="Arial" w:hAnsi="Arial" w:cs="Arial" w:eastAsia="Arial" w:hint="default"/>
        </w:rPr>
        <w:t>38,195,000.00</w:t>
      </w:r>
      <w:r>
        <w:rPr>
          <w:rFonts w:ascii="Arial" w:hAnsi="Arial" w:cs="Arial" w:eastAsia="Arial" w:hint="default"/>
          <w:spacing w:val="-8"/>
        </w:rPr>
        <w:t> </w:t>
      </w:r>
      <w:r>
        <w:rPr/>
        <w:t>元。</w:t>
      </w:r>
      <w:r>
        <w:rPr>
          <w:rFonts w:ascii="Arial" w:hAnsi="Arial" w:cs="Arial" w:eastAsia="Arial" w:hint="default"/>
        </w:rPr>
        <w:t>2003</w:t>
      </w:r>
      <w:r>
        <w:rPr>
          <w:rFonts w:ascii="Arial" w:hAnsi="Arial" w:cs="Arial" w:eastAsia="Arial" w:hint="default"/>
          <w:w w:val="100"/>
        </w:rPr>
        <w:t> </w:t>
      </w:r>
      <w:r>
        <w:rPr>
          <w:spacing w:val="-4"/>
        </w:rPr>
        <w:t>年，经中国证监会证监发行字</w:t>
      </w:r>
      <w:r>
        <w:rPr>
          <w:rFonts w:ascii="Arial" w:hAnsi="Arial" w:cs="Arial" w:eastAsia="Arial" w:hint="default"/>
          <w:spacing w:val="-4"/>
        </w:rPr>
        <w:t>[2003]43 </w:t>
      </w:r>
      <w:r>
        <w:rPr>
          <w:spacing w:val="-5"/>
        </w:rPr>
        <w:t>号文核准，公司向社会公开增发不超过人民币普通股（</w:t>
      </w:r>
      <w:r>
        <w:rPr>
          <w:rFonts w:ascii="Arial" w:hAnsi="Arial" w:cs="Arial" w:eastAsia="Arial" w:hint="default"/>
          <w:spacing w:val="-5"/>
        </w:rPr>
        <w:t>A </w:t>
      </w:r>
      <w:r>
        <w:rPr/>
        <w:t>股）</w:t>
      </w:r>
      <w:r>
        <w:rPr>
          <w:spacing w:val="-81"/>
        </w:rPr>
        <w:t> </w:t>
      </w:r>
      <w:r>
        <w:rPr>
          <w:rFonts w:ascii="Arial" w:hAnsi="Arial" w:cs="Arial" w:eastAsia="Arial" w:hint="default"/>
        </w:rPr>
        <w:t>35,000,000</w:t>
      </w:r>
      <w:r>
        <w:rPr>
          <w:rFonts w:ascii="Arial" w:hAnsi="Arial" w:cs="Arial" w:eastAsia="Arial" w:hint="default"/>
          <w:spacing w:val="-9"/>
        </w:rPr>
        <w:t> </w:t>
      </w:r>
      <w:r>
        <w:rPr/>
        <w:t>股。</w:t>
      </w:r>
      <w:r>
        <w:rPr>
          <w:rFonts w:ascii="Arial" w:hAnsi="Arial" w:cs="Arial" w:eastAsia="Arial" w:hint="default"/>
        </w:rPr>
        <w:t>2004</w:t>
      </w:r>
      <w:r>
        <w:rPr>
          <w:rFonts w:ascii="Arial" w:hAnsi="Arial" w:cs="Arial" w:eastAsia="Arial" w:hint="default"/>
          <w:spacing w:val="-7"/>
        </w:rPr>
        <w:t> </w:t>
      </w:r>
      <w:r>
        <w:rPr/>
        <w:t>年，公司以</w:t>
      </w:r>
      <w:r>
        <w:rPr>
          <w:spacing w:val="-53"/>
        </w:rPr>
        <w:t> </w:t>
      </w:r>
      <w:r>
        <w:rPr>
          <w:rFonts w:ascii="Arial" w:hAnsi="Arial" w:cs="Arial" w:eastAsia="Arial" w:hint="default"/>
        </w:rPr>
        <w:t>2003</w:t>
      </w:r>
      <w:r>
        <w:rPr>
          <w:rFonts w:ascii="Arial" w:hAnsi="Arial" w:cs="Arial" w:eastAsia="Arial" w:hint="default"/>
          <w:spacing w:val="-7"/>
        </w:rPr>
        <w:t> </w:t>
      </w:r>
      <w:r>
        <w:rPr/>
        <w:t>年末总股本</w:t>
      </w:r>
      <w:r>
        <w:rPr>
          <w:spacing w:val="-54"/>
        </w:rPr>
        <w:t> </w:t>
      </w:r>
      <w:r>
        <w:rPr>
          <w:rFonts w:ascii="Arial" w:hAnsi="Arial" w:cs="Arial" w:eastAsia="Arial" w:hint="default"/>
        </w:rPr>
        <w:t>223,722,157</w:t>
      </w:r>
      <w:r>
        <w:rPr>
          <w:rFonts w:ascii="Arial" w:hAnsi="Arial" w:cs="Arial" w:eastAsia="Arial" w:hint="default"/>
          <w:spacing w:val="-9"/>
        </w:rPr>
        <w:t> </w:t>
      </w:r>
      <w:r>
        <w:rPr/>
        <w:t>股为基数，用资本公积金向全体</w:t>
      </w:r>
      <w:r>
        <w:rPr>
          <w:w w:val="100"/>
        </w:rPr>
        <w:t> </w:t>
      </w:r>
      <w:r>
        <w:rPr/>
        <w:t>股东按</w:t>
      </w:r>
      <w:r>
        <w:rPr>
          <w:spacing w:val="-54"/>
        </w:rPr>
        <w:t> </w:t>
      </w:r>
      <w:r>
        <w:rPr>
          <w:rFonts w:ascii="Arial" w:hAnsi="Arial" w:cs="Arial" w:eastAsia="Arial" w:hint="default"/>
        </w:rPr>
        <w:t>10</w:t>
      </w:r>
      <w:r>
        <w:rPr/>
        <w:t>：</w:t>
      </w:r>
      <w:r>
        <w:rPr>
          <w:rFonts w:ascii="Arial" w:hAnsi="Arial" w:cs="Arial" w:eastAsia="Arial" w:hint="default"/>
        </w:rPr>
        <w:t>6</w:t>
      </w:r>
      <w:r>
        <w:rPr>
          <w:rFonts w:ascii="Arial" w:hAnsi="Arial" w:cs="Arial" w:eastAsia="Arial" w:hint="default"/>
          <w:spacing w:val="-9"/>
        </w:rPr>
        <w:t> </w:t>
      </w:r>
      <w:r>
        <w:rPr/>
        <w:t>的比例转增股本</w:t>
      </w:r>
      <w:r>
        <w:rPr>
          <w:spacing w:val="-53"/>
        </w:rPr>
        <w:t> </w:t>
      </w:r>
      <w:r>
        <w:rPr>
          <w:rFonts w:ascii="Arial" w:hAnsi="Arial" w:cs="Arial" w:eastAsia="Arial" w:hint="default"/>
        </w:rPr>
        <w:t>134,233,294.00</w:t>
      </w:r>
      <w:r>
        <w:rPr>
          <w:rFonts w:ascii="Arial" w:hAnsi="Arial" w:cs="Arial" w:eastAsia="Arial" w:hint="default"/>
          <w:spacing w:val="-9"/>
        </w:rPr>
        <w:t> </w:t>
      </w:r>
      <w:r>
        <w:rPr/>
        <w:t>元；</w:t>
      </w:r>
      <w:r>
        <w:rPr>
          <w:rFonts w:ascii="Arial" w:hAnsi="Arial" w:cs="Arial" w:eastAsia="Arial" w:hint="default"/>
        </w:rPr>
        <w:t>2005</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2</w:t>
      </w:r>
      <w:r>
        <w:rPr>
          <w:rFonts w:ascii="Arial" w:hAnsi="Arial" w:cs="Arial" w:eastAsia="Arial" w:hint="default"/>
          <w:spacing w:val="-9"/>
        </w:rPr>
        <w:t> </w:t>
      </w:r>
      <w:r>
        <w:rPr/>
        <w:t>日，公司的股权分置方案获得</w:t>
      </w:r>
      <w:r>
        <w:rPr>
          <w:w w:val="100"/>
        </w:rPr>
        <w:t> </w:t>
      </w:r>
      <w:r>
        <w:rPr>
          <w:rFonts w:ascii="Arial" w:hAnsi="Arial" w:cs="Arial" w:eastAsia="Arial" w:hint="default"/>
        </w:rPr>
        <w:t>2005</w:t>
      </w:r>
      <w:r>
        <w:rPr>
          <w:rFonts w:ascii="Arial" w:hAnsi="Arial" w:cs="Arial" w:eastAsia="Arial" w:hint="default"/>
          <w:spacing w:val="-8"/>
        </w:rPr>
        <w:t> </w:t>
      </w:r>
      <w:r>
        <w:rPr/>
        <w:t>年第二次临时股东大会审议通过，公司以流通股本</w:t>
      </w:r>
      <w:r>
        <w:rPr>
          <w:spacing w:val="-55"/>
        </w:rPr>
        <w:t> </w:t>
      </w:r>
      <w:r>
        <w:rPr>
          <w:rFonts w:ascii="Arial" w:hAnsi="Arial" w:cs="Arial" w:eastAsia="Arial" w:hint="default"/>
        </w:rPr>
        <w:t>142,395,454</w:t>
      </w:r>
      <w:r>
        <w:rPr>
          <w:rFonts w:ascii="Arial" w:hAnsi="Arial" w:cs="Arial" w:eastAsia="Arial" w:hint="default"/>
          <w:spacing w:val="-7"/>
        </w:rPr>
        <w:t> </w:t>
      </w:r>
      <w:r>
        <w:rPr/>
        <w:t>为基数，用资本公积向流通</w:t>
      </w:r>
      <w:r>
        <w:rPr>
          <w:w w:val="100"/>
        </w:rPr>
        <w:t> </w:t>
      </w:r>
      <w:r>
        <w:rPr/>
        <w:t>股股东按</w:t>
      </w:r>
      <w:r>
        <w:rPr>
          <w:spacing w:val="-50"/>
        </w:rPr>
        <w:t> </w:t>
      </w:r>
      <w:r>
        <w:rPr>
          <w:rFonts w:ascii="Arial" w:hAnsi="Arial" w:cs="Arial" w:eastAsia="Arial" w:hint="default"/>
          <w:spacing w:val="-7"/>
        </w:rPr>
        <w:t>10</w:t>
      </w:r>
      <w:r>
        <w:rPr>
          <w:spacing w:val="-7"/>
        </w:rPr>
        <w:t>：</w:t>
      </w:r>
      <w:r>
        <w:rPr>
          <w:rFonts w:ascii="Arial" w:hAnsi="Arial" w:cs="Arial" w:eastAsia="Arial" w:hint="default"/>
          <w:spacing w:val="-7"/>
        </w:rPr>
        <w:t>6</w:t>
      </w:r>
      <w:r>
        <w:rPr>
          <w:rFonts w:ascii="Arial" w:hAnsi="Arial" w:cs="Arial" w:eastAsia="Arial" w:hint="default"/>
          <w:spacing w:val="-5"/>
        </w:rPr>
        <w:t> </w:t>
      </w:r>
      <w:r>
        <w:rPr/>
        <w:t>的比例转增股本</w:t>
      </w:r>
      <w:r>
        <w:rPr>
          <w:spacing w:val="-49"/>
        </w:rPr>
        <w:t> </w:t>
      </w:r>
      <w:r>
        <w:rPr>
          <w:rFonts w:ascii="Arial" w:hAnsi="Arial" w:cs="Arial" w:eastAsia="Arial" w:hint="default"/>
        </w:rPr>
        <w:t>85,437,272</w:t>
      </w:r>
      <w:r>
        <w:rPr>
          <w:rFonts w:ascii="Arial" w:hAnsi="Arial" w:cs="Arial" w:eastAsia="Arial" w:hint="default"/>
          <w:spacing w:val="-3"/>
        </w:rPr>
        <w:t> </w:t>
      </w:r>
      <w:r>
        <w:rPr>
          <w:spacing w:val="-5"/>
        </w:rPr>
        <w:t>股。</w:t>
      </w:r>
      <w:r>
        <w:rPr>
          <w:rFonts w:ascii="Arial" w:hAnsi="Arial" w:cs="Arial" w:eastAsia="Arial" w:hint="default"/>
          <w:spacing w:val="-5"/>
        </w:rPr>
        <w:t>2005</w:t>
      </w:r>
      <w:r>
        <w:rPr>
          <w:rFonts w:ascii="Arial" w:hAnsi="Arial" w:cs="Arial" w:eastAsia="Arial" w:hint="default"/>
          <w:spacing w:val="-2"/>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0"/>
        </w:rPr>
        <w:t> </w:t>
      </w:r>
      <w:r>
        <w:rPr>
          <w:rFonts w:ascii="Arial" w:hAnsi="Arial" w:cs="Arial" w:eastAsia="Arial" w:hint="default"/>
        </w:rPr>
        <w:t>22</w:t>
      </w:r>
      <w:r>
        <w:rPr>
          <w:rFonts w:ascii="Arial" w:hAnsi="Arial" w:cs="Arial" w:eastAsia="Arial" w:hint="default"/>
          <w:spacing w:val="-3"/>
        </w:rPr>
        <w:t> </w:t>
      </w:r>
      <w:r>
        <w:rPr>
          <w:spacing w:val="-5"/>
        </w:rPr>
        <w:t>日，该股改方案实施完毕。截止</w:t>
      </w:r>
      <w:r>
        <w:rPr>
          <w:spacing w:val="-97"/>
        </w:rPr>
        <w:t> </w:t>
      </w:r>
      <w:r>
        <w:rPr>
          <w:spacing w:val="-97"/>
        </w:rPr>
      </w:r>
      <w:r>
        <w:rPr>
          <w:rFonts w:ascii="Arial" w:hAnsi="Arial" w:cs="Arial" w:eastAsia="Arial" w:hint="default"/>
        </w:rPr>
        <w:t>2005</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日，公司总股份变更为</w:t>
      </w:r>
      <w:r>
        <w:rPr>
          <w:spacing w:val="-53"/>
        </w:rPr>
        <w:t> </w:t>
      </w:r>
      <w:r>
        <w:rPr>
          <w:rFonts w:ascii="Arial" w:hAnsi="Arial" w:cs="Arial" w:eastAsia="Arial" w:hint="default"/>
        </w:rPr>
        <w:t>443,392,723</w:t>
      </w:r>
      <w:r>
        <w:rPr>
          <w:rFonts w:ascii="Arial" w:hAnsi="Arial" w:cs="Arial" w:eastAsia="Arial" w:hint="default"/>
          <w:spacing w:val="-9"/>
        </w:rPr>
        <w:t> </w:t>
      </w:r>
      <w:r>
        <w:rPr/>
        <w:t>股，股本</w:t>
      </w:r>
      <w:r>
        <w:rPr>
          <w:spacing w:val="-56"/>
        </w:rPr>
        <w:t> </w:t>
      </w:r>
      <w:r>
        <w:rPr>
          <w:rFonts w:ascii="Arial" w:hAnsi="Arial" w:cs="Arial" w:eastAsia="Arial" w:hint="default"/>
        </w:rPr>
        <w:t>443,392,723.00</w:t>
      </w:r>
      <w:r>
        <w:rPr>
          <w:rFonts w:ascii="Arial" w:hAnsi="Arial" w:cs="Arial" w:eastAsia="Arial" w:hint="default"/>
          <w:spacing w:val="-6"/>
        </w:rPr>
        <w:t> </w:t>
      </w:r>
      <w:r>
        <w:rPr/>
        <w:t>元，均为流通股。</w:t>
      </w:r>
    </w:p>
    <w:p>
      <w:pPr>
        <w:pStyle w:val="BodyText"/>
        <w:spacing w:line="340" w:lineRule="auto" w:before="142"/>
        <w:ind w:right="1436" w:firstLine="420"/>
        <w:jc w:val="both"/>
      </w:pP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spacing w:val="-3"/>
        </w:rPr>
        <w:t>月，经</w:t>
      </w:r>
      <w:r>
        <w:rPr>
          <w:spacing w:val="-54"/>
        </w:rPr>
        <w:t> </w:t>
      </w:r>
      <w:r>
        <w:rPr>
          <w:rFonts w:ascii="Arial" w:hAnsi="Arial" w:cs="Arial" w:eastAsia="Arial" w:hint="default"/>
        </w:rPr>
        <w:t>2005</w:t>
      </w:r>
      <w:r>
        <w:rPr>
          <w:rFonts w:ascii="Arial" w:hAnsi="Arial" w:cs="Arial" w:eastAsia="Arial" w:hint="default"/>
          <w:spacing w:val="-8"/>
        </w:rPr>
        <w:t> </w:t>
      </w:r>
      <w:r>
        <w:rPr/>
        <w:t>年度股东大会批准，公司以</w:t>
      </w:r>
      <w:r>
        <w:rPr>
          <w:spacing w:val="-56"/>
        </w:rPr>
        <w:t> </w:t>
      </w:r>
      <w:r>
        <w:rPr>
          <w:rFonts w:ascii="Arial" w:hAnsi="Arial" w:cs="Arial" w:eastAsia="Arial" w:hint="default"/>
        </w:rPr>
        <w:t>2005</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日的总股本</w:t>
      </w:r>
      <w:r>
        <w:rPr>
          <w:spacing w:val="-53"/>
        </w:rPr>
        <w:t> </w:t>
      </w:r>
      <w:r>
        <w:rPr>
          <w:rFonts w:ascii="Arial" w:hAnsi="Arial" w:cs="Arial" w:eastAsia="Arial" w:hint="default"/>
        </w:rPr>
        <w:t>443,392,723</w:t>
      </w:r>
      <w:r>
        <w:rPr>
          <w:rFonts w:ascii="Arial" w:hAnsi="Arial" w:cs="Arial" w:eastAsia="Arial" w:hint="default"/>
          <w:w w:val="100"/>
        </w:rPr>
        <w:t> </w:t>
      </w:r>
      <w:r>
        <w:rPr/>
        <w:t>股为基数，按</w:t>
      </w:r>
      <w:r>
        <w:rPr>
          <w:spacing w:val="-55"/>
        </w:rPr>
        <w:t> </w:t>
      </w:r>
      <w:r>
        <w:rPr>
          <w:rFonts w:ascii="Arial" w:hAnsi="Arial" w:cs="Arial" w:eastAsia="Arial" w:hint="default"/>
        </w:rPr>
        <w:t>10</w:t>
      </w:r>
      <w:r>
        <w:rPr/>
        <w:t>：</w:t>
      </w:r>
      <w:r>
        <w:rPr>
          <w:rFonts w:ascii="Arial" w:hAnsi="Arial" w:cs="Arial" w:eastAsia="Arial" w:hint="default"/>
        </w:rPr>
        <w:t>1</w:t>
      </w:r>
      <w:r>
        <w:rPr>
          <w:rFonts w:ascii="Arial" w:hAnsi="Arial" w:cs="Arial" w:eastAsia="Arial" w:hint="default"/>
          <w:spacing w:val="-8"/>
        </w:rPr>
        <w:t> </w:t>
      </w:r>
      <w:r>
        <w:rPr/>
        <w:t>的比例用未分配利润向全体股东派送红股</w:t>
      </w:r>
      <w:r>
        <w:rPr>
          <w:spacing w:val="-54"/>
        </w:rPr>
        <w:t> </w:t>
      </w:r>
      <w:r>
        <w:rPr>
          <w:rFonts w:ascii="Arial" w:hAnsi="Arial" w:cs="Arial" w:eastAsia="Arial" w:hint="default"/>
        </w:rPr>
        <w:t>44,339,272</w:t>
      </w:r>
      <w:r>
        <w:rPr>
          <w:rFonts w:ascii="Arial" w:hAnsi="Arial" w:cs="Arial" w:eastAsia="Arial" w:hint="default"/>
          <w:spacing w:val="-8"/>
        </w:rPr>
        <w:t> </w:t>
      </w:r>
      <w:r>
        <w:rPr/>
        <w:t>股，每股面值</w:t>
      </w:r>
      <w:r>
        <w:rPr>
          <w:spacing w:val="-54"/>
        </w:rPr>
        <w:t> </w:t>
      </w:r>
      <w:r>
        <w:rPr>
          <w:rFonts w:ascii="Arial" w:hAnsi="Arial" w:cs="Arial" w:eastAsia="Arial" w:hint="default"/>
        </w:rPr>
        <w:t>1</w:t>
      </w:r>
      <w:r>
        <w:rPr>
          <w:rFonts w:ascii="Arial" w:hAnsi="Arial" w:cs="Arial" w:eastAsia="Arial" w:hint="default"/>
          <w:spacing w:val="-10"/>
        </w:rPr>
        <w:t> </w:t>
      </w:r>
      <w:r>
        <w:rPr/>
        <w:t>元，共</w:t>
      </w:r>
      <w:r>
        <w:rPr>
          <w:w w:val="100"/>
        </w:rPr>
        <w:t> </w:t>
      </w:r>
      <w:r>
        <w:rPr/>
        <w:t>转增股本</w:t>
      </w:r>
      <w:r>
        <w:rPr>
          <w:spacing w:val="-53"/>
        </w:rPr>
        <w:t> </w:t>
      </w:r>
      <w:r>
        <w:rPr>
          <w:rFonts w:ascii="Arial" w:hAnsi="Arial" w:cs="Arial" w:eastAsia="Arial" w:hint="default"/>
        </w:rPr>
        <w:t>44,339,272.00</w:t>
      </w:r>
      <w:r>
        <w:rPr>
          <w:rFonts w:ascii="Arial" w:hAnsi="Arial" w:cs="Arial" w:eastAsia="Arial" w:hint="default"/>
          <w:spacing w:val="-8"/>
        </w:rPr>
        <w:t> </w:t>
      </w:r>
      <w:r>
        <w:rPr/>
        <w:t>元。</w:t>
      </w:r>
    </w:p>
    <w:p>
      <w:pPr>
        <w:pStyle w:val="BodyText"/>
        <w:spacing w:line="338" w:lineRule="auto" w:before="139"/>
        <w:ind w:right="1431" w:firstLine="420"/>
        <w:jc w:val="both"/>
      </w:pPr>
      <w:r>
        <w:rPr>
          <w:w w:val="100"/>
        </w:rPr>
        <w:t>根据 </w:t>
      </w:r>
      <w:r>
        <w:rPr>
          <w:rFonts w:ascii="Arial" w:hAnsi="Arial" w:cs="Arial" w:eastAsia="Arial" w:hint="default"/>
          <w:spacing w:val="-1"/>
          <w:w w:val="100"/>
        </w:rPr>
        <w:t>2009</w:t>
      </w:r>
      <w:r>
        <w:rPr>
          <w:rFonts w:ascii="Arial" w:hAnsi="Arial" w:cs="Arial" w:eastAsia="Arial" w:hint="default"/>
          <w:w w:val="100"/>
        </w:rPr>
        <w:t> </w:t>
      </w:r>
      <w:r>
        <w:rPr>
          <w:w w:val="100"/>
        </w:rPr>
        <w:t>年 </w:t>
      </w:r>
      <w:r>
        <w:rPr>
          <w:rFonts w:ascii="Arial" w:hAnsi="Arial" w:cs="Arial" w:eastAsia="Arial" w:hint="default"/>
          <w:w w:val="100"/>
        </w:rPr>
        <w:t>8 </w:t>
      </w:r>
      <w:r>
        <w:rPr>
          <w:w w:val="100"/>
        </w:rPr>
        <w:t>月 </w:t>
      </w:r>
      <w:r>
        <w:rPr>
          <w:rFonts w:ascii="Arial" w:hAnsi="Arial" w:cs="Arial" w:eastAsia="Arial" w:hint="default"/>
          <w:w w:val="100"/>
        </w:rPr>
        <w:t>4</w:t>
      </w:r>
      <w:r>
        <w:rPr>
          <w:rFonts w:ascii="Arial" w:hAnsi="Arial" w:cs="Arial" w:eastAsia="Arial" w:hint="default"/>
          <w:spacing w:val="-11"/>
          <w:w w:val="100"/>
        </w:rPr>
        <w:t> </w:t>
      </w:r>
      <w:r>
        <w:rPr>
          <w:spacing w:val="-3"/>
          <w:w w:val="97"/>
        </w:rPr>
        <w:t>日华方医药与华立集团股份有限公司（以下简称</w:t>
      </w:r>
      <w:r>
        <w:rPr>
          <w:rFonts w:ascii="Arial" w:hAnsi="Arial" w:cs="Arial" w:eastAsia="Arial" w:hint="default"/>
          <w:spacing w:val="-3"/>
          <w:w w:val="97"/>
        </w:rPr>
        <w:t>―</w:t>
      </w:r>
      <w:r>
        <w:rPr>
          <w:spacing w:val="-3"/>
          <w:w w:val="97"/>
        </w:rPr>
        <w:t>华立集团</w:t>
      </w:r>
      <w:r>
        <w:rPr>
          <w:rFonts w:ascii="Arial" w:hAnsi="Arial" w:cs="Arial" w:eastAsia="Arial" w:hint="default"/>
          <w:spacing w:val="-3"/>
          <w:w w:val="97"/>
        </w:rPr>
        <w:t>‖</w:t>
      </w:r>
      <w:r>
        <w:rPr>
          <w:spacing w:val="-3"/>
          <w:w w:val="97"/>
        </w:rPr>
        <w:t>）签订的股权</w:t>
      </w:r>
      <w:r>
        <w:rPr>
          <w:w w:val="100"/>
        </w:rPr>
        <w:t> </w:t>
      </w:r>
      <w:r>
        <w:rPr/>
        <w:t>转让合同，华方医药将持有公司</w:t>
      </w:r>
      <w:r>
        <w:rPr>
          <w:spacing w:val="-55"/>
        </w:rPr>
        <w:t> </w:t>
      </w:r>
      <w:r>
        <w:rPr>
          <w:rFonts w:ascii="Arial" w:hAnsi="Arial" w:cs="Arial" w:eastAsia="Arial" w:hint="default"/>
        </w:rPr>
        <w:t>23.52%</w:t>
      </w:r>
      <w:r>
        <w:rPr/>
        <w:t>的股份转让给华立集团，华立集团成为公司第一大股东。</w:t>
      </w:r>
      <w:r>
        <w:rPr>
          <w:w w:val="100"/>
        </w:rPr>
        <w:t> </w:t>
      </w: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10</w:t>
      </w:r>
      <w:r>
        <w:rPr>
          <w:rFonts w:ascii="Arial" w:hAnsi="Arial" w:cs="Arial" w:eastAsia="Arial" w:hint="default"/>
          <w:spacing w:val="-9"/>
        </w:rPr>
        <w:t> </w:t>
      </w:r>
      <w:r>
        <w:rPr/>
        <w:t>月</w:t>
      </w:r>
      <w:r>
        <w:rPr>
          <w:spacing w:val="-54"/>
        </w:rPr>
        <w:t> </w:t>
      </w:r>
      <w:r>
        <w:rPr>
          <w:rFonts w:ascii="Arial" w:hAnsi="Arial" w:cs="Arial" w:eastAsia="Arial" w:hint="default"/>
        </w:rPr>
        <w:t>13</w:t>
      </w:r>
      <w:r>
        <w:rPr>
          <w:rFonts w:ascii="Arial" w:hAnsi="Arial" w:cs="Arial" w:eastAsia="Arial" w:hint="default"/>
          <w:spacing w:val="-9"/>
        </w:rPr>
        <w:t> </w:t>
      </w:r>
      <w:r>
        <w:rPr/>
        <w:t>日，公司名称变更为重庆华智控股股份有限公司。截止</w:t>
      </w:r>
      <w:r>
        <w:rPr>
          <w:spacing w:val="-54"/>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日，公</w:t>
      </w:r>
    </w:p>
    <w:p>
      <w:pPr>
        <w:pStyle w:val="BodyText"/>
        <w:spacing w:line="340" w:lineRule="auto" w:before="24"/>
        <w:ind w:right="1526"/>
        <w:jc w:val="left"/>
      </w:pPr>
      <w:r>
        <w:rPr/>
        <w:t>司注册资本</w:t>
      </w:r>
      <w:r>
        <w:rPr>
          <w:spacing w:val="-54"/>
        </w:rPr>
        <w:t> </w:t>
      </w:r>
      <w:r>
        <w:rPr>
          <w:rFonts w:ascii="Arial" w:hAnsi="Arial" w:cs="Arial" w:eastAsia="Arial" w:hint="default"/>
        </w:rPr>
        <w:t>487,731,995.00</w:t>
      </w:r>
      <w:r>
        <w:rPr>
          <w:rFonts w:ascii="Arial" w:hAnsi="Arial" w:cs="Arial" w:eastAsia="Arial" w:hint="default"/>
          <w:spacing w:val="-7"/>
        </w:rPr>
        <w:t> </w:t>
      </w:r>
      <w:r>
        <w:rPr/>
        <w:t>元，股本</w:t>
      </w:r>
      <w:r>
        <w:rPr>
          <w:spacing w:val="-54"/>
        </w:rPr>
        <w:t> </w:t>
      </w:r>
      <w:r>
        <w:rPr>
          <w:rFonts w:ascii="Arial" w:hAnsi="Arial" w:cs="Arial" w:eastAsia="Arial" w:hint="default"/>
        </w:rPr>
        <w:t>487,731,995</w:t>
      </w:r>
      <w:r>
        <w:rPr>
          <w:rFonts w:ascii="Arial" w:hAnsi="Arial" w:cs="Arial" w:eastAsia="Arial" w:hint="default"/>
          <w:spacing w:val="-9"/>
        </w:rPr>
        <w:t> </w:t>
      </w:r>
      <w:r>
        <w:rPr/>
        <w:t>股，均为无限售条件流通股。华立集团股份有</w:t>
      </w:r>
      <w:r>
        <w:rPr>
          <w:w w:val="100"/>
        </w:rPr>
        <w:t> </w:t>
      </w:r>
      <w:r>
        <w:rPr/>
        <w:t>限公司持有</w:t>
      </w:r>
      <w:r>
        <w:rPr>
          <w:spacing w:val="-54"/>
        </w:rPr>
        <w:t> </w:t>
      </w:r>
      <w:r>
        <w:rPr>
          <w:rFonts w:ascii="Arial" w:hAnsi="Arial" w:cs="Arial" w:eastAsia="Arial" w:hint="default"/>
        </w:rPr>
        <w:t>114,690,754</w:t>
      </w:r>
      <w:r>
        <w:rPr>
          <w:rFonts w:ascii="Arial" w:hAnsi="Arial" w:cs="Arial" w:eastAsia="Arial" w:hint="default"/>
          <w:spacing w:val="-9"/>
        </w:rPr>
        <w:t> </w:t>
      </w:r>
      <w:r>
        <w:rPr/>
        <w:t>股，占股本的</w:t>
      </w:r>
      <w:r>
        <w:rPr>
          <w:spacing w:val="-53"/>
        </w:rPr>
        <w:t> </w:t>
      </w:r>
      <w:r>
        <w:rPr>
          <w:rFonts w:ascii="Arial" w:hAnsi="Arial" w:cs="Arial" w:eastAsia="Arial" w:hint="default"/>
        </w:rPr>
        <w:t>23.52%</w:t>
      </w:r>
      <w:r>
        <w:rPr/>
        <w:t>。</w:t>
      </w:r>
    </w:p>
    <w:p>
      <w:pPr>
        <w:pStyle w:val="BodyText"/>
        <w:spacing w:line="357" w:lineRule="auto" w:before="140"/>
        <w:ind w:right="1431" w:firstLine="420"/>
        <w:jc w:val="both"/>
      </w:pPr>
      <w:r>
        <w:rPr>
          <w:spacing w:val="-2"/>
        </w:rPr>
        <w:t>公司经营范围：仪器仪表、仪表元器件、家用电器、电子产品、电工器材及原材料、机电一体</w:t>
      </w:r>
      <w:r>
        <w:rPr>
          <w:w w:val="100"/>
        </w:rPr>
        <w:t> </w:t>
      </w:r>
      <w:r>
        <w:rPr>
          <w:spacing w:val="-2"/>
        </w:rPr>
        <w:t>化设备、计算机及工业控制软件的制造、销售，电力自动化系统、电力信息系统开发、设计及相关</w:t>
      </w:r>
      <w:r>
        <w:rPr>
          <w:spacing w:val="-34"/>
        </w:rPr>
        <w:t> </w:t>
      </w:r>
      <w:r>
        <w:rPr>
          <w:spacing w:val="-34"/>
        </w:rPr>
      </w:r>
      <w:r>
        <w:rPr>
          <w:spacing w:val="-2"/>
        </w:rPr>
        <w:t>产品的制造、销售，电力电子设备及电网终端设备、电力通讯设备、高低压电器的开发、设计、制</w:t>
      </w:r>
      <w:r>
        <w:rPr>
          <w:spacing w:val="-31"/>
        </w:rPr>
        <w:t> </w:t>
      </w:r>
      <w:r>
        <w:rPr>
          <w:spacing w:val="-31"/>
        </w:rPr>
      </w:r>
      <w:r>
        <w:rPr>
          <w:spacing w:val="-2"/>
        </w:rPr>
        <w:t>造、销售，电力管理软件的技术开发、技术服务，仪器仪表技术开发、技术咨询、技术服务，计算</w:t>
      </w:r>
      <w:r>
        <w:rPr>
          <w:spacing w:val="-35"/>
        </w:rPr>
        <w:t> </w:t>
      </w:r>
      <w:r>
        <w:rPr>
          <w:spacing w:val="-35"/>
        </w:rPr>
      </w:r>
      <w:r>
        <w:rPr>
          <w:spacing w:val="-2"/>
        </w:rPr>
        <w:t>机网络信息技术开发，仪器仪表新产品的科技开发及咨询服务，从事投资业务，本企业生产的仪器</w:t>
      </w:r>
      <w:r>
        <w:rPr>
          <w:spacing w:val="-30"/>
        </w:rPr>
        <w:t> </w:t>
      </w:r>
      <w:r>
        <w:rPr>
          <w:spacing w:val="-30"/>
        </w:rPr>
      </w:r>
      <w:r>
        <w:rPr>
          <w:spacing w:val="-7"/>
        </w:rPr>
        <w:t>仪表、仪表元器件的配送（不含货物运输）及相关配送信息咨询服务，货物进出口，技术进出口（以</w:t>
      </w:r>
      <w:r>
        <w:rPr>
          <w:spacing w:val="-20"/>
        </w:rPr>
        <w:t> </w:t>
      </w:r>
      <w:r>
        <w:rPr>
          <w:spacing w:val="-20"/>
        </w:rPr>
      </w:r>
      <w:r>
        <w:rPr>
          <w:spacing w:val="-2"/>
        </w:rPr>
        <w:t>上经营范围法律、法规禁止的不得经营，法律、法规限制的取得许可或审批后方可经营）。公司注</w:t>
      </w:r>
    </w:p>
    <w:p>
      <w:pPr>
        <w:pStyle w:val="BodyText"/>
        <w:spacing w:line="240" w:lineRule="auto" w:before="32"/>
        <w:ind w:right="1205"/>
        <w:jc w:val="left"/>
      </w:pPr>
      <w:r>
        <w:rPr/>
        <w:t>册地址为重庆北碚区童家溪镇同心园区一路</w:t>
      </w:r>
      <w:r>
        <w:rPr>
          <w:spacing w:val="-58"/>
        </w:rPr>
        <w:t> </w:t>
      </w:r>
      <w:r>
        <w:rPr>
          <w:rFonts w:ascii="Arial" w:hAnsi="Arial" w:cs="Arial" w:eastAsia="Arial" w:hint="default"/>
        </w:rPr>
        <w:t>8</w:t>
      </w:r>
      <w:r>
        <w:rPr>
          <w:rFonts w:ascii="Arial" w:hAnsi="Arial" w:cs="Arial" w:eastAsia="Arial" w:hint="default"/>
          <w:spacing w:val="-9"/>
        </w:rPr>
        <w:t> </w:t>
      </w:r>
      <w:r>
        <w:rPr/>
        <w:t>号，法定代表人为刘浩军先生。</w:t>
      </w:r>
    </w:p>
    <w:p>
      <w:pPr>
        <w:spacing w:after="0" w:line="240" w:lineRule="auto"/>
        <w:jc w:val="left"/>
        <w:sectPr>
          <w:headerReference w:type="default" r:id="rId26"/>
          <w:headerReference w:type="even" r:id="rId27"/>
          <w:footerReference w:type="default" r:id="rId28"/>
          <w:footerReference w:type="even" r:id="rId29"/>
          <w:pgSz w:w="11910" w:h="16840"/>
          <w:pgMar w:header="884" w:footer="1013" w:top="1080" w:bottom="1200" w:left="1300" w:right="0"/>
          <w:pgNumType w:start="49"/>
        </w:sectPr>
      </w:pPr>
    </w:p>
    <w:p>
      <w:pPr>
        <w:pStyle w:val="Heading4"/>
        <w:spacing w:line="240" w:lineRule="auto" w:before="30"/>
        <w:ind w:left="140" w:right="0"/>
        <w:jc w:val="both"/>
        <w:rPr>
          <w:b w:val="0"/>
          <w:bCs w:val="0"/>
        </w:rPr>
      </w:pPr>
      <w:r>
        <w:rPr/>
        <w:pict>
          <v:group style="position:absolute;margin-left:70.584pt;margin-top:2.843696pt;width:436.3pt;height:.1pt;mso-position-horizontal-relative:page;mso-position-vertical-relative:paragraph;z-index:-636424" coordorigin="1412,57" coordsize="8726,2">
            <v:shape style="position:absolute;left:1412;top:57;width:8726;height:2" coordorigin="1412,57" coordsize="8726,0" path="m1412,57l10137,57e" filled="false" stroked="true" strokeweight=".72pt" strokecolor="#000000">
              <v:path arrowok="t"/>
            </v:shape>
            <w10:wrap type="none"/>
          </v:group>
        </w:pict>
      </w:r>
      <w:r>
        <w:rPr/>
        <w:t>二、</w:t>
      </w:r>
      <w:r>
        <w:rPr>
          <w:spacing w:val="-60"/>
        </w:rPr>
        <w:t> </w:t>
      </w:r>
      <w:r>
        <w:rPr/>
        <w:t>公司主要会计政策、会计估计和前期差错</w:t>
      </w:r>
      <w:r>
        <w:rPr>
          <w:b w:val="0"/>
          <w:bCs w:val="0"/>
        </w:rPr>
      </w:r>
    </w:p>
    <w:p>
      <w:pPr>
        <w:spacing w:line="240" w:lineRule="auto" w:before="7"/>
        <w:rPr>
          <w:rFonts w:ascii="宋体" w:hAnsi="宋体" w:cs="宋体" w:eastAsia="宋体" w:hint="default"/>
          <w:b/>
          <w:bCs/>
          <w:sz w:val="19"/>
          <w:szCs w:val="19"/>
        </w:rPr>
      </w:pPr>
    </w:p>
    <w:p>
      <w:pPr>
        <w:spacing w:line="408" w:lineRule="auto" w:before="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w:t>
      </w:r>
      <w:r>
        <w:rPr>
          <w:rFonts w:ascii="Arial" w:hAnsi="Arial" w:cs="Arial" w:eastAsia="Arial" w:hint="default"/>
          <w:spacing w:val="-2"/>
          <w:sz w:val="21"/>
          <w:szCs w:val="21"/>
        </w:rPr>
        <w:t>—</w:t>
      </w:r>
      <w:r>
        <w:rPr>
          <w:rFonts w:ascii="宋体" w:hAnsi="宋体" w:cs="宋体" w:eastAsia="宋体" w:hint="default"/>
          <w:spacing w:val="-2"/>
          <w:sz w:val="21"/>
          <w:szCs w:val="21"/>
        </w:rPr>
        <w:t>基本准则》和</w:t>
      </w:r>
    </w:p>
    <w:p>
      <w:pPr>
        <w:pStyle w:val="BodyText"/>
        <w:spacing w:line="231" w:lineRule="exact"/>
        <w:ind w:right="0"/>
        <w:jc w:val="both"/>
      </w:pPr>
      <w:r>
        <w:rPr/>
        <w:t>其他各项具体会计准则、应用指南及准则解释的规定进行确认和计量，在此基础上编制财务报表。</w:t>
      </w:r>
    </w:p>
    <w:p>
      <w:pPr>
        <w:pStyle w:val="BodyText"/>
        <w:spacing w:line="357" w:lineRule="auto" w:before="133"/>
        <w:ind w:right="1205"/>
        <w:jc w:val="left"/>
      </w:pPr>
      <w:r>
        <w:rPr>
          <w:spacing w:val="-2"/>
        </w:rPr>
        <w:t>编制符合企业会计准则要求的财务报表需要使用估计和假设，这些估计和假设会影响到财务报告日</w:t>
      </w:r>
      <w:r>
        <w:rPr>
          <w:spacing w:val="-30"/>
        </w:rPr>
        <w:t> </w:t>
      </w:r>
      <w:r>
        <w:rPr>
          <w:spacing w:val="-30"/>
        </w:rPr>
      </w:r>
      <w:r>
        <w:rPr/>
        <w:t>的资产、负债和或有负债的披露，以及报告期间的收入和费用。</w:t>
      </w:r>
    </w:p>
    <w:p>
      <w:pPr>
        <w:spacing w:line="240" w:lineRule="auto" w:before="3"/>
        <w:rPr>
          <w:rFonts w:ascii="宋体" w:hAnsi="宋体" w:cs="宋体" w:eastAsia="宋体" w:hint="default"/>
          <w:sz w:val="16"/>
          <w:szCs w:val="16"/>
        </w:rPr>
      </w:pPr>
    </w:p>
    <w:p>
      <w:pPr>
        <w:spacing w:line="408" w:lineRule="auto" w:before="0"/>
        <w:ind w:left="560" w:right="1429" w:firstLine="0"/>
        <w:jc w:val="left"/>
        <w:rPr>
          <w:rFonts w:ascii="Arial" w:hAnsi="Arial" w:cs="Arial" w:eastAsia="Arial"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本公司编制的财务报表符合《企业会计准则》的要求，真实、完整地反映了本公司 </w:t>
      </w:r>
      <w:r>
        <w:rPr>
          <w:rFonts w:ascii="Arial" w:hAnsi="Arial" w:cs="Arial" w:eastAsia="Arial" w:hint="default"/>
          <w:sz w:val="21"/>
          <w:szCs w:val="21"/>
        </w:rPr>
        <w:t>2010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Arial" w:hAnsi="Arial" w:cs="Arial" w:eastAsia="Arial" w:hint="default"/>
          <w:sz w:val="21"/>
          <w:szCs w:val="21"/>
        </w:rPr>
        <w:t>12</w:t>
      </w:r>
    </w:p>
    <w:p>
      <w:pPr>
        <w:pStyle w:val="BodyText"/>
        <w:spacing w:line="246" w:lineRule="exact"/>
        <w:ind w:right="0"/>
        <w:jc w:val="both"/>
      </w:pPr>
      <w:r>
        <w:rPr/>
        <w:t>月</w:t>
      </w:r>
      <w:r>
        <w:rPr>
          <w:spacing w:val="-55"/>
        </w:rPr>
        <w:t> </w:t>
      </w:r>
      <w:r>
        <w:rPr>
          <w:rFonts w:ascii="Arial" w:hAnsi="Arial" w:cs="Arial" w:eastAsia="Arial" w:hint="default"/>
        </w:rPr>
        <w:t>31</w:t>
      </w:r>
      <w:r>
        <w:rPr>
          <w:rFonts w:ascii="Arial" w:hAnsi="Arial" w:cs="Arial" w:eastAsia="Arial" w:hint="default"/>
          <w:spacing w:val="-10"/>
        </w:rPr>
        <w:t> </w:t>
      </w:r>
      <w:r>
        <w:rPr/>
        <w:t>日的财务状况、</w:t>
      </w:r>
      <w:r>
        <w:rPr>
          <w:rFonts w:ascii="Arial" w:hAnsi="Arial" w:cs="Arial" w:eastAsia="Arial" w:hint="default"/>
        </w:rPr>
        <w:t>2010</w:t>
      </w:r>
      <w:r>
        <w:rPr>
          <w:rFonts w:ascii="Arial" w:hAnsi="Arial" w:cs="Arial" w:eastAsia="Arial" w:hint="default"/>
          <w:spacing w:val="-7"/>
        </w:rPr>
        <w:t> </w:t>
      </w:r>
      <w:r>
        <w:rPr/>
        <w:t>年度的经营成果和现金流量等有关信息。</w:t>
      </w:r>
    </w:p>
    <w:p>
      <w:pPr>
        <w:spacing w:line="240" w:lineRule="auto" w:before="0"/>
        <w:rPr>
          <w:rFonts w:ascii="宋体" w:hAnsi="宋体" w:cs="宋体" w:eastAsia="宋体" w:hint="default"/>
          <w:sz w:val="23"/>
          <w:szCs w:val="23"/>
        </w:rPr>
      </w:pPr>
    </w:p>
    <w:p>
      <w:pPr>
        <w:pStyle w:val="Heading4"/>
        <w:spacing w:line="240" w:lineRule="auto"/>
        <w:ind w:right="1205"/>
        <w:jc w:val="left"/>
        <w:rPr>
          <w:b w:val="0"/>
          <w:bCs w:val="0"/>
        </w:rPr>
      </w:pPr>
      <w:r>
        <w:rPr/>
        <w:t>（三）</w:t>
      </w:r>
      <w:r>
        <w:rPr>
          <w:spacing w:val="-81"/>
        </w:rPr>
        <w:t> </w:t>
      </w:r>
      <w:r>
        <w:rPr/>
        <w:t>会计期间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1205"/>
        <w:jc w:val="left"/>
      </w:pPr>
      <w:r>
        <w:rPr/>
        <w:t>本公司会计期间为公历年度，即每年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日起至</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日止。</w:t>
      </w:r>
    </w:p>
    <w:p>
      <w:pPr>
        <w:spacing w:line="408" w:lineRule="auto" w:before="180"/>
        <w:ind w:left="560" w:right="5675"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pStyle w:val="Heading4"/>
        <w:spacing w:line="240" w:lineRule="auto" w:before="48"/>
        <w:ind w:right="1205"/>
        <w:jc w:val="left"/>
        <w:rPr>
          <w:b w:val="0"/>
          <w:bCs w:val="0"/>
        </w:rPr>
      </w:pPr>
      <w:r>
        <w:rPr/>
        <w:t>（五）</w:t>
      </w:r>
      <w:r>
        <w:rPr>
          <w:spacing w:val="-49"/>
        </w:rPr>
        <w:t> </w:t>
      </w:r>
      <w:r>
        <w:rPr>
          <w:spacing w:val="-2"/>
        </w:rPr>
        <w:t>同一控制下和非同一控制下企业合并的会计处理方法</w:t>
      </w:r>
      <w:r>
        <w:rPr>
          <w:b w:val="0"/>
          <w:bCs w:val="0"/>
          <w:spacing w:val="-2"/>
        </w:rPr>
      </w:r>
    </w:p>
    <w:p>
      <w:pPr>
        <w:spacing w:line="240" w:lineRule="auto" w:before="7"/>
        <w:rPr>
          <w:rFonts w:ascii="宋体" w:hAnsi="宋体" w:cs="宋体" w:eastAsia="宋体" w:hint="default"/>
          <w:b/>
          <w:bCs/>
          <w:sz w:val="19"/>
          <w:szCs w:val="19"/>
        </w:rPr>
      </w:pPr>
    </w:p>
    <w:p>
      <w:pPr>
        <w:spacing w:line="388" w:lineRule="auto"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6"/>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w:t>
      </w:r>
    </w:p>
    <w:p>
      <w:pPr>
        <w:pStyle w:val="BodyText"/>
        <w:spacing w:line="357" w:lineRule="auto" w:before="5"/>
        <w:ind w:right="1205"/>
        <w:jc w:val="left"/>
      </w:pPr>
      <w:r>
        <w:rPr>
          <w:spacing w:val="-4"/>
        </w:rPr>
        <w:t>的账面价值计量。合并方取得的净资产账面价值与支付的合并对价账面价值（或发行股份面值总额）</w:t>
      </w:r>
      <w:r>
        <w:rPr>
          <w:spacing w:val="-44"/>
        </w:rPr>
        <w:t> </w:t>
      </w:r>
      <w:r>
        <w:rPr>
          <w:spacing w:val="-44"/>
        </w:rPr>
      </w:r>
      <w:r>
        <w:rPr/>
        <w:t>的差额，调整资本公积；资本公积不足冲减的，调整留存收益。</w:t>
      </w:r>
    </w:p>
    <w:p>
      <w:pPr>
        <w:spacing w:line="240" w:lineRule="auto" w:before="1"/>
        <w:rPr>
          <w:rFonts w:ascii="宋体" w:hAnsi="宋体" w:cs="宋体" w:eastAsia="宋体" w:hint="default"/>
          <w:sz w:val="16"/>
          <w:szCs w:val="16"/>
        </w:rPr>
      </w:pPr>
    </w:p>
    <w:p>
      <w:pPr>
        <w:spacing w:line="388" w:lineRule="auto"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6"/>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w:t>
      </w:r>
    </w:p>
    <w:p>
      <w:pPr>
        <w:pStyle w:val="BodyText"/>
        <w:spacing w:line="357" w:lineRule="auto" w:before="3"/>
        <w:ind w:right="1431"/>
        <w:jc w:val="both"/>
      </w:pPr>
      <w:r>
        <w:rPr>
          <w:spacing w:val="-2"/>
        </w:rPr>
        <w:t>的资产、发生或承担的负债以及发行的权益性证券的公允价值。通过多次交换交易分步实现的企业</w:t>
      </w:r>
      <w:r>
        <w:rPr>
          <w:spacing w:val="-31"/>
        </w:rPr>
        <w:t> </w:t>
      </w:r>
      <w:r>
        <w:rPr>
          <w:spacing w:val="-31"/>
        </w:rPr>
      </w:r>
      <w:r>
        <w:rPr>
          <w:spacing w:val="-2"/>
        </w:rPr>
        <w:t>合并，合并成本为每一单项交易成本之和。购买方为进行企业合并发生的各项直接相关费用计入企</w:t>
      </w:r>
      <w:r>
        <w:rPr>
          <w:spacing w:val="-30"/>
        </w:rPr>
        <w:t> </w:t>
      </w:r>
      <w:r>
        <w:rPr>
          <w:spacing w:val="-30"/>
        </w:rPr>
      </w:r>
      <w:r>
        <w:rPr/>
        <w:t>业合并成本。</w:t>
      </w:r>
    </w:p>
    <w:p>
      <w:pPr>
        <w:pStyle w:val="BodyText"/>
        <w:spacing w:line="357" w:lineRule="auto" w:before="150"/>
        <w:ind w:right="1431" w:firstLine="420"/>
        <w:jc w:val="both"/>
      </w:pPr>
      <w:r>
        <w:rPr>
          <w:spacing w:val="2"/>
        </w:rPr>
        <w:t>购买方对合并成本大于合并中取得的被购买方可辨认净资产公允价值份额的差额，确认为商</w:t>
      </w:r>
      <w:r>
        <w:rPr>
          <w:w w:val="100"/>
        </w:rPr>
        <w:t> </w:t>
      </w:r>
      <w:r>
        <w:rPr>
          <w:spacing w:val="-2"/>
        </w:rPr>
        <w:t>誉。购买方对合并成本小于合并中取得的被购买方可辨认净资产公允价值份额的，经复核后合并成</w:t>
      </w:r>
      <w:r>
        <w:rPr>
          <w:spacing w:val="-30"/>
        </w:rPr>
        <w:t> </w:t>
      </w:r>
      <w:r>
        <w:rPr>
          <w:spacing w:val="-30"/>
        </w:rPr>
      </w:r>
      <w:r>
        <w:rPr/>
        <w:t>本仍小于合并中取得的被购买方可辨认净资产公允价值份额的差额，计入当期损益。</w:t>
      </w:r>
    </w:p>
    <w:p>
      <w:pPr>
        <w:spacing w:line="412" w:lineRule="auto" w:before="9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80"/>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本公司将拥有实际控制权的子公司和特殊目的主体纳入合并财务报表范围。</w:t>
      </w:r>
    </w:p>
    <w:p>
      <w:pPr>
        <w:pStyle w:val="BodyText"/>
        <w:spacing w:line="326" w:lineRule="auto" w:before="75"/>
        <w:ind w:right="1205" w:firstLine="420"/>
        <w:jc w:val="left"/>
      </w:pPr>
      <w:r>
        <w:rPr/>
        <w:t>本公司合并财务报表按照《企业会计准则第</w:t>
      </w:r>
      <w:r>
        <w:rPr>
          <w:spacing w:val="-55"/>
        </w:rPr>
        <w:t> </w:t>
      </w:r>
      <w:r>
        <w:rPr>
          <w:rFonts w:ascii="Arial" w:hAnsi="Arial" w:cs="Arial" w:eastAsia="Arial" w:hint="default"/>
        </w:rPr>
        <w:t>33</w:t>
      </w:r>
      <w:r>
        <w:rPr>
          <w:rFonts w:ascii="Arial" w:hAnsi="Arial" w:cs="Arial" w:eastAsia="Arial" w:hint="default"/>
          <w:spacing w:val="-8"/>
        </w:rPr>
        <w:t> </w:t>
      </w:r>
      <w:r>
        <w:rPr/>
        <w:t>号－合并财务报表》及相关规定的要求编制，</w:t>
      </w:r>
      <w:r>
        <w:rPr>
          <w:w w:val="100"/>
        </w:rPr>
        <w:t> </w:t>
      </w:r>
      <w:r>
        <w:rPr>
          <w:spacing w:val="-2"/>
        </w:rPr>
        <w:t>合并时合并范围内的所有重大内部交易和往来业已抵销。子公司的股东权益中不属于母公司所拥有</w:t>
      </w:r>
      <w:r>
        <w:rPr>
          <w:spacing w:val="-30"/>
        </w:rPr>
        <w:t> </w:t>
      </w:r>
      <w:r>
        <w:rPr>
          <w:spacing w:val="-30"/>
        </w:rPr>
      </w:r>
      <w:r>
        <w:rPr/>
        <w:t>的部分作为少数股东权益在合并财务报表中股东权益项下单独列示。</w:t>
      </w:r>
    </w:p>
    <w:p>
      <w:pPr>
        <w:spacing w:after="0" w:line="326" w:lineRule="auto"/>
        <w:jc w:val="left"/>
        <w:sectPr>
          <w:pgSz w:w="11910" w:h="16840"/>
          <w:pgMar w:header="884" w:footer="1013" w:top="1080" w:bottom="1200" w:left="1300" w:right="0"/>
        </w:sectPr>
      </w:pPr>
    </w:p>
    <w:p>
      <w:pPr>
        <w:pStyle w:val="BodyText"/>
        <w:spacing w:line="333" w:lineRule="auto" w:before="32"/>
        <w:ind w:right="1431" w:firstLine="420"/>
        <w:jc w:val="both"/>
      </w:pPr>
      <w:r>
        <w:rPr/>
        <w:pict>
          <v:group style="position:absolute;margin-left:70.584pt;margin-top:2.823701pt;width:436.3pt;height:.1pt;mso-position-horizontal-relative:page;mso-position-vertical-relative:paragraph;z-index:-636400" coordorigin="1412,56" coordsize="8726,2">
            <v:shape style="position:absolute;left:1412;top:56;width:8726;height:2" coordorigin="1412,56" coordsize="8726,0" path="m1412,56l10137,56e" filled="false" stroked="true" strokeweight=".72pt" strokecolor="#000000">
              <v:path arrowok="t"/>
            </v:shape>
            <w10:wrap type="none"/>
          </v:group>
        </w:pict>
      </w:r>
      <w:r>
        <w:rPr>
          <w:spacing w:val="-2"/>
        </w:rPr>
        <w:t>子公司与本公司采用的会计政策或会计期间不一致的，在编制合并财务报表时，按照本公司的</w:t>
      </w:r>
      <w:r>
        <w:rPr>
          <w:w w:val="100"/>
        </w:rPr>
        <w:t> </w:t>
      </w:r>
      <w:r>
        <w:rPr/>
        <w:t>会计政策或会计期间对子公司财务报表进行必要的调整。</w:t>
      </w:r>
    </w:p>
    <w:p>
      <w:pPr>
        <w:pStyle w:val="BodyText"/>
        <w:spacing w:line="333" w:lineRule="auto" w:before="145"/>
        <w:ind w:right="1431" w:firstLine="420"/>
        <w:jc w:val="both"/>
      </w:pPr>
      <w:r>
        <w:rPr>
          <w:spacing w:val="-2"/>
        </w:rPr>
        <w:t>对于非同一控制下企业合并取得的子公司，在编制合并财务报表时，以购买日可辨认净资产公</w:t>
      </w:r>
      <w:r>
        <w:rPr>
          <w:w w:val="100"/>
        </w:rPr>
        <w:t> </w:t>
      </w:r>
      <w:r>
        <w:rPr>
          <w:spacing w:val="-2"/>
        </w:rPr>
        <w:t>允价值为基础对其个别财务报表进行调整；对于同一控制下企业合并取得的子公司，在编制合并财</w:t>
      </w:r>
      <w:r>
        <w:rPr>
          <w:spacing w:val="-31"/>
        </w:rPr>
        <w:t> </w:t>
      </w:r>
      <w:r>
        <w:rPr>
          <w:spacing w:val="-31"/>
        </w:rPr>
      </w:r>
      <w:r>
        <w:rPr>
          <w:spacing w:val="-2"/>
        </w:rPr>
        <w:t>务报表时，视同合并后形成的报告主体自最终控制方开始实施控制时一直是一体化存续下来的，对</w:t>
      </w:r>
      <w:r>
        <w:rPr>
          <w:spacing w:val="-29"/>
        </w:rPr>
        <w:t> </w:t>
      </w:r>
      <w:r>
        <w:rPr>
          <w:spacing w:val="-29"/>
        </w:rPr>
      </w:r>
      <w:r>
        <w:rPr/>
        <w:t>合并资产负债表的期初数进行调整，同时对比较报表的相关项目进行调整。</w:t>
      </w:r>
    </w:p>
    <w:p>
      <w:pPr>
        <w:spacing w:line="240" w:lineRule="auto" w:before="6"/>
        <w:rPr>
          <w:rFonts w:ascii="宋体" w:hAnsi="宋体" w:cs="宋体" w:eastAsia="宋体" w:hint="default"/>
          <w:sz w:val="15"/>
          <w:szCs w:val="15"/>
        </w:rPr>
      </w:pPr>
    </w:p>
    <w:p>
      <w:pPr>
        <w:spacing w:line="410" w:lineRule="auto" w:before="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81"/>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本公司在编制现金流量表时所确定的现金，是指本公司的库存现金以及可以随时用于支付的存</w:t>
      </w:r>
    </w:p>
    <w:p>
      <w:pPr>
        <w:pStyle w:val="BodyText"/>
        <w:spacing w:line="261" w:lineRule="exact"/>
        <w:ind w:right="0"/>
        <w:jc w:val="both"/>
      </w:pPr>
      <w:r>
        <w:rPr/>
        <w:t>款；现金等价物，是指本公司持有的期限短、流动性强、易于转换为已知金额现金、价值变动风险</w:t>
      </w:r>
    </w:p>
    <w:p>
      <w:pPr>
        <w:pStyle w:val="BodyText"/>
        <w:spacing w:line="240" w:lineRule="auto" w:before="133"/>
        <w:ind w:right="0"/>
        <w:jc w:val="both"/>
      </w:pPr>
      <w:r>
        <w:rPr/>
        <w:t>很小的投资。</w:t>
      </w:r>
    </w:p>
    <w:p>
      <w:pPr>
        <w:spacing w:line="240" w:lineRule="auto" w:before="2"/>
        <w:rPr>
          <w:rFonts w:ascii="宋体" w:hAnsi="宋体" w:cs="宋体" w:eastAsia="宋体" w:hint="default"/>
          <w:sz w:val="24"/>
          <w:szCs w:val="24"/>
        </w:rPr>
      </w:pPr>
    </w:p>
    <w:p>
      <w:pPr>
        <w:pStyle w:val="Heading4"/>
        <w:spacing w:line="240" w:lineRule="auto"/>
        <w:ind w:right="1205"/>
        <w:jc w:val="left"/>
        <w:rPr>
          <w:b w:val="0"/>
          <w:bCs w:val="0"/>
        </w:rPr>
      </w:pPr>
      <w:r>
        <w:rPr/>
        <w:t>（八）</w:t>
      </w:r>
      <w:r>
        <w:rPr>
          <w:spacing w:val="-84"/>
        </w:rPr>
        <w:t> </w:t>
      </w:r>
      <w:r>
        <w:rPr/>
        <w:t>外币业务和外币报表折算</w:t>
      </w:r>
      <w:r>
        <w:rPr>
          <w:b w:val="0"/>
          <w:bCs w:val="0"/>
        </w:rPr>
      </w:r>
    </w:p>
    <w:p>
      <w:pPr>
        <w:spacing w:line="240" w:lineRule="auto" w:before="7"/>
        <w:rPr>
          <w:rFonts w:ascii="宋体" w:hAnsi="宋体" w:cs="宋体" w:eastAsia="宋体" w:hint="default"/>
          <w:b/>
          <w:bCs/>
          <w:sz w:val="19"/>
          <w:szCs w:val="19"/>
        </w:rPr>
      </w:pPr>
    </w:p>
    <w:p>
      <w:pPr>
        <w:pStyle w:val="BodyText"/>
        <w:spacing w:line="388" w:lineRule="auto"/>
        <w:ind w:left="560" w:right="1205" w:firstLine="120"/>
        <w:jc w:val="left"/>
      </w:pPr>
      <w:r>
        <w:rPr>
          <w:rFonts w:ascii="Arial" w:hAnsi="Arial" w:cs="Arial" w:eastAsia="Arial" w:hint="default"/>
          <w:b/>
          <w:bCs/>
        </w:rPr>
        <w:t>1.</w:t>
      </w:r>
      <w:r>
        <w:rPr>
          <w:rFonts w:ascii="Arial" w:hAnsi="Arial" w:cs="Arial" w:eastAsia="Arial" w:hint="default"/>
          <w:b/>
          <w:bCs/>
          <w:spacing w:val="5"/>
        </w:rPr>
        <w:t> </w:t>
      </w:r>
      <w:r>
        <w:rPr>
          <w:rFonts w:ascii="宋体" w:hAnsi="宋体" w:cs="宋体" w:eastAsia="宋体" w:hint="default"/>
          <w:b/>
          <w:bCs/>
        </w:rPr>
        <w:t>外币业务</w:t>
      </w:r>
      <w:r>
        <w:rPr>
          <w:rFonts w:ascii="宋体" w:hAnsi="宋体" w:cs="宋体" w:eastAsia="宋体" w:hint="default"/>
          <w:b/>
          <w:bCs/>
          <w:w w:val="100"/>
        </w:rPr>
        <w:t> </w:t>
      </w:r>
      <w:r>
        <w:rPr>
          <w:spacing w:val="-2"/>
        </w:rPr>
        <w:t>本公司对发生的外币业务，采用业务发生日中国人民银行授权中国外汇交易中心公布的中间价</w:t>
      </w:r>
    </w:p>
    <w:p>
      <w:pPr>
        <w:pStyle w:val="BodyText"/>
        <w:spacing w:line="357" w:lineRule="auto" w:before="5"/>
        <w:ind w:right="1431"/>
        <w:jc w:val="both"/>
      </w:pPr>
      <w:r>
        <w:rPr>
          <w:spacing w:val="-2"/>
        </w:rPr>
        <w:t>折合为人民币记账。资产负债表日，外币货币性项目按中国人民银行授权中国外汇交易中心公布的</w:t>
      </w:r>
      <w:r>
        <w:rPr>
          <w:spacing w:val="-29"/>
        </w:rPr>
        <w:t> </w:t>
      </w:r>
      <w:r>
        <w:rPr>
          <w:spacing w:val="-29"/>
        </w:rPr>
      </w:r>
      <w:r>
        <w:rPr>
          <w:spacing w:val="-2"/>
        </w:rPr>
        <w:t>中间价折算，由此产生的汇兑损益，除属于与符合资本化条件资产有关的借款产生的汇兑损益，予</w:t>
      </w:r>
      <w:r>
        <w:rPr>
          <w:spacing w:val="-30"/>
        </w:rPr>
        <w:t> </w:t>
      </w:r>
      <w:r>
        <w:rPr>
          <w:spacing w:val="-30"/>
        </w:rPr>
      </w:r>
      <w:r>
        <w:rPr>
          <w:spacing w:val="-2"/>
        </w:rPr>
        <w:t>以资本化计入相关资产成本外，其余计入当期损益。以历史成本计量的外币非货币性项目，仍采用</w:t>
      </w:r>
      <w:r>
        <w:rPr>
          <w:spacing w:val="-29"/>
        </w:rPr>
        <w:t> </w:t>
      </w:r>
      <w:r>
        <w:rPr>
          <w:spacing w:val="-29"/>
        </w:rPr>
      </w:r>
      <w:r>
        <w:rPr/>
        <w:t>业务发生日中国人民银行授权中国外汇交易中心公布的中间价折算，不改变其记账本位币金额。</w:t>
      </w:r>
    </w:p>
    <w:p>
      <w:pPr>
        <w:spacing w:line="240" w:lineRule="auto" w:before="1"/>
        <w:rPr>
          <w:rFonts w:ascii="宋体" w:hAnsi="宋体" w:cs="宋体" w:eastAsia="宋体" w:hint="default"/>
          <w:sz w:val="16"/>
          <w:szCs w:val="16"/>
        </w:rPr>
      </w:pPr>
    </w:p>
    <w:p>
      <w:pPr>
        <w:spacing w:line="388" w:lineRule="auto" w:before="0"/>
        <w:ind w:left="560" w:right="1205" w:firstLine="1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5"/>
          <w:sz w:val="21"/>
          <w:szCs w:val="21"/>
        </w:rPr>
        <w:t> </w:t>
      </w:r>
      <w:r>
        <w:rPr>
          <w:rFonts w:ascii="宋体" w:hAnsi="宋体" w:cs="宋体" w:eastAsia="宋体" w:hint="default"/>
          <w:b/>
          <w:bCs/>
          <w:sz w:val="21"/>
          <w:szCs w:val="21"/>
        </w:rPr>
        <w:t>外币财务报表折算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本公司对合并范围内境外经营实体的财务报表（含采用不同于本公司记账本位币的境内子公</w:t>
      </w:r>
    </w:p>
    <w:p>
      <w:pPr>
        <w:pStyle w:val="BodyText"/>
        <w:spacing w:line="240" w:lineRule="auto" w:before="5"/>
        <w:ind w:right="0"/>
        <w:jc w:val="both"/>
      </w:pPr>
      <w:r>
        <w:rPr/>
        <w:t>司、合营企业、联营企业、分支机构等），折算为人民币财务报表进行编报。</w:t>
      </w:r>
    </w:p>
    <w:p>
      <w:pPr>
        <w:spacing w:line="240" w:lineRule="auto" w:before="5"/>
        <w:rPr>
          <w:rFonts w:ascii="宋体" w:hAnsi="宋体" w:cs="宋体" w:eastAsia="宋体" w:hint="default"/>
          <w:sz w:val="19"/>
          <w:szCs w:val="19"/>
        </w:rPr>
      </w:pPr>
    </w:p>
    <w:p>
      <w:pPr>
        <w:pStyle w:val="BodyText"/>
        <w:spacing w:line="355" w:lineRule="auto"/>
        <w:ind w:right="1431" w:firstLine="420"/>
        <w:jc w:val="both"/>
      </w:pPr>
      <w:r>
        <w:rPr>
          <w:spacing w:val="-2"/>
        </w:rPr>
        <w:t>资产负债表中的资产和负债项目，采用资产负债表日中国人民银行授权中国外汇交易中心公布</w:t>
      </w:r>
      <w:r>
        <w:rPr>
          <w:w w:val="100"/>
        </w:rPr>
        <w:t> </w:t>
      </w:r>
      <w:r>
        <w:rPr>
          <w:spacing w:val="-2"/>
          <w:w w:val="98"/>
        </w:rPr>
        <w:t>的中间价折算，所有者权益项目除</w:t>
      </w:r>
      <w:r>
        <w:rPr>
          <w:rFonts w:ascii="Arial" w:hAnsi="Arial" w:cs="Arial" w:eastAsia="Arial" w:hint="default"/>
          <w:spacing w:val="-2"/>
          <w:w w:val="98"/>
        </w:rPr>
        <w:t>―</w:t>
      </w:r>
      <w:r>
        <w:rPr>
          <w:spacing w:val="-2"/>
          <w:w w:val="98"/>
        </w:rPr>
        <w:t>未分配利润</w:t>
      </w:r>
      <w:r>
        <w:rPr>
          <w:rFonts w:ascii="Arial" w:hAnsi="Arial" w:cs="Arial" w:eastAsia="Arial" w:hint="default"/>
          <w:spacing w:val="-2"/>
          <w:w w:val="98"/>
        </w:rPr>
        <w:t>‖</w:t>
      </w:r>
      <w:r>
        <w:rPr>
          <w:spacing w:val="-2"/>
          <w:w w:val="98"/>
        </w:rPr>
        <w:t>项目外，其他项目采用发生时中国人民银行授权中</w:t>
      </w:r>
      <w:r>
        <w:rPr>
          <w:spacing w:val="-51"/>
          <w:w w:val="98"/>
        </w:rPr>
        <w:t> </w:t>
      </w:r>
      <w:r>
        <w:rPr>
          <w:spacing w:val="-51"/>
          <w:w w:val="98"/>
        </w:rPr>
      </w:r>
      <w:r>
        <w:rPr>
          <w:spacing w:val="-2"/>
        </w:rPr>
        <w:t>国外汇交易中心公布的中间价折算。利润表中的收入和费用项目，采用与交易发生日即期汇率近似</w:t>
      </w:r>
      <w:r>
        <w:rPr>
          <w:spacing w:val="-29"/>
        </w:rPr>
        <w:t> </w:t>
      </w:r>
      <w:r>
        <w:rPr>
          <w:spacing w:val="-29"/>
        </w:rPr>
      </w:r>
      <w:r>
        <w:rPr>
          <w:spacing w:val="-2"/>
        </w:rPr>
        <w:t>的汇率折算。折算产生的外币财务报表折算差额，在资产负债表中所有者权益项目下单独列示。外</w:t>
      </w:r>
      <w:r>
        <w:rPr>
          <w:spacing w:val="-30"/>
        </w:rPr>
        <w:t> </w:t>
      </w:r>
      <w:r>
        <w:rPr>
          <w:spacing w:val="-30"/>
        </w:rPr>
      </w:r>
      <w:r>
        <w:rPr>
          <w:spacing w:val="-2"/>
        </w:rPr>
        <w:t>币现金流量采用现金流量发生日中国人民银行授权中国外汇交易中心公布的中间价折算。汇率变动</w:t>
      </w:r>
      <w:r>
        <w:rPr>
          <w:spacing w:val="-30"/>
        </w:rPr>
        <w:t> </w:t>
      </w:r>
      <w:r>
        <w:rPr>
          <w:spacing w:val="-30"/>
        </w:rPr>
      </w:r>
      <w:r>
        <w:rPr/>
        <w:t>对现金的影响额，在现金流量表中单独列示。</w:t>
      </w:r>
    </w:p>
    <w:p>
      <w:pPr>
        <w:pStyle w:val="BodyText"/>
        <w:spacing w:line="240" w:lineRule="auto" w:before="154"/>
        <w:ind w:left="560" w:right="1205"/>
        <w:jc w:val="left"/>
      </w:pPr>
      <w:r>
        <w:rPr/>
        <w:t>处置境外经营时，与该境外经营有关的外币报表折算差额，按比例转入处置当期损益。</w:t>
      </w:r>
    </w:p>
    <w:p>
      <w:pPr>
        <w:spacing w:line="240" w:lineRule="auto" w:before="2"/>
        <w:rPr>
          <w:rFonts w:ascii="宋体" w:hAnsi="宋体" w:cs="宋体" w:eastAsia="宋体" w:hint="default"/>
          <w:sz w:val="24"/>
          <w:szCs w:val="24"/>
        </w:rPr>
      </w:pPr>
    </w:p>
    <w:p>
      <w:pPr>
        <w:pStyle w:val="Heading4"/>
        <w:spacing w:line="240" w:lineRule="auto"/>
        <w:ind w:right="1205"/>
        <w:jc w:val="left"/>
        <w:rPr>
          <w:b w:val="0"/>
          <w:bCs w:val="0"/>
        </w:rPr>
      </w:pPr>
      <w:r>
        <w:rPr/>
        <w:t>（九）</w:t>
      </w:r>
      <w:r>
        <w:rPr>
          <w:spacing w:val="-81"/>
        </w:rPr>
        <w:t> </w:t>
      </w:r>
      <w:r>
        <w:rPr/>
        <w:t>金融工具</w:t>
      </w:r>
      <w:r>
        <w:rPr>
          <w:b w:val="0"/>
          <w:bCs w:val="0"/>
        </w:rPr>
      </w:r>
    </w:p>
    <w:p>
      <w:pPr>
        <w:spacing w:line="240" w:lineRule="auto" w:before="5"/>
        <w:rPr>
          <w:rFonts w:ascii="宋体" w:hAnsi="宋体" w:cs="宋体" w:eastAsia="宋体" w:hint="default"/>
          <w:b/>
          <w:bCs/>
          <w:sz w:val="19"/>
          <w:szCs w:val="19"/>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金融工具的分类、确认依据和计量方法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本公司的金融资产包括：应收款项（相关说明见附注二之（十））。金融资产的分类取决于本</w:t>
      </w:r>
    </w:p>
    <w:p>
      <w:pPr>
        <w:pStyle w:val="BodyText"/>
        <w:spacing w:line="240" w:lineRule="auto" w:before="3"/>
        <w:ind w:right="0"/>
        <w:jc w:val="both"/>
      </w:pPr>
      <w:r>
        <w:rPr/>
        <w:t>公司及其子公司对金融资产的持有意图和持有能力。</w:t>
      </w:r>
    </w:p>
    <w:p>
      <w:pPr>
        <w:spacing w:after="0" w:line="240" w:lineRule="auto"/>
        <w:jc w:val="both"/>
        <w:sectPr>
          <w:pgSz w:w="11910" w:h="16840"/>
          <w:pgMar w:header="884" w:footer="1013" w:top="1080" w:bottom="1200" w:left="1300" w:right="0"/>
        </w:sectPr>
      </w:pPr>
    </w:p>
    <w:p>
      <w:pPr>
        <w:pStyle w:val="BodyText"/>
        <w:spacing w:line="240" w:lineRule="auto" w:before="30"/>
        <w:ind w:left="560" w:right="1205"/>
        <w:jc w:val="left"/>
      </w:pPr>
      <w:r>
        <w:rPr/>
        <w:pict>
          <v:group style="position:absolute;margin-left:70.584pt;margin-top:2.843696pt;width:436.3pt;height:.1pt;mso-position-horizontal-relative:page;mso-position-vertical-relative:paragraph;z-index:-636376" coordorigin="1412,57" coordsize="8726,2">
            <v:shape style="position:absolute;left:1412;top:57;width:8726;height:2" coordorigin="1412,57" coordsize="8726,0" path="m1412,57l10137,57e" filled="false" stroked="true" strokeweight=".72pt" strokecolor="#000000">
              <v:path arrowok="t"/>
            </v:shape>
            <w10:wrap type="none"/>
          </v:group>
        </w:pict>
      </w:r>
      <w:r>
        <w:rPr/>
        <w:t>本公司的金融负债包括：其他金融负债。</w:t>
      </w:r>
    </w:p>
    <w:p>
      <w:pPr>
        <w:spacing w:line="240" w:lineRule="auto" w:before="7"/>
        <w:rPr>
          <w:rFonts w:ascii="宋体" w:hAnsi="宋体" w:cs="宋体" w:eastAsia="宋体" w:hint="default"/>
          <w:sz w:val="19"/>
          <w:szCs w:val="19"/>
        </w:rPr>
      </w:pPr>
    </w:p>
    <w:p>
      <w:pPr>
        <w:pStyle w:val="BodyText"/>
        <w:spacing w:line="436" w:lineRule="auto"/>
        <w:ind w:left="560" w:right="1205"/>
        <w:jc w:val="left"/>
      </w:pPr>
      <w:r>
        <w:rPr/>
        <w:t>（</w:t>
      </w:r>
      <w:r>
        <w:rPr>
          <w:rFonts w:ascii="Arial" w:hAnsi="Arial" w:cs="Arial" w:eastAsia="Arial" w:hint="default"/>
        </w:rPr>
        <w:t>1</w:t>
      </w:r>
      <w:r>
        <w:rPr/>
        <w:t>）其他金融负债</w:t>
      </w:r>
      <w:r>
        <w:rPr>
          <w:w w:val="100"/>
        </w:rPr>
        <w:t> </w:t>
      </w:r>
      <w:r>
        <w:rPr>
          <w:spacing w:val="-2"/>
        </w:rPr>
        <w:t>本公司的其他金融负债是指除以公允价值计量且其变动计入当期损益的金融负债以外的金融</w:t>
      </w:r>
    </w:p>
    <w:p>
      <w:pPr>
        <w:pStyle w:val="BodyText"/>
        <w:spacing w:line="238" w:lineRule="exact"/>
        <w:ind w:right="1205"/>
        <w:jc w:val="left"/>
      </w:pPr>
      <w:r>
        <w:rPr/>
        <w:t>负债。主要包括因购买商品产生的应付账款等。其他金融负债按其公允价值和相关交易费用之和作</w:t>
      </w:r>
    </w:p>
    <w:p>
      <w:pPr>
        <w:pStyle w:val="BodyText"/>
        <w:spacing w:line="240" w:lineRule="auto" w:before="133"/>
        <w:ind w:right="1205"/>
        <w:jc w:val="left"/>
      </w:pPr>
      <w:r>
        <w:rPr/>
        <w:t>为初始确认金额。采用摊余成本进行后续计量。</w:t>
      </w:r>
    </w:p>
    <w:p>
      <w:pPr>
        <w:spacing w:line="240" w:lineRule="auto" w:before="7"/>
        <w:rPr>
          <w:rFonts w:ascii="宋体" w:hAnsi="宋体" w:cs="宋体" w:eastAsia="宋体" w:hint="default"/>
          <w:sz w:val="19"/>
          <w:szCs w:val="19"/>
        </w:rPr>
      </w:pPr>
    </w:p>
    <w:p>
      <w:pPr>
        <w:pStyle w:val="BodyText"/>
        <w:spacing w:line="357" w:lineRule="auto"/>
        <w:ind w:right="1205" w:firstLine="420"/>
        <w:jc w:val="left"/>
      </w:pPr>
      <w:r>
        <w:rPr/>
        <w:t>本公司拥有的其他不属于以公允价值计量且其变动计入当期损益的金融负债的财务担保合同</w:t>
      </w:r>
      <w:r>
        <w:rPr>
          <w:w w:val="100"/>
        </w:rPr>
        <w:t> </w:t>
      </w:r>
      <w:r>
        <w:rPr>
          <w:spacing w:val="-2"/>
        </w:rPr>
        <w:t>等，按其公允价值和相关交易费用之和作为初始确认金额。在初始计量后按照下列两项金额之中的</w:t>
      </w:r>
      <w:r>
        <w:rPr>
          <w:spacing w:val="-31"/>
        </w:rPr>
        <w:t> </w:t>
      </w:r>
      <w:r>
        <w:rPr>
          <w:spacing w:val="-31"/>
        </w:rPr>
      </w:r>
      <w:r>
        <w:rPr/>
        <w:t>较高者进行后续计量：</w:t>
      </w:r>
    </w:p>
    <w:p>
      <w:pPr>
        <w:pStyle w:val="BodyText"/>
        <w:spacing w:line="240" w:lineRule="auto" w:before="152"/>
        <w:ind w:left="560" w:right="1205"/>
        <w:jc w:val="left"/>
      </w:pPr>
      <w:r>
        <w:rPr>
          <w:rFonts w:ascii="Arial" w:hAnsi="Arial" w:cs="Arial" w:eastAsia="Arial" w:hint="default"/>
        </w:rPr>
        <w:t>1</w:t>
      </w:r>
      <w:r>
        <w:rPr/>
        <w:t>．按照《企业会计准则第 </w:t>
      </w:r>
      <w:r>
        <w:rPr>
          <w:rFonts w:ascii="Arial" w:hAnsi="Arial" w:cs="Arial" w:eastAsia="Arial" w:hint="default"/>
        </w:rPr>
        <w:t>13</w:t>
      </w:r>
      <w:r>
        <w:rPr>
          <w:rFonts w:ascii="Arial" w:hAnsi="Arial" w:cs="Arial" w:eastAsia="Arial" w:hint="default"/>
          <w:spacing w:val="-13"/>
        </w:rPr>
        <w:t> </w:t>
      </w:r>
      <w:r>
        <w:rPr/>
        <w:t>号</w:t>
      </w:r>
      <w:r>
        <w:rPr>
          <w:rFonts w:ascii="Arial" w:hAnsi="Arial" w:cs="Arial" w:eastAsia="Arial" w:hint="default"/>
        </w:rPr>
        <w:t>——</w:t>
      </w:r>
      <w:r>
        <w:rPr/>
        <w:t>或有事项》确定的金额；</w:t>
      </w:r>
    </w:p>
    <w:p>
      <w:pPr>
        <w:spacing w:line="240" w:lineRule="auto" w:before="6"/>
        <w:rPr>
          <w:rFonts w:ascii="宋体" w:hAnsi="宋体" w:cs="宋体" w:eastAsia="宋体" w:hint="default"/>
          <w:sz w:val="18"/>
          <w:szCs w:val="18"/>
        </w:rPr>
      </w:pPr>
    </w:p>
    <w:p>
      <w:pPr>
        <w:pStyle w:val="BodyText"/>
        <w:spacing w:line="338" w:lineRule="auto"/>
        <w:ind w:right="1205" w:firstLine="420"/>
        <w:jc w:val="left"/>
      </w:pPr>
      <w:r>
        <w:rPr>
          <w:rFonts w:ascii="Arial" w:hAnsi="Arial" w:cs="Arial" w:eastAsia="Arial" w:hint="default"/>
          <w:spacing w:val="-5"/>
        </w:rPr>
        <w:t>2</w:t>
      </w:r>
      <w:r>
        <w:rPr>
          <w:spacing w:val="-5"/>
        </w:rPr>
        <w:t>．初始确认金额扣除按照《企业会计准则第 </w:t>
      </w:r>
      <w:r>
        <w:rPr>
          <w:rFonts w:ascii="Arial" w:hAnsi="Arial" w:cs="Arial" w:eastAsia="Arial" w:hint="default"/>
        </w:rPr>
        <w:t>14</w:t>
      </w:r>
      <w:r>
        <w:rPr>
          <w:rFonts w:ascii="Arial" w:hAnsi="Arial" w:cs="Arial" w:eastAsia="Arial" w:hint="default"/>
          <w:spacing w:val="49"/>
        </w:rPr>
        <w:t> </w:t>
      </w:r>
      <w:r>
        <w:rPr>
          <w:spacing w:val="-3"/>
        </w:rPr>
        <w:t>号</w:t>
      </w:r>
      <w:r>
        <w:rPr>
          <w:rFonts w:ascii="Arial" w:hAnsi="Arial" w:cs="Arial" w:eastAsia="Arial" w:hint="default"/>
          <w:spacing w:val="-3"/>
        </w:rPr>
        <w:t>——</w:t>
      </w:r>
      <w:r>
        <w:rPr>
          <w:spacing w:val="-3"/>
        </w:rPr>
        <w:t>收入》的原则确定的累计摊销额后的余</w:t>
      </w:r>
      <w:r>
        <w:rPr>
          <w:w w:val="100"/>
        </w:rPr>
        <w:t> </w:t>
      </w:r>
      <w:r>
        <w:rPr/>
        <w:t>额。</w:t>
      </w:r>
    </w:p>
    <w:p>
      <w:pPr>
        <w:spacing w:line="240" w:lineRule="auto" w:before="7"/>
        <w:rPr>
          <w:rFonts w:ascii="宋体" w:hAnsi="宋体" w:cs="宋体" w:eastAsia="宋体" w:hint="default"/>
          <w:sz w:val="17"/>
          <w:szCs w:val="17"/>
        </w:rPr>
      </w:pPr>
    </w:p>
    <w:p>
      <w:pPr>
        <w:spacing w:line="388" w:lineRule="auto" w:before="0"/>
        <w:ind w:left="560" w:right="5675"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2"/>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本公司的金融资产转移，包括下列两种情形：</w:t>
      </w:r>
    </w:p>
    <w:p>
      <w:pPr>
        <w:pStyle w:val="BodyText"/>
        <w:spacing w:line="240" w:lineRule="auto" w:before="125"/>
        <w:ind w:left="560" w:right="1205"/>
        <w:jc w:val="left"/>
      </w:pPr>
      <w:r>
        <w:rPr/>
        <w:t>（</w:t>
      </w:r>
      <w:r>
        <w:rPr>
          <w:rFonts w:ascii="Arial" w:hAnsi="Arial" w:cs="Arial" w:eastAsia="Arial" w:hint="default"/>
        </w:rPr>
        <w:t>1</w:t>
      </w:r>
      <w:r>
        <w:rPr/>
        <w:t>）将收取金融资产现金流量的权利转移给另一方；</w:t>
      </w:r>
    </w:p>
    <w:p>
      <w:pPr>
        <w:spacing w:line="240" w:lineRule="auto" w:before="5"/>
        <w:rPr>
          <w:rFonts w:ascii="宋体" w:hAnsi="宋体" w:cs="宋体" w:eastAsia="宋体" w:hint="default"/>
          <w:sz w:val="18"/>
          <w:szCs w:val="18"/>
        </w:rPr>
      </w:pPr>
    </w:p>
    <w:p>
      <w:pPr>
        <w:pStyle w:val="BodyText"/>
        <w:spacing w:line="338" w:lineRule="auto"/>
        <w:ind w:right="1205" w:firstLine="420"/>
        <w:jc w:val="left"/>
      </w:pPr>
      <w:r>
        <w:rPr>
          <w:spacing w:val="-2"/>
        </w:rPr>
        <w:t>（</w:t>
      </w:r>
      <w:r>
        <w:rPr>
          <w:rFonts w:ascii="Arial" w:hAnsi="Arial" w:cs="Arial" w:eastAsia="Arial" w:hint="default"/>
          <w:spacing w:val="-2"/>
        </w:rPr>
        <w:t>2</w:t>
      </w:r>
      <w:r>
        <w:rPr>
          <w:spacing w:val="-2"/>
        </w:rPr>
        <w:t>）将金融资产转移给另一方，但保留收取金融资产现金流量的权利，并承担将收取的现金</w:t>
      </w:r>
      <w:r>
        <w:rPr>
          <w:w w:val="100"/>
        </w:rPr>
        <w:t> </w:t>
      </w:r>
      <w:r>
        <w:rPr/>
        <w:t>流量支付给最终收款方的义务，同时满足下列条件：</w:t>
      </w:r>
    </w:p>
    <w:p>
      <w:pPr>
        <w:pStyle w:val="BodyText"/>
        <w:spacing w:line="340" w:lineRule="auto" w:before="170"/>
        <w:ind w:right="1205" w:firstLine="420"/>
        <w:jc w:val="left"/>
      </w:pPr>
      <w:r>
        <w:rPr>
          <w:rFonts w:ascii="Arial" w:hAnsi="Arial" w:cs="Arial" w:eastAsia="Arial" w:hint="default"/>
          <w:spacing w:val="-2"/>
        </w:rPr>
        <w:t>A</w:t>
      </w:r>
      <w:r>
        <w:rPr>
          <w:spacing w:val="-2"/>
        </w:rPr>
        <w:t>．从该金融资产收到对等的现金流量时，才有义务将其支付给最终收款方。企业发生短期垫</w:t>
      </w:r>
      <w:r>
        <w:rPr>
          <w:w w:val="100"/>
        </w:rPr>
        <w:t> </w:t>
      </w:r>
      <w:r>
        <w:rPr/>
        <w:t>付款，但有权全额收回该垫付款并按照市场上同期银行贷款利率计收利息的，视同满足本条件。</w:t>
      </w:r>
    </w:p>
    <w:p>
      <w:pPr>
        <w:pStyle w:val="BodyText"/>
        <w:spacing w:line="340" w:lineRule="auto" w:before="165"/>
        <w:ind w:right="1205" w:firstLine="420"/>
        <w:jc w:val="left"/>
      </w:pPr>
      <w:r>
        <w:rPr>
          <w:rFonts w:ascii="Arial" w:hAnsi="Arial" w:cs="Arial" w:eastAsia="Arial" w:hint="default"/>
          <w:spacing w:val="-2"/>
        </w:rPr>
        <w:t>B</w:t>
      </w:r>
      <w:r>
        <w:rPr>
          <w:spacing w:val="-2"/>
        </w:rPr>
        <w:t>．根据合同约定，不能出售该金融资产或作为担保物，但可以将其作为对最终收款方支付现</w:t>
      </w:r>
      <w:r>
        <w:rPr>
          <w:w w:val="100"/>
        </w:rPr>
        <w:t> </w:t>
      </w:r>
      <w:r>
        <w:rPr/>
        <w:t>金流量的保证。</w:t>
      </w:r>
    </w:p>
    <w:p>
      <w:pPr>
        <w:pStyle w:val="BodyText"/>
        <w:spacing w:line="348" w:lineRule="auto" w:before="165"/>
        <w:ind w:right="1431" w:firstLine="420"/>
        <w:jc w:val="both"/>
      </w:pPr>
      <w:r>
        <w:rPr>
          <w:rFonts w:ascii="Arial" w:hAnsi="Arial" w:cs="Arial" w:eastAsia="Arial" w:hint="default"/>
          <w:spacing w:val="-2"/>
        </w:rPr>
        <w:t>C</w:t>
      </w:r>
      <w:r>
        <w:rPr>
          <w:spacing w:val="-2"/>
        </w:rPr>
        <w:t>．有义务将收取的现金流量及时支付给最终收款方。公司无权将该现金流量进行再投资，但</w:t>
      </w:r>
      <w:r>
        <w:rPr>
          <w:w w:val="100"/>
        </w:rPr>
        <w:t> </w:t>
      </w:r>
      <w:r>
        <w:rPr>
          <w:spacing w:val="-2"/>
        </w:rPr>
        <w:t>按照合同约定在相邻两次支付间隔期内将所收到的现金流量进行现金或现金等价物投资的除外。公</w:t>
      </w:r>
      <w:r>
        <w:rPr>
          <w:spacing w:val="-30"/>
        </w:rPr>
        <w:t> </w:t>
      </w:r>
      <w:r>
        <w:rPr>
          <w:spacing w:val="-30"/>
        </w:rPr>
      </w:r>
      <w:r>
        <w:rPr/>
        <w:t>司按照合同约定进行再投资的，应当将投资收益按照合同约定支付给最终收款方。</w:t>
      </w:r>
    </w:p>
    <w:p>
      <w:pPr>
        <w:pStyle w:val="BodyText"/>
        <w:spacing w:line="360" w:lineRule="auto" w:before="158"/>
        <w:ind w:right="1205" w:firstLine="420"/>
        <w:jc w:val="left"/>
      </w:pPr>
      <w:r>
        <w:rPr>
          <w:spacing w:val="-2"/>
        </w:rPr>
        <w:t>已将金融资产所有权上几乎所有的风险和报酬转移给转入方的，终止确认该金融资产；保留了</w:t>
      </w:r>
      <w:r>
        <w:rPr>
          <w:w w:val="100"/>
        </w:rPr>
        <w:t> </w:t>
      </w:r>
      <w:r>
        <w:rPr/>
        <w:t>金融资产所有权上几乎所有的风险和报酬的，不终止确认该金融资产。</w:t>
      </w:r>
    </w:p>
    <w:p>
      <w:pPr>
        <w:pStyle w:val="BodyText"/>
        <w:spacing w:line="240" w:lineRule="auto" w:before="150"/>
        <w:ind w:left="560" w:right="1205"/>
        <w:jc w:val="left"/>
      </w:pPr>
      <w:r>
        <w:rPr/>
        <w:t>既没有转移也没有保留金融资产所有权上几乎所有的风险和报酬的，分别下列情况处理：</w:t>
      </w:r>
    </w:p>
    <w:p>
      <w:pPr>
        <w:spacing w:line="240" w:lineRule="auto" w:before="5"/>
        <w:rPr>
          <w:rFonts w:ascii="宋体" w:hAnsi="宋体" w:cs="宋体" w:eastAsia="宋体" w:hint="default"/>
          <w:sz w:val="19"/>
          <w:szCs w:val="19"/>
        </w:rPr>
      </w:pPr>
    </w:p>
    <w:p>
      <w:pPr>
        <w:pStyle w:val="BodyText"/>
        <w:spacing w:line="240" w:lineRule="auto"/>
        <w:ind w:left="560" w:right="1205"/>
        <w:jc w:val="left"/>
      </w:pPr>
      <w:r>
        <w:rPr/>
        <w:t>（</w:t>
      </w:r>
      <w:r>
        <w:rPr>
          <w:rFonts w:ascii="Arial" w:hAnsi="Arial" w:cs="Arial" w:eastAsia="Arial" w:hint="default"/>
        </w:rPr>
        <w:t>1</w:t>
      </w:r>
      <w:r>
        <w:rPr/>
        <w:t>）放弃了对该金融资产控制的，终止确认该金融资产。</w:t>
      </w:r>
    </w:p>
    <w:p>
      <w:pPr>
        <w:spacing w:line="240" w:lineRule="auto" w:before="5"/>
        <w:rPr>
          <w:rFonts w:ascii="宋体" w:hAnsi="宋体" w:cs="宋体" w:eastAsia="宋体" w:hint="default"/>
          <w:sz w:val="18"/>
          <w:szCs w:val="18"/>
        </w:rPr>
      </w:pPr>
    </w:p>
    <w:p>
      <w:pPr>
        <w:pStyle w:val="BodyText"/>
        <w:spacing w:line="338" w:lineRule="auto"/>
        <w:ind w:right="1205" w:firstLine="420"/>
        <w:jc w:val="left"/>
      </w:pPr>
      <w:r>
        <w:rPr>
          <w:spacing w:val="-2"/>
        </w:rPr>
        <w:t>（</w:t>
      </w:r>
      <w:r>
        <w:rPr>
          <w:rFonts w:ascii="Arial" w:hAnsi="Arial" w:cs="Arial" w:eastAsia="Arial" w:hint="default"/>
          <w:spacing w:val="-2"/>
        </w:rPr>
        <w:t>2</w:t>
      </w:r>
      <w:r>
        <w:rPr>
          <w:spacing w:val="-2"/>
        </w:rPr>
        <w:t>）未放弃对该金融资产控制的，按照其继续涉入所转移金融资产的程度确认有关金融资产，</w:t>
      </w:r>
      <w:r>
        <w:rPr>
          <w:w w:val="100"/>
        </w:rPr>
        <w:t> </w:t>
      </w:r>
      <w:r>
        <w:rPr/>
        <w:t>并相应确认有关负债。</w:t>
      </w:r>
    </w:p>
    <w:p>
      <w:pPr>
        <w:spacing w:line="240" w:lineRule="auto" w:before="7"/>
        <w:rPr>
          <w:rFonts w:ascii="宋体" w:hAnsi="宋体" w:cs="宋体" w:eastAsia="宋体" w:hint="default"/>
          <w:sz w:val="17"/>
          <w:szCs w:val="17"/>
        </w:rPr>
      </w:pPr>
    </w:p>
    <w:p>
      <w:pPr>
        <w:pStyle w:val="Heading4"/>
        <w:spacing w:line="240" w:lineRule="auto"/>
        <w:ind w:right="1205"/>
        <w:jc w:val="left"/>
        <w:rPr>
          <w:b w:val="0"/>
          <w:bCs w:val="0"/>
        </w:rPr>
      </w:pPr>
      <w:r>
        <w:rPr>
          <w:rFonts w:ascii="Arial" w:hAnsi="Arial" w:cs="Arial" w:eastAsia="Arial" w:hint="default"/>
        </w:rPr>
        <w:t>3.</w:t>
      </w:r>
      <w:r>
        <w:rPr>
          <w:rFonts w:ascii="Arial" w:hAnsi="Arial" w:cs="Arial" w:eastAsia="Arial" w:hint="default"/>
          <w:spacing w:val="41"/>
        </w:rPr>
        <w:t> </w:t>
      </w:r>
      <w:r>
        <w:rPr/>
        <w:t>金融负债终止确认条件</w:t>
      </w:r>
      <w:r>
        <w:rPr>
          <w:b w:val="0"/>
          <w:bCs w:val="0"/>
        </w:rPr>
      </w:r>
    </w:p>
    <w:p>
      <w:pPr>
        <w:spacing w:after="0" w:line="240" w:lineRule="auto"/>
        <w:jc w:val="left"/>
        <w:sectPr>
          <w:pgSz w:w="11910" w:h="16840"/>
          <w:pgMar w:header="884" w:footer="1013" w:top="1080" w:bottom="1200" w:left="1300" w:right="0"/>
        </w:sectPr>
      </w:pPr>
    </w:p>
    <w:p>
      <w:pPr>
        <w:pStyle w:val="BodyText"/>
        <w:spacing w:line="357" w:lineRule="auto" w:before="30"/>
        <w:ind w:right="1431" w:firstLine="420"/>
        <w:jc w:val="both"/>
      </w:pPr>
      <w:r>
        <w:rPr/>
        <w:pict>
          <v:group style="position:absolute;margin-left:70.584pt;margin-top:2.843696pt;width:436.3pt;height:.1pt;mso-position-horizontal-relative:page;mso-position-vertical-relative:paragraph;z-index:-636352" coordorigin="1412,57" coordsize="8726,2">
            <v:shape style="position:absolute;left:1412;top:57;width:8726;height:2" coordorigin="1412,57" coordsize="8726,0" path="m1412,57l10137,57e" filled="false" stroked="true" strokeweight=".72pt" strokecolor="#000000">
              <v:path arrowok="t"/>
            </v:shape>
            <w10:wrap type="none"/>
          </v:group>
        </w:pict>
      </w:r>
      <w:r>
        <w:rPr>
          <w:spacing w:val="-2"/>
        </w:rPr>
        <w:t>金融负债的现时义务全部或部分已经解除的，终止确认该金融负债或其一部分。金融负债全部</w:t>
      </w:r>
      <w:r>
        <w:rPr>
          <w:w w:val="100"/>
        </w:rPr>
        <w:t> </w:t>
      </w:r>
      <w:r>
        <w:rPr>
          <w:spacing w:val="-2"/>
        </w:rPr>
        <w:t>或部分终止确认的，将终止确认部分的账面价值与支付的对价（包括转出的非现金资产或承担的新</w:t>
      </w:r>
      <w:r>
        <w:rPr>
          <w:spacing w:val="-29"/>
        </w:rPr>
        <w:t> </w:t>
      </w:r>
      <w:r>
        <w:rPr>
          <w:spacing w:val="-29"/>
        </w:rPr>
      </w:r>
      <w:r>
        <w:rPr/>
        <w:t>金融负债）之间的差额，计入当期损益。</w:t>
      </w:r>
    </w:p>
    <w:p>
      <w:pPr>
        <w:spacing w:line="240" w:lineRule="auto" w:before="3"/>
        <w:rPr>
          <w:rFonts w:ascii="宋体" w:hAnsi="宋体" w:cs="宋体" w:eastAsia="宋体" w:hint="default"/>
          <w:sz w:val="16"/>
          <w:szCs w:val="16"/>
        </w:rPr>
      </w:pPr>
    </w:p>
    <w:p>
      <w:pPr>
        <w:pStyle w:val="BodyText"/>
        <w:spacing w:line="408" w:lineRule="auto"/>
        <w:ind w:left="560" w:right="1205"/>
        <w:jc w:val="left"/>
      </w:pPr>
      <w:r>
        <w:rPr>
          <w:rFonts w:ascii="宋体" w:hAnsi="宋体" w:cs="宋体" w:eastAsia="宋体" w:hint="default"/>
          <w:b/>
          <w:bCs/>
        </w:rPr>
        <w:t>（十）</w:t>
      </w:r>
      <w:r>
        <w:rPr>
          <w:rFonts w:ascii="宋体" w:hAnsi="宋体" w:cs="宋体" w:eastAsia="宋体" w:hint="default"/>
          <w:b/>
          <w:bCs/>
          <w:spacing w:val="-80"/>
        </w:rPr>
        <w:t> </w:t>
      </w:r>
      <w:r>
        <w:rPr>
          <w:rFonts w:ascii="宋体" w:hAnsi="宋体" w:cs="宋体" w:eastAsia="宋体" w:hint="default"/>
          <w:b/>
          <w:bCs/>
        </w:rPr>
        <w:t>应收款项</w:t>
      </w:r>
      <w:r>
        <w:rPr>
          <w:rFonts w:ascii="宋体" w:hAnsi="宋体" w:cs="宋体" w:eastAsia="宋体" w:hint="default"/>
          <w:b/>
          <w:bCs/>
          <w:w w:val="100"/>
        </w:rPr>
        <w:t> </w:t>
      </w:r>
      <w:r>
        <w:rPr>
          <w:spacing w:val="-2"/>
        </w:rPr>
        <w:t>本公司应收款项（包括应收账款和其他应收款等）按合同或协议价款作为初始入账金额。凡因</w:t>
      </w:r>
    </w:p>
    <w:p>
      <w:pPr>
        <w:pStyle w:val="BodyText"/>
        <w:spacing w:line="357" w:lineRule="auto"/>
        <w:ind w:right="1431"/>
        <w:jc w:val="both"/>
      </w:pPr>
      <w:r>
        <w:rPr>
          <w:spacing w:val="-2"/>
        </w:rPr>
        <w:t>债务人破产，依照法律清偿程序清偿后仍无法收回；或因债务人死亡，既无遗产可供清偿，又无义</w:t>
      </w:r>
      <w:r>
        <w:rPr>
          <w:spacing w:val="-31"/>
        </w:rPr>
        <w:t> </w:t>
      </w:r>
      <w:r>
        <w:rPr>
          <w:spacing w:val="-31"/>
        </w:rPr>
      </w:r>
      <w:r>
        <w:rPr>
          <w:spacing w:val="-2"/>
        </w:rPr>
        <w:t>务承担人，确实无法收回；或因债务人逾期未能履行偿债义务，经法定程序审核批准，该等应收账</w:t>
      </w:r>
      <w:r>
        <w:rPr>
          <w:spacing w:val="-34"/>
        </w:rPr>
        <w:t> </w:t>
      </w:r>
      <w:r>
        <w:rPr>
          <w:spacing w:val="-34"/>
        </w:rPr>
      </w:r>
      <w:r>
        <w:rPr/>
        <w:t>款列为坏账损失。</w:t>
      </w:r>
    </w:p>
    <w:p>
      <w:pPr>
        <w:pStyle w:val="BodyText"/>
        <w:spacing w:line="357" w:lineRule="auto" w:before="152"/>
        <w:ind w:right="1428" w:firstLine="420"/>
        <w:jc w:val="both"/>
      </w:pPr>
      <w:r>
        <w:rPr>
          <w:spacing w:val="-2"/>
        </w:rPr>
        <w:t>本公司以应收债权向银行等金融机构转让、质押或贴现等方式融资时，根据相关合同的约定，</w:t>
      </w:r>
      <w:r>
        <w:rPr>
          <w:spacing w:val="-3"/>
          <w:w w:val="100"/>
        </w:rPr>
        <w:t> </w:t>
      </w:r>
      <w:r>
        <w:rPr>
          <w:spacing w:val="-2"/>
        </w:rPr>
        <w:t>当债务人到期未偿还该项债务时，若本公司负有向金融机构还款的责任，则该应收债权作为质押贷</w:t>
      </w:r>
      <w:r>
        <w:rPr>
          <w:spacing w:val="-31"/>
        </w:rPr>
        <w:t> </w:t>
      </w:r>
      <w:r>
        <w:rPr>
          <w:spacing w:val="-31"/>
        </w:rPr>
      </w:r>
      <w:r>
        <w:rPr>
          <w:spacing w:val="-2"/>
        </w:rPr>
        <w:t>款处理；若本公司没有向金融机构还款的责任，则该应收债权作为转让处理，并确认债权的转让损</w:t>
      </w:r>
      <w:r>
        <w:rPr>
          <w:spacing w:val="-30"/>
        </w:rPr>
        <w:t> </w:t>
      </w:r>
      <w:r>
        <w:rPr>
          <w:spacing w:val="-30"/>
        </w:rPr>
      </w:r>
      <w:r>
        <w:rPr/>
        <w:t>益。</w:t>
      </w:r>
    </w:p>
    <w:p>
      <w:pPr>
        <w:pStyle w:val="BodyText"/>
        <w:spacing w:line="240" w:lineRule="auto" w:before="150"/>
        <w:ind w:left="560" w:right="1205"/>
        <w:jc w:val="left"/>
      </w:pPr>
      <w:r>
        <w:rPr/>
        <w:t>本公司收回应收款项时，将取得的价款和应收款项账面价值之间的差额计入当期损益。</w:t>
      </w:r>
    </w:p>
    <w:p>
      <w:pPr>
        <w:spacing w:line="240" w:lineRule="auto" w:before="2"/>
        <w:rPr>
          <w:rFonts w:ascii="宋体" w:hAnsi="宋体" w:cs="宋体" w:eastAsia="宋体" w:hint="default"/>
          <w:sz w:val="24"/>
          <w:szCs w:val="24"/>
        </w:rPr>
      </w:pPr>
    </w:p>
    <w:p>
      <w:pPr>
        <w:pStyle w:val="Heading4"/>
        <w:spacing w:line="240" w:lineRule="auto"/>
        <w:ind w:right="1205"/>
        <w:jc w:val="left"/>
        <w:rPr>
          <w:b w:val="0"/>
          <w:bCs w:val="0"/>
        </w:rPr>
      </w:pPr>
      <w:r>
        <w:rPr>
          <w:rFonts w:ascii="Arial" w:hAnsi="Arial" w:cs="Arial" w:eastAsia="Arial" w:hint="default"/>
        </w:rPr>
        <w:t>1.</w:t>
      </w:r>
      <w:r>
        <w:rPr>
          <w:rFonts w:ascii="Arial" w:hAnsi="Arial" w:cs="Arial" w:eastAsia="Arial" w:hint="default"/>
          <w:spacing w:val="33"/>
        </w:rPr>
        <w:t> </w:t>
      </w:r>
      <w:r>
        <w:rPr/>
        <w:t>单项金额重大的并单项计提坏账准备的应收款项</w:t>
      </w:r>
      <w:r>
        <w:rPr>
          <w:b w:val="0"/>
          <w:bCs w:val="0"/>
        </w:rPr>
      </w:r>
    </w:p>
    <w:p>
      <w:pPr>
        <w:pStyle w:val="BodyText"/>
        <w:spacing w:line="436" w:lineRule="auto" w:before="180"/>
        <w:ind w:left="560" w:right="1205"/>
        <w:jc w:val="left"/>
      </w:pPr>
      <w:r>
        <w:rPr/>
        <w:t>本公司将</w:t>
      </w:r>
      <w:r>
        <w:rPr>
          <w:spacing w:val="-54"/>
        </w:rPr>
        <w:t> </w:t>
      </w:r>
      <w:r>
        <w:rPr>
          <w:rFonts w:ascii="Arial" w:hAnsi="Arial" w:cs="Arial" w:eastAsia="Arial" w:hint="default"/>
        </w:rPr>
        <w:t>200</w:t>
      </w:r>
      <w:r>
        <w:rPr>
          <w:rFonts w:ascii="Arial" w:hAnsi="Arial" w:cs="Arial" w:eastAsia="Arial" w:hint="default"/>
          <w:spacing w:val="-9"/>
        </w:rPr>
        <w:t> </w:t>
      </w:r>
      <w:r>
        <w:rPr/>
        <w:t>万元以上的应收款项，确定为单项金额重大的应收款项。</w:t>
      </w:r>
      <w:r>
        <w:rPr>
          <w:w w:val="100"/>
        </w:rPr>
        <w:t> </w:t>
      </w:r>
      <w:r>
        <w:rPr>
          <w:spacing w:val="-4"/>
        </w:rPr>
        <w:t>在资产负债表日，本公司对单项金额重大的应收款项单独进行减值测试，经测试发生了减值的，</w:t>
      </w:r>
    </w:p>
    <w:p>
      <w:pPr>
        <w:pStyle w:val="BodyText"/>
        <w:spacing w:line="238" w:lineRule="exact"/>
        <w:ind w:right="0"/>
        <w:jc w:val="both"/>
      </w:pPr>
      <w:r>
        <w:rPr/>
        <w:t>按其未来现金流量现值低于其账面价值的差额，确定减值损失，计提坏账准备；对单项测试未减值</w:t>
      </w:r>
    </w:p>
    <w:p>
      <w:pPr>
        <w:pStyle w:val="BodyText"/>
        <w:spacing w:line="355" w:lineRule="auto" w:before="136"/>
        <w:ind w:right="1431"/>
        <w:jc w:val="both"/>
      </w:pPr>
      <w:r>
        <w:rPr>
          <w:spacing w:val="-2"/>
        </w:rPr>
        <w:t>的应收款项，汇同对单项金额非重大的应收款项，以账龄为风险特征划分为信用风险组合计提坏账</w:t>
      </w:r>
      <w:r>
        <w:rPr>
          <w:spacing w:val="-31"/>
        </w:rPr>
        <w:t> </w:t>
      </w:r>
      <w:r>
        <w:rPr>
          <w:spacing w:val="-31"/>
        </w:rPr>
      </w:r>
      <w:r>
        <w:rPr/>
        <w:t>准备，详见附注二、（十）、</w:t>
      </w:r>
      <w:r>
        <w:rPr>
          <w:rFonts w:ascii="Arial" w:hAnsi="Arial" w:cs="Arial" w:eastAsia="Arial" w:hint="default"/>
        </w:rPr>
        <w:t>2</w:t>
      </w:r>
      <w:r>
        <w:rPr/>
        <w:t>。</w:t>
      </w:r>
    </w:p>
    <w:p>
      <w:pPr>
        <w:pStyle w:val="Heading4"/>
        <w:spacing w:line="240" w:lineRule="auto" w:before="188"/>
        <w:ind w:left="562" w:right="1205"/>
        <w:jc w:val="left"/>
        <w:rPr>
          <w:b w:val="0"/>
          <w:bCs w:val="0"/>
        </w:rPr>
      </w:pPr>
      <w:r>
        <w:rPr>
          <w:rFonts w:ascii="Arial" w:hAnsi="Arial" w:cs="Arial" w:eastAsia="Arial" w:hint="default"/>
        </w:rPr>
        <w:t>2.</w:t>
      </w:r>
      <w:r>
        <w:rPr>
          <w:rFonts w:ascii="Arial" w:hAnsi="Arial" w:cs="Arial" w:eastAsia="Arial" w:hint="default"/>
          <w:spacing w:val="37"/>
        </w:rPr>
        <w:t> </w:t>
      </w:r>
      <w:r>
        <w:rPr/>
        <w:t>按组合计提坏账准备的应收款项</w:t>
      </w:r>
      <w:r>
        <w:rPr>
          <w:b w:val="0"/>
          <w:bCs w:val="0"/>
        </w:rPr>
      </w:r>
    </w:p>
    <w:p>
      <w:pPr>
        <w:spacing w:line="240" w:lineRule="auto" w:before="3"/>
        <w:rPr>
          <w:rFonts w:ascii="宋体" w:hAnsi="宋体" w:cs="宋体" w:eastAsia="宋体" w:hint="default"/>
          <w:b/>
          <w:bCs/>
          <w:sz w:val="18"/>
          <w:szCs w:val="18"/>
        </w:rPr>
      </w:pPr>
    </w:p>
    <w:p>
      <w:pPr>
        <w:pStyle w:val="BodyText"/>
        <w:spacing w:line="340" w:lineRule="auto"/>
        <w:ind w:right="1433" w:firstLine="420"/>
        <w:jc w:val="both"/>
      </w:pPr>
      <w:r>
        <w:rPr/>
        <w:t>本公司将应收款项按款项性质分为组合</w:t>
      </w:r>
      <w:r>
        <w:rPr>
          <w:spacing w:val="-47"/>
        </w:rPr>
        <w:t> </w:t>
      </w:r>
      <w:r>
        <w:rPr>
          <w:rFonts w:ascii="Arial" w:hAnsi="Arial" w:cs="Arial" w:eastAsia="Arial" w:hint="default"/>
        </w:rPr>
        <w:t>1</w:t>
      </w:r>
      <w:r>
        <w:rPr>
          <w:rFonts w:ascii="Arial" w:hAnsi="Arial" w:cs="Arial" w:eastAsia="Arial" w:hint="default"/>
          <w:spacing w:val="-1"/>
        </w:rPr>
        <w:t> </w:t>
      </w:r>
      <w:r>
        <w:rPr/>
        <w:t>销售货款及其他往来</w:t>
      </w:r>
      <w:r>
        <w:rPr>
          <w:rFonts w:ascii="新宋体" w:hAnsi="新宋体" w:cs="新宋体" w:eastAsia="新宋体" w:hint="default"/>
        </w:rPr>
        <w:t>。</w:t>
      </w:r>
      <w:r>
        <w:rPr/>
        <w:t>对组合</w:t>
      </w:r>
      <w:r>
        <w:rPr>
          <w:spacing w:val="-48"/>
        </w:rPr>
        <w:t> </w:t>
      </w:r>
      <w:r>
        <w:rPr>
          <w:rFonts w:ascii="Arial" w:hAnsi="Arial" w:cs="Arial" w:eastAsia="Arial" w:hint="default"/>
        </w:rPr>
        <w:t>1</w:t>
      </w:r>
      <w:r>
        <w:rPr/>
        <w:t>：采用账龄分析法计</w:t>
      </w:r>
      <w:r>
        <w:rPr>
          <w:w w:val="100"/>
        </w:rPr>
        <w:t> </w:t>
      </w:r>
      <w:r>
        <w:rPr/>
        <w:t>提坏账准备。</w:t>
      </w:r>
    </w:p>
    <w:p>
      <w:pPr>
        <w:pStyle w:val="BodyText"/>
        <w:spacing w:line="240" w:lineRule="auto" w:before="107"/>
        <w:ind w:left="560" w:right="1205"/>
        <w:jc w:val="left"/>
      </w:pPr>
      <w:r>
        <w:rPr/>
        <w:t>组合中，采用账龄分析法计提坏账准备的：</w:t>
      </w:r>
    </w:p>
    <w:p>
      <w:pPr>
        <w:spacing w:line="240" w:lineRule="auto" w:before="12"/>
        <w:rPr>
          <w:rFonts w:ascii="宋体" w:hAnsi="宋体" w:cs="宋体" w:eastAsia="宋体" w:hint="default"/>
          <w:sz w:val="21"/>
          <w:szCs w:val="21"/>
        </w:rPr>
      </w:pPr>
    </w:p>
    <w:tbl>
      <w:tblPr>
        <w:tblW w:w="0" w:type="auto"/>
        <w:jc w:val="left"/>
        <w:tblInd w:w="202" w:type="dxa"/>
        <w:tblLayout w:type="fixed"/>
        <w:tblCellMar>
          <w:top w:w="0" w:type="dxa"/>
          <w:left w:w="0" w:type="dxa"/>
          <w:bottom w:w="0" w:type="dxa"/>
          <w:right w:w="0" w:type="dxa"/>
        </w:tblCellMar>
        <w:tblLook w:val="01E0"/>
      </w:tblPr>
      <w:tblGrid>
        <w:gridCol w:w="2960"/>
        <w:gridCol w:w="2950"/>
        <w:gridCol w:w="2950"/>
      </w:tblGrid>
      <w:tr>
        <w:trPr>
          <w:trHeight w:val="362"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87"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w:hAnsi="Arial" w:cs="Arial" w:eastAsia="Arial" w:hint="default"/>
                <w:sz w:val="18"/>
                <w:szCs w:val="18"/>
              </w:rPr>
              <w:t>%</w:t>
            </w:r>
            <w:r>
              <w:rPr>
                <w:rFonts w:ascii="宋体" w:hAnsi="宋体" w:cs="宋体" w:eastAsia="宋体" w:hint="default"/>
                <w:sz w:val="18"/>
                <w:szCs w:val="18"/>
              </w:rPr>
              <w:t>）</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9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6"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Arial" w:hAnsi="Arial" w:cs="Arial" w:eastAsia="Arial" w:hint="default"/>
                <w:sz w:val="18"/>
                <w:szCs w:val="18"/>
              </w:rPr>
            </w:pPr>
            <w:r>
              <w:rPr>
                <w:rFonts w:ascii="Arial"/>
                <w:w w:val="99"/>
                <w:sz w:val="18"/>
              </w:rPr>
              <w:t>5</w:t>
            </w:r>
            <w:r>
              <w:rPr>
                <w:rFonts w:ascii="Arial"/>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6"/>
              <w:jc w:val="right"/>
              <w:rPr>
                <w:rFonts w:ascii="Arial" w:hAnsi="Arial" w:cs="Arial" w:eastAsia="Arial" w:hint="default"/>
                <w:sz w:val="18"/>
                <w:szCs w:val="18"/>
              </w:rPr>
            </w:pPr>
            <w:r>
              <w:rPr>
                <w:rFonts w:ascii="Arial"/>
                <w:w w:val="99"/>
                <w:sz w:val="18"/>
              </w:rPr>
              <w:t>5</w:t>
            </w:r>
            <w:r>
              <w:rPr>
                <w:rFonts w:ascii="Arial"/>
                <w:sz w:val="18"/>
              </w:rPr>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10.00</w:t>
            </w:r>
            <w:r>
              <w:rPr>
                <w:rFonts w:ascii="Arial"/>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10.00</w:t>
            </w:r>
            <w:r>
              <w:rPr>
                <w:rFonts w:ascii="Arial"/>
                <w:sz w:val="18"/>
              </w:rPr>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15.00</w:t>
            </w:r>
            <w:r>
              <w:rPr>
                <w:rFonts w:ascii="Arial"/>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15.00</w:t>
            </w:r>
            <w:r>
              <w:rPr>
                <w:rFonts w:ascii="Arial"/>
                <w:sz w:val="18"/>
              </w:rPr>
            </w:r>
          </w:p>
        </w:tc>
      </w:tr>
      <w:tr>
        <w:trPr>
          <w:trHeight w:val="365"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30.00</w:t>
            </w:r>
            <w:r>
              <w:rPr>
                <w:rFonts w:ascii="Arial"/>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30.00</w:t>
            </w:r>
            <w:r>
              <w:rPr>
                <w:rFonts w:ascii="Arial"/>
                <w:sz w:val="18"/>
              </w:rPr>
            </w:r>
          </w:p>
        </w:tc>
      </w:tr>
    </w:tbl>
    <w:p>
      <w:pPr>
        <w:spacing w:line="338" w:lineRule="auto"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w w:val="97"/>
          <w:sz w:val="21"/>
          <w:szCs w:val="21"/>
        </w:rPr>
        <w:t>指期末单项金额未达到上述</w:t>
      </w:r>
      <w:r>
        <w:rPr>
          <w:rFonts w:ascii="Arial" w:hAnsi="Arial" w:cs="Arial" w:eastAsia="Arial" w:hint="default"/>
          <w:spacing w:val="-2"/>
          <w:w w:val="97"/>
          <w:sz w:val="21"/>
          <w:szCs w:val="21"/>
        </w:rPr>
        <w:t>―</w:t>
      </w:r>
      <w:r>
        <w:rPr>
          <w:rFonts w:ascii="宋体" w:hAnsi="宋体" w:cs="宋体" w:eastAsia="宋体" w:hint="default"/>
          <w:spacing w:val="-2"/>
          <w:w w:val="97"/>
          <w:sz w:val="21"/>
          <w:szCs w:val="21"/>
        </w:rPr>
        <w:t>单项金额重大的应收款外</w:t>
      </w:r>
      <w:r>
        <w:rPr>
          <w:rFonts w:ascii="Arial" w:hAnsi="Arial" w:cs="Arial" w:eastAsia="Arial" w:hint="default"/>
          <w:spacing w:val="-2"/>
          <w:w w:val="97"/>
          <w:sz w:val="21"/>
          <w:szCs w:val="21"/>
        </w:rPr>
        <w:t>‖</w:t>
      </w:r>
      <w:r>
        <w:rPr>
          <w:rFonts w:ascii="Arial" w:hAnsi="Arial" w:cs="Arial" w:eastAsia="Arial" w:hint="default"/>
          <w:w w:val="97"/>
          <w:sz w:val="21"/>
          <w:szCs w:val="21"/>
        </w:rPr>
        <w:t> </w:t>
      </w:r>
      <w:r>
        <w:rPr>
          <w:rFonts w:ascii="宋体" w:hAnsi="宋体" w:cs="宋体" w:eastAsia="宋体" w:hint="default"/>
          <w:spacing w:val="-1"/>
          <w:w w:val="100"/>
          <w:sz w:val="21"/>
          <w:szCs w:val="21"/>
        </w:rPr>
        <w:t>的应收款项。</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2"/>
          <w:sz w:val="21"/>
          <w:szCs w:val="21"/>
        </w:rPr>
        <w:t>在资产负债表日，本公司对单项金额不重大的应收款项单独进行减值测试，经测试发生了减值</w:t>
      </w:r>
    </w:p>
    <w:p>
      <w:pPr>
        <w:pStyle w:val="BodyText"/>
        <w:spacing w:line="240" w:lineRule="auto" w:before="47"/>
        <w:ind w:right="1205"/>
        <w:jc w:val="left"/>
      </w:pPr>
      <w:r>
        <w:rPr/>
        <w:t>的，按其未来现金流量现值低于其账面价值的差额，确定减值损失，计提坏账准备；对单项测试未</w:t>
      </w:r>
    </w:p>
    <w:p>
      <w:pPr>
        <w:spacing w:after="0" w:line="240" w:lineRule="auto"/>
        <w:jc w:val="left"/>
        <w:sectPr>
          <w:pgSz w:w="11910" w:h="16840"/>
          <w:pgMar w:header="884" w:footer="1013" w:top="1080" w:bottom="1200" w:left="1300" w:right="0"/>
        </w:sectPr>
      </w:pPr>
    </w:p>
    <w:p>
      <w:pPr>
        <w:pStyle w:val="BodyText"/>
        <w:spacing w:line="357" w:lineRule="auto" w:before="30"/>
        <w:ind w:right="1205"/>
        <w:jc w:val="left"/>
      </w:pPr>
      <w:r>
        <w:rPr/>
        <w:pict>
          <v:group style="position:absolute;margin-left:70.584pt;margin-top:2.843696pt;width:436.3pt;height:.1pt;mso-position-horizontal-relative:page;mso-position-vertical-relative:paragraph;z-index:-636328" coordorigin="1412,57" coordsize="8726,2">
            <v:shape style="position:absolute;left:1412;top:57;width:8726;height:2" coordorigin="1412,57" coordsize="8726,0" path="m1412,57l10137,57e" filled="false" stroked="true" strokeweight=".72pt" strokecolor="#000000">
              <v:path arrowok="t"/>
            </v:shape>
            <w10:wrap type="none"/>
          </v:group>
        </w:pict>
      </w:r>
      <w:r>
        <w:rPr>
          <w:spacing w:val="-2"/>
        </w:rPr>
        <w:t>减值的应收款项，汇同对单项金额重大的应收款项，以账龄为风险特征划分为信用风险组合计提坏</w:t>
      </w:r>
      <w:r>
        <w:rPr>
          <w:spacing w:val="-31"/>
        </w:rPr>
        <w:t> </w:t>
      </w:r>
      <w:r>
        <w:rPr>
          <w:spacing w:val="-31"/>
        </w:rPr>
      </w:r>
      <w:r>
        <w:rPr/>
        <w:t>账准备，详见附注二、（十）、</w:t>
      </w:r>
      <w:r>
        <w:rPr>
          <w:rFonts w:ascii="Arial" w:hAnsi="Arial" w:cs="Arial" w:eastAsia="Arial" w:hint="default"/>
        </w:rPr>
        <w:t>2</w:t>
      </w:r>
      <w:r>
        <w:rPr/>
        <w:t>。</w:t>
      </w:r>
    </w:p>
    <w:p>
      <w:pPr>
        <w:pStyle w:val="Heading4"/>
        <w:spacing w:line="240" w:lineRule="auto" w:before="183"/>
        <w:ind w:right="1205"/>
        <w:jc w:val="left"/>
        <w:rPr>
          <w:b w:val="0"/>
          <w:bCs w:val="0"/>
        </w:rPr>
      </w:pPr>
      <w:r>
        <w:rPr/>
        <w:t>（十一）</w:t>
      </w:r>
      <w:r>
        <w:rPr>
          <w:spacing w:val="-26"/>
        </w:rPr>
        <w:t> </w:t>
      </w:r>
      <w:r>
        <w:rPr/>
        <w:t>存货</w:t>
      </w:r>
      <w:r>
        <w:rPr>
          <w:b w:val="0"/>
          <w:bCs w:val="0"/>
        </w:rPr>
      </w:r>
    </w:p>
    <w:p>
      <w:pPr>
        <w:spacing w:line="240" w:lineRule="auto" w:before="7"/>
        <w:rPr>
          <w:rFonts w:ascii="宋体" w:hAnsi="宋体" w:cs="宋体" w:eastAsia="宋体" w:hint="default"/>
          <w:b/>
          <w:bCs/>
          <w:sz w:val="19"/>
          <w:szCs w:val="19"/>
        </w:rPr>
      </w:pPr>
    </w:p>
    <w:p>
      <w:pPr>
        <w:pStyle w:val="BodyText"/>
        <w:spacing w:line="388" w:lineRule="auto"/>
        <w:ind w:left="560" w:right="1205" w:firstLine="2"/>
        <w:jc w:val="left"/>
      </w:pPr>
      <w:r>
        <w:rPr>
          <w:rFonts w:ascii="Arial" w:hAnsi="Arial" w:cs="Arial" w:eastAsia="Arial" w:hint="default"/>
          <w:b/>
          <w:bCs/>
        </w:rPr>
        <w:t>1.</w:t>
      </w:r>
      <w:r>
        <w:rPr>
          <w:rFonts w:ascii="Arial" w:hAnsi="Arial" w:cs="Arial" w:eastAsia="Arial" w:hint="default"/>
          <w:b/>
          <w:bCs/>
          <w:spacing w:val="43"/>
        </w:rPr>
        <w:t> </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存货是指本公司在日常活动中持有以备出售的产成品或商品、处在生产过程中的在产品、在生</w:t>
      </w:r>
    </w:p>
    <w:p>
      <w:pPr>
        <w:pStyle w:val="BodyText"/>
        <w:spacing w:line="357" w:lineRule="auto" w:before="5"/>
        <w:ind w:right="1205"/>
        <w:jc w:val="left"/>
      </w:pPr>
      <w:r>
        <w:rPr>
          <w:spacing w:val="-2"/>
        </w:rPr>
        <w:t>产过程或提供劳务过程中耗用的材料和物料等。主要包括原材料、包装物、低值易耗品、委托加工</w:t>
      </w:r>
      <w:r>
        <w:rPr>
          <w:spacing w:val="-31"/>
        </w:rPr>
        <w:t> </w:t>
      </w:r>
      <w:r>
        <w:rPr>
          <w:spacing w:val="-31"/>
        </w:rPr>
      </w:r>
      <w:r>
        <w:rPr/>
        <w:t>物资、在产品、自制半成品、发出商品、库存商品等。</w:t>
      </w:r>
    </w:p>
    <w:p>
      <w:pPr>
        <w:spacing w:line="240" w:lineRule="auto" w:before="1"/>
        <w:rPr>
          <w:rFonts w:ascii="宋体" w:hAnsi="宋体" w:cs="宋体" w:eastAsia="宋体" w:hint="default"/>
          <w:sz w:val="16"/>
          <w:szCs w:val="16"/>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存货在取得时，按成本进行初始计量，包括采购成本、加工成本和其他成本。存货发出时，采</w:t>
      </w:r>
    </w:p>
    <w:p>
      <w:pPr>
        <w:pStyle w:val="BodyText"/>
        <w:spacing w:line="240" w:lineRule="auto" w:before="6"/>
        <w:ind w:right="1205"/>
        <w:jc w:val="left"/>
      </w:pPr>
      <w:r>
        <w:rPr/>
        <w:t>用加权平均法确定发出存货的实际成本。</w:t>
      </w:r>
    </w:p>
    <w:p>
      <w:pPr>
        <w:spacing w:line="240" w:lineRule="auto" w:before="10"/>
        <w:rPr>
          <w:rFonts w:ascii="宋体" w:hAnsi="宋体" w:cs="宋体" w:eastAsia="宋体" w:hint="default"/>
          <w:sz w:val="14"/>
          <w:szCs w:val="14"/>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资产负债表日，存货按照成本与可变现净值孰低计量。年末，在对存货进行全面盘点的基础上，</w:t>
      </w:r>
    </w:p>
    <w:p>
      <w:pPr>
        <w:pStyle w:val="BodyText"/>
        <w:spacing w:line="357" w:lineRule="auto" w:before="3"/>
        <w:ind w:right="1205"/>
        <w:jc w:val="left"/>
      </w:pPr>
      <w:r>
        <w:rPr/>
        <w:t>对于存货因被淘汰、全部或部分陈旧过时或销售价格低于成本等原因导致成本高于可变现净值的部</w:t>
      </w:r>
      <w:r>
        <w:rPr>
          <w:w w:val="100"/>
        </w:rPr>
        <w:t> </w:t>
      </w:r>
      <w:r>
        <w:rPr>
          <w:spacing w:val="-4"/>
        </w:rPr>
        <w:t>分，提取存货跌价准备。存货跌价准备按单个存货项目的成本高于其可变现净值的差额提取。其中：</w:t>
      </w:r>
      <w:r>
        <w:rPr>
          <w:spacing w:val="-44"/>
        </w:rPr>
        <w:t> </w:t>
      </w:r>
      <w:r>
        <w:rPr>
          <w:spacing w:val="-44"/>
        </w:rPr>
      </w:r>
      <w:r>
        <w:rPr/>
        <w:t>对于产成品、商品和用于出售的材料等直接用于出售的商品存货，在正常生产经营过程中，以该存</w:t>
      </w:r>
      <w:r>
        <w:rPr>
          <w:w w:val="100"/>
        </w:rPr>
        <w:t> </w:t>
      </w:r>
      <w:r>
        <w:rPr/>
        <w:t>货的估计售价减去估计的销售费用和相关税费后的金额，确定其可变现净值；对于需要经过加工的</w:t>
      </w:r>
      <w:r>
        <w:rPr>
          <w:w w:val="100"/>
        </w:rPr>
        <w:t> </w:t>
      </w:r>
      <w:r>
        <w:rPr/>
        <w:t>材料存货，在正常生产经营过程中，以所生产的产成品的估计售价减去至完工时估计将要发生的成</w:t>
      </w:r>
      <w:r>
        <w:rPr>
          <w:w w:val="100"/>
        </w:rPr>
        <w:t> </w:t>
      </w:r>
      <w:r>
        <w:rPr/>
        <w:t>本、估计销售费用和相关税费后的金额，确定其可变现净值；对于资产负债表日，同一项存货中一</w:t>
      </w:r>
      <w:r>
        <w:rPr>
          <w:w w:val="100"/>
        </w:rPr>
        <w:t> </w:t>
      </w:r>
      <w:r>
        <w:rPr/>
        <w:t>部分有合同价格约定、其他部分不存在合同价格的，分别确定其可变现净值。与具有类似目的或最</w:t>
      </w:r>
      <w:r>
        <w:rPr>
          <w:w w:val="100"/>
        </w:rPr>
        <w:t> </w:t>
      </w:r>
      <w:r>
        <w:rPr/>
        <w:t>终用途并在同一地区生产和销售的产品系列相关，且难以将其与该产品系列的其他项目区别开来进</w:t>
      </w:r>
      <w:r>
        <w:rPr>
          <w:w w:val="100"/>
        </w:rPr>
        <w:t> </w:t>
      </w:r>
      <w:r>
        <w:rPr/>
        <w:t>行估价的存货，合并计提；对于数量繁多、单价较低的存货，按存货类别计提。</w:t>
      </w:r>
    </w:p>
    <w:p>
      <w:pPr>
        <w:spacing w:line="388" w:lineRule="auto" w:before="92"/>
        <w:ind w:left="560" w:right="1205"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本公司的存货盘存制度为永续盘存制。本公司定期对存货进行清查，盘盈利得和盘亏损失计入</w:t>
      </w:r>
    </w:p>
    <w:p>
      <w:pPr>
        <w:pStyle w:val="BodyText"/>
        <w:spacing w:line="240" w:lineRule="auto" w:before="3"/>
        <w:ind w:right="1205"/>
        <w:jc w:val="left"/>
      </w:pPr>
      <w:r>
        <w:rPr/>
        <w:t>当期损益。</w:t>
      </w:r>
    </w:p>
    <w:p>
      <w:pPr>
        <w:spacing w:line="240" w:lineRule="auto" w:before="12"/>
        <w:rPr>
          <w:rFonts w:ascii="宋体" w:hAnsi="宋体" w:cs="宋体" w:eastAsia="宋体" w:hint="default"/>
          <w:sz w:val="14"/>
          <w:szCs w:val="14"/>
        </w:rPr>
      </w:pPr>
    </w:p>
    <w:p>
      <w:pPr>
        <w:spacing w:line="391" w:lineRule="auto" w:before="0"/>
        <w:ind w:left="560" w:right="5675"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2"/>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低值易耗品和包装物采用一次转销法摊销。</w:t>
      </w:r>
    </w:p>
    <w:p>
      <w:pPr>
        <w:spacing w:line="410" w:lineRule="auto" w:before="61"/>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6"/>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本公司的长期股权投资包括对子公司的投资、对联营企业的投资和其他长期股权投资。</w:t>
      </w:r>
    </w:p>
    <w:p>
      <w:pPr>
        <w:spacing w:line="388" w:lineRule="auto" w:before="164"/>
        <w:ind w:left="560" w:right="1205"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初始投资成本的确定</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本公司对子公司的投资按照初始投资成本计价，控股合并形成的长期股权投资的初始计量参见</w:t>
      </w:r>
    </w:p>
    <w:p>
      <w:pPr>
        <w:pStyle w:val="BodyText"/>
        <w:spacing w:line="355" w:lineRule="auto" w:before="5"/>
        <w:ind w:right="1205"/>
        <w:jc w:val="left"/>
      </w:pPr>
      <w:r>
        <w:rPr>
          <w:spacing w:val="-2"/>
        </w:rPr>
        <w:t>本附注二之（五）同一控制下和非同一控制下企业合并的会计处理方法。追加或收回投资调整长期</w:t>
      </w:r>
      <w:r>
        <w:rPr>
          <w:spacing w:val="-31"/>
        </w:rPr>
        <w:t> </w:t>
      </w:r>
      <w:r>
        <w:rPr>
          <w:spacing w:val="-31"/>
        </w:rPr>
      </w:r>
      <w:r>
        <w:rPr/>
        <w:t>股权投资的成本。</w:t>
      </w:r>
    </w:p>
    <w:p>
      <w:pPr>
        <w:spacing w:after="0" w:line="355" w:lineRule="auto"/>
        <w:jc w:val="left"/>
        <w:sectPr>
          <w:pgSz w:w="11910" w:h="16840"/>
          <w:pgMar w:header="884" w:footer="1013" w:top="1080" w:bottom="1200" w:left="1300" w:right="0"/>
        </w:sectPr>
      </w:pPr>
    </w:p>
    <w:p>
      <w:pPr>
        <w:pStyle w:val="BodyText"/>
        <w:spacing w:line="357" w:lineRule="auto" w:before="30"/>
        <w:ind w:right="1431" w:firstLine="420"/>
        <w:jc w:val="both"/>
      </w:pPr>
      <w:r>
        <w:rPr/>
        <w:pict>
          <v:group style="position:absolute;margin-left:70.584pt;margin-top:2.843696pt;width:436.3pt;height:.1pt;mso-position-horizontal-relative:page;mso-position-vertical-relative:paragraph;z-index:-636304" coordorigin="1412,57" coordsize="8726,2">
            <v:shape style="position:absolute;left:1412;top:57;width:8726;height:2" coordorigin="1412,57" coordsize="8726,0" path="m1412,57l10137,57e" filled="false" stroked="true" strokeweight=".72pt" strokecolor="#000000">
              <v:path arrowok="t"/>
            </v:shape>
            <w10:wrap type="none"/>
          </v:group>
        </w:pict>
      </w:r>
      <w:r>
        <w:rPr>
          <w:spacing w:val="-2"/>
        </w:rPr>
        <w:t>本公司对被投资单位具有共同控制或重大影响的长期股权投资，以及对被投资单位不具有共同</w:t>
      </w:r>
      <w:r>
        <w:rPr>
          <w:w w:val="100"/>
        </w:rPr>
        <w:t> </w:t>
      </w:r>
      <w:r>
        <w:rPr>
          <w:spacing w:val="-2"/>
        </w:rPr>
        <w:t>控制或重大影响，并且在活跃市场中没有报价、公允价值不能可靠计量的长期股权投资，均按照初</w:t>
      </w:r>
      <w:r>
        <w:rPr>
          <w:spacing w:val="-30"/>
        </w:rPr>
        <w:t> </w:t>
      </w:r>
      <w:r>
        <w:rPr>
          <w:spacing w:val="-30"/>
        </w:rPr>
      </w:r>
      <w:r>
        <w:rPr/>
        <w:t>始投资成本计价。</w:t>
      </w:r>
    </w:p>
    <w:p>
      <w:pPr>
        <w:spacing w:line="240" w:lineRule="auto" w:before="3"/>
        <w:rPr>
          <w:rFonts w:ascii="宋体" w:hAnsi="宋体" w:cs="宋体" w:eastAsia="宋体" w:hint="default"/>
          <w:sz w:val="16"/>
          <w:szCs w:val="16"/>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本公司对子公司的投资的后续计量采用成本法核算，编制合并财务报表时按照权益法进行调</w:t>
      </w:r>
    </w:p>
    <w:p>
      <w:pPr>
        <w:pStyle w:val="BodyText"/>
        <w:spacing w:line="357" w:lineRule="auto" w:before="5"/>
        <w:ind w:right="1431"/>
        <w:jc w:val="both"/>
      </w:pPr>
      <w:r>
        <w:rPr>
          <w:spacing w:val="-2"/>
        </w:rPr>
        <w:t>整。除取得投资时实际支付的价款或对价中包含的已宣告但尚未发放的现金股利或利润外，按照享</w:t>
      </w:r>
      <w:r>
        <w:rPr>
          <w:spacing w:val="-30"/>
        </w:rPr>
        <w:t> </w:t>
      </w:r>
      <w:r>
        <w:rPr>
          <w:spacing w:val="-30"/>
        </w:rPr>
      </w:r>
      <w:r>
        <w:rPr/>
        <w:t>有被投资单位宣告发放的现金股利或利润确认投资收益。</w:t>
      </w:r>
    </w:p>
    <w:p>
      <w:pPr>
        <w:pStyle w:val="BodyText"/>
        <w:spacing w:line="357" w:lineRule="auto" w:before="150"/>
        <w:ind w:right="1431" w:firstLine="420"/>
        <w:jc w:val="both"/>
      </w:pPr>
      <w:r>
        <w:rPr>
          <w:spacing w:val="-2"/>
        </w:rPr>
        <w:t>本公司对被投资单位具有共同控制或重大影响的长期股权投资，后续计量采用权益法核算。长</w:t>
      </w:r>
      <w:r>
        <w:rPr>
          <w:w w:val="100"/>
        </w:rPr>
        <w:t> </w:t>
      </w:r>
      <w:r>
        <w:rPr>
          <w:spacing w:val="-2"/>
        </w:rPr>
        <w:t>期股权投资的初始投资成本大于投资时应享有被投资单位可辨认净资产公允价值份额的，不调整长</w:t>
      </w:r>
      <w:r>
        <w:rPr>
          <w:spacing w:val="-30"/>
        </w:rPr>
        <w:t> </w:t>
      </w:r>
      <w:r>
        <w:rPr>
          <w:spacing w:val="-30"/>
        </w:rPr>
      </w:r>
      <w:r>
        <w:rPr>
          <w:spacing w:val="-2"/>
        </w:rPr>
        <w:t>期股权投资的初始投资成本；长期股权投资的初始投资成本小于投资时应享有被投资单位可辨认净</w:t>
      </w:r>
      <w:r>
        <w:rPr>
          <w:spacing w:val="-30"/>
        </w:rPr>
        <w:t> </w:t>
      </w:r>
      <w:r>
        <w:rPr>
          <w:spacing w:val="-30"/>
        </w:rPr>
      </w:r>
      <w:r>
        <w:rPr>
          <w:spacing w:val="-2"/>
        </w:rPr>
        <w:t>资产公允价值份额的，其差额应当计入当期损益，同时调整长期股权投资的成本。取得长期股权投</w:t>
      </w:r>
      <w:r>
        <w:rPr>
          <w:spacing w:val="-28"/>
        </w:rPr>
        <w:t> </w:t>
      </w:r>
      <w:r>
        <w:rPr>
          <w:spacing w:val="-28"/>
        </w:rPr>
      </w:r>
      <w:r>
        <w:rPr>
          <w:spacing w:val="-2"/>
        </w:rPr>
        <w:t>资后，按照应享有或应分担的被投资单位实现的净损益的份额，确认投资损益并调整长期股权投资</w:t>
      </w:r>
      <w:r>
        <w:rPr>
          <w:spacing w:val="-30"/>
        </w:rPr>
        <w:t> </w:t>
      </w:r>
      <w:r>
        <w:rPr>
          <w:spacing w:val="-30"/>
        </w:rPr>
      </w:r>
      <w:r>
        <w:rPr>
          <w:spacing w:val="-2"/>
        </w:rPr>
        <w:t>的账面价值。本公司按照被投资单位宣告分派的利润或现金股利计算应分得的部分，相应减少长期</w:t>
      </w:r>
      <w:r>
        <w:rPr>
          <w:spacing w:val="-32"/>
        </w:rPr>
        <w:t> </w:t>
      </w:r>
      <w:r>
        <w:rPr>
          <w:spacing w:val="-32"/>
        </w:rPr>
      </w:r>
      <w:r>
        <w:rPr/>
        <w:t>股权投资的账面价值。</w:t>
      </w:r>
    </w:p>
    <w:p>
      <w:pPr>
        <w:pStyle w:val="BodyText"/>
        <w:spacing w:line="355" w:lineRule="auto" w:before="152"/>
        <w:ind w:right="1431" w:firstLine="420"/>
        <w:jc w:val="both"/>
      </w:pPr>
      <w:r>
        <w:rPr>
          <w:spacing w:val="-2"/>
        </w:rPr>
        <w:t>本公司对被投资单位不具有共同控制或重大影响，并且在活跃市场中没有报价、公允价值不能</w:t>
      </w:r>
      <w:r>
        <w:rPr>
          <w:w w:val="100"/>
        </w:rPr>
        <w:t> </w:t>
      </w:r>
      <w:r>
        <w:rPr/>
        <w:t>可靠计量的长期股权投资，后续计量采用成本法核算。</w:t>
      </w:r>
    </w:p>
    <w:p>
      <w:pPr>
        <w:spacing w:line="240" w:lineRule="auto" w:before="5"/>
        <w:rPr>
          <w:rFonts w:ascii="宋体" w:hAnsi="宋体" w:cs="宋体" w:eastAsia="宋体" w:hint="default"/>
          <w:sz w:val="16"/>
          <w:szCs w:val="16"/>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3"/>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w:t>
      </w:r>
    </w:p>
    <w:p>
      <w:pPr>
        <w:pStyle w:val="BodyText"/>
        <w:spacing w:line="357" w:lineRule="auto" w:before="3"/>
        <w:ind w:right="1431"/>
        <w:jc w:val="both"/>
      </w:pPr>
      <w:r>
        <w:rPr>
          <w:spacing w:val="-2"/>
        </w:rPr>
        <w:t>财务和经营决策需要分享控制权的投资方一致同意时存在。投资企业与其他方对被投资单位实施共</w:t>
      </w:r>
      <w:r>
        <w:rPr>
          <w:spacing w:val="-30"/>
        </w:rPr>
        <w:t> </w:t>
      </w:r>
      <w:r>
        <w:rPr>
          <w:spacing w:val="-30"/>
        </w:rPr>
      </w:r>
      <w:r>
        <w:rPr>
          <w:spacing w:val="-2"/>
        </w:rPr>
        <w:t>同控制的，被投资单位为其合营企业；重大影响，是指对一个企业的财务和经营政策有参与决策的</w:t>
      </w:r>
      <w:r>
        <w:rPr>
          <w:spacing w:val="-32"/>
        </w:rPr>
        <w:t> </w:t>
      </w:r>
      <w:r>
        <w:rPr>
          <w:spacing w:val="-32"/>
        </w:rPr>
      </w:r>
      <w:r>
        <w:rPr>
          <w:spacing w:val="-2"/>
        </w:rPr>
        <w:t>权力，但并不能够控制或者与其他方一起共同控制这些政策的制定。投资企业能够对被投资单位施</w:t>
      </w:r>
      <w:r>
        <w:rPr>
          <w:spacing w:val="-31"/>
        </w:rPr>
        <w:t> </w:t>
      </w:r>
      <w:r>
        <w:rPr>
          <w:spacing w:val="-31"/>
        </w:rPr>
      </w:r>
      <w:r>
        <w:rPr/>
        <w:t>加重大影响的，被投资单位为其联营企业。</w:t>
      </w:r>
    </w:p>
    <w:p>
      <w:pPr>
        <w:spacing w:line="240" w:lineRule="auto" w:before="3"/>
        <w:rPr>
          <w:rFonts w:ascii="宋体" w:hAnsi="宋体" w:cs="宋体" w:eastAsia="宋体" w:hint="default"/>
          <w:sz w:val="16"/>
          <w:szCs w:val="16"/>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w:t>
      </w:r>
    </w:p>
    <w:p>
      <w:pPr>
        <w:pStyle w:val="BodyText"/>
        <w:spacing w:line="357" w:lineRule="auto" w:before="5"/>
        <w:ind w:right="1431"/>
        <w:jc w:val="both"/>
      </w:pPr>
      <w:r>
        <w:rPr>
          <w:spacing w:val="-2"/>
        </w:rPr>
        <w:t>迹象时，根据单项长期股权投资的公允价值减去处置费用后的净额与长期股权投资预计未来现金流</w:t>
      </w:r>
      <w:r>
        <w:rPr>
          <w:spacing w:val="-30"/>
        </w:rPr>
        <w:t> </w:t>
      </w:r>
      <w:r>
        <w:rPr>
          <w:spacing w:val="-30"/>
        </w:rPr>
      </w:r>
      <w:r>
        <w:rPr>
          <w:spacing w:val="-2"/>
        </w:rPr>
        <w:t>量的现值两者之间较高者确定长期股权投资的可收回金额。长期股权投资的可收回金额低于账面价</w:t>
      </w:r>
      <w:r>
        <w:rPr>
          <w:spacing w:val="-30"/>
        </w:rPr>
        <w:t> </w:t>
      </w:r>
      <w:r>
        <w:rPr>
          <w:spacing w:val="-30"/>
        </w:rPr>
      </w:r>
      <w:r>
        <w:rPr>
          <w:spacing w:val="-2"/>
        </w:rPr>
        <w:t>值时，将资产的账面价值减记至可收回金额，减记的金额确认为资产减值损失，计入当期损益，同</w:t>
      </w:r>
      <w:r>
        <w:rPr>
          <w:spacing w:val="-34"/>
        </w:rPr>
        <w:t> </w:t>
      </w:r>
      <w:r>
        <w:rPr>
          <w:spacing w:val="-34"/>
        </w:rPr>
      </w:r>
      <w:r>
        <w:rPr/>
        <w:t>时计提相应的资产减值准备。长期股权投资减值损失一经确认，在以后会计期间不再转回。</w:t>
      </w:r>
    </w:p>
    <w:p>
      <w:pPr>
        <w:spacing w:line="240" w:lineRule="auto" w:before="1"/>
        <w:rPr>
          <w:rFonts w:ascii="宋体" w:hAnsi="宋体" w:cs="宋体" w:eastAsia="宋体" w:hint="default"/>
          <w:sz w:val="16"/>
          <w:szCs w:val="16"/>
        </w:rPr>
      </w:pPr>
    </w:p>
    <w:p>
      <w:pPr>
        <w:pStyle w:val="Heading4"/>
        <w:spacing w:line="240" w:lineRule="auto"/>
        <w:ind w:right="1205"/>
        <w:jc w:val="left"/>
        <w:rPr>
          <w:b w:val="0"/>
          <w:bCs w:val="0"/>
        </w:rPr>
      </w:pPr>
      <w:r>
        <w:rPr/>
        <w:t>（十三）</w:t>
      </w:r>
      <w:r>
        <w:rPr>
          <w:spacing w:val="-28"/>
        </w:rPr>
        <w:t> </w:t>
      </w:r>
      <w:r>
        <w:rPr/>
        <w:t>固定资产</w:t>
      </w:r>
      <w:r>
        <w:rPr>
          <w:b w:val="0"/>
          <w:bCs w:val="0"/>
        </w:rPr>
      </w:r>
    </w:p>
    <w:p>
      <w:pPr>
        <w:spacing w:line="240" w:lineRule="auto" w:before="7"/>
        <w:rPr>
          <w:rFonts w:ascii="宋体" w:hAnsi="宋体" w:cs="宋体" w:eastAsia="宋体" w:hint="default"/>
          <w:b/>
          <w:bCs/>
          <w:sz w:val="19"/>
          <w:szCs w:val="19"/>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固定资产指同时满足与该固定资产有关的经济利益很可能流入公司和该固定资产的成本能够</w:t>
      </w:r>
    </w:p>
    <w:p>
      <w:pPr>
        <w:pStyle w:val="BodyText"/>
        <w:spacing w:line="240" w:lineRule="auto" w:before="3"/>
        <w:ind w:right="0"/>
        <w:jc w:val="both"/>
      </w:pPr>
      <w:r>
        <w:rPr/>
        <w:t>可靠地计量条件的，为生产商品、提供劳务、出租或经营管理而持有的使用寿命超过一个会计年度</w:t>
      </w:r>
    </w:p>
    <w:p>
      <w:pPr>
        <w:spacing w:after="0" w:line="240" w:lineRule="auto"/>
        <w:jc w:val="both"/>
        <w:sectPr>
          <w:pgSz w:w="11910" w:h="16840"/>
          <w:pgMar w:header="884" w:footer="1013" w:top="1080" w:bottom="1200" w:left="1300" w:right="0"/>
        </w:sectPr>
      </w:pPr>
    </w:p>
    <w:p>
      <w:pPr>
        <w:pStyle w:val="BodyText"/>
        <w:spacing w:line="240" w:lineRule="auto" w:before="30"/>
        <w:ind w:right="1205"/>
        <w:jc w:val="left"/>
      </w:pPr>
      <w:r>
        <w:rPr/>
        <w:pict>
          <v:group style="position:absolute;margin-left:70.584pt;margin-top:2.843696pt;width:436.3pt;height:.1pt;mso-position-horizontal-relative:page;mso-position-vertical-relative:paragraph;z-index:-636280" coordorigin="1412,57" coordsize="8726,2">
            <v:shape style="position:absolute;left:1412;top:57;width:8726;height:2" coordorigin="1412,57" coordsize="8726,0" path="m1412,57l10137,57e" filled="false" stroked="true" strokeweight=".72pt" strokecolor="#000000">
              <v:path arrowok="t"/>
            </v:shape>
            <w10:wrap type="none"/>
          </v:group>
        </w:pict>
      </w:r>
      <w:r>
        <w:rPr/>
        <w:t>的有形资产。</w:t>
      </w:r>
    </w:p>
    <w:p>
      <w:pPr>
        <w:spacing w:line="240" w:lineRule="auto" w:before="2"/>
        <w:rPr>
          <w:rFonts w:ascii="宋体" w:hAnsi="宋体" w:cs="宋体" w:eastAsia="宋体" w:hint="default"/>
          <w:sz w:val="24"/>
          <w:szCs w:val="24"/>
        </w:rPr>
      </w:pPr>
    </w:p>
    <w:p>
      <w:pPr>
        <w:spacing w:line="388" w:lineRule="auto" w:before="0"/>
        <w:ind w:left="560" w:right="1205"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除已提足折旧仍继续使用的固定资产之外，本公司对所有固定资产计提折旧。折旧方法采用年</w:t>
      </w:r>
    </w:p>
    <w:p>
      <w:pPr>
        <w:pStyle w:val="BodyText"/>
        <w:spacing w:line="240" w:lineRule="auto" w:before="5"/>
        <w:ind w:right="1205"/>
        <w:jc w:val="left"/>
      </w:pPr>
      <w:r>
        <w:rPr/>
        <w:t>限平均法。</w:t>
      </w:r>
    </w:p>
    <w:p>
      <w:pPr>
        <w:pStyle w:val="BodyText"/>
        <w:spacing w:line="357" w:lineRule="auto" w:before="133"/>
        <w:ind w:right="1431" w:firstLine="420"/>
        <w:jc w:val="both"/>
      </w:pPr>
      <w:r>
        <w:rPr>
          <w:spacing w:val="-2"/>
        </w:rPr>
        <w:t>本公司根据固定资产的性质和使用情况，确定固定资产的使用寿命和预计净残值。并在年度终</w:t>
      </w:r>
      <w:r>
        <w:rPr>
          <w:w w:val="100"/>
        </w:rPr>
        <w:t> </w:t>
      </w:r>
      <w:r>
        <w:rPr>
          <w:spacing w:val="-2"/>
        </w:rPr>
        <w:t>了，对固定资产的使用寿命、预计净残值和折旧方法进行复核，如与原先估计数存在差异的，进行</w:t>
      </w:r>
      <w:r>
        <w:rPr>
          <w:spacing w:val="-34"/>
        </w:rPr>
        <w:t> </w:t>
      </w:r>
      <w:r>
        <w:rPr>
          <w:spacing w:val="-34"/>
        </w:rPr>
      </w:r>
      <w:r>
        <w:rPr/>
        <w:t>相应的调整。</w:t>
      </w:r>
    </w:p>
    <w:p>
      <w:pPr>
        <w:pStyle w:val="BodyText"/>
        <w:spacing w:line="240" w:lineRule="auto" w:before="150"/>
        <w:ind w:left="560" w:right="1205"/>
        <w:jc w:val="left"/>
      </w:pPr>
      <w:r>
        <w:rPr/>
        <w:t>本公司的固定资产类别、折旧年限、残值率和年折旧率如下：</w:t>
      </w:r>
    </w:p>
    <w:p>
      <w:pPr>
        <w:spacing w:line="240" w:lineRule="auto" w:before="2"/>
        <w:rPr>
          <w:rFonts w:ascii="宋体" w:hAnsi="宋体" w:cs="宋体" w:eastAsia="宋体" w:hint="default"/>
          <w:sz w:val="22"/>
          <w:szCs w:val="22"/>
        </w:rPr>
      </w:pPr>
    </w:p>
    <w:tbl>
      <w:tblPr>
        <w:tblW w:w="0" w:type="auto"/>
        <w:jc w:val="left"/>
        <w:tblInd w:w="202" w:type="dxa"/>
        <w:tblLayout w:type="fixed"/>
        <w:tblCellMar>
          <w:top w:w="0" w:type="dxa"/>
          <w:left w:w="0" w:type="dxa"/>
          <w:bottom w:w="0" w:type="dxa"/>
          <w:right w:w="0" w:type="dxa"/>
        </w:tblCellMar>
        <w:tblLook w:val="01E0"/>
      </w:tblPr>
      <w:tblGrid>
        <w:gridCol w:w="2429"/>
        <w:gridCol w:w="2415"/>
        <w:gridCol w:w="1805"/>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残值率（</w:t>
            </w:r>
            <w:r>
              <w:rPr>
                <w:rFonts w:ascii="Arial" w:hAnsi="Arial" w:cs="Arial" w:eastAsia="Arial" w:hint="default"/>
                <w:sz w:val="18"/>
                <w:szCs w:val="18"/>
              </w:rPr>
              <w:t>%</w:t>
            </w:r>
            <w:r>
              <w:rPr>
                <w:rFonts w:ascii="宋体" w:hAnsi="宋体" w:cs="宋体" w:eastAsia="宋体" w:hint="default"/>
                <w:sz w:val="18"/>
                <w:szCs w:val="18"/>
              </w:rPr>
              <w:t>）</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Arial" w:hAnsi="Arial" w:cs="Arial" w:eastAsia="Arial" w:hint="default"/>
                <w:sz w:val="18"/>
                <w:szCs w:val="18"/>
              </w:rPr>
              <w:t>%</w:t>
            </w:r>
            <w:r>
              <w:rPr>
                <w:rFonts w:ascii="宋体" w:hAnsi="宋体" w:cs="宋体" w:eastAsia="宋体" w:hint="default"/>
                <w:sz w:val="18"/>
                <w:szCs w:val="18"/>
              </w:rPr>
              <w:t>）</w:t>
            </w:r>
          </w:p>
        </w:tc>
      </w:tr>
      <w:tr>
        <w:trPr>
          <w:trHeight w:val="356"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center"/>
              <w:rPr>
                <w:rFonts w:ascii="Arial" w:hAnsi="Arial" w:cs="Arial" w:eastAsia="Arial" w:hint="default"/>
                <w:sz w:val="18"/>
                <w:szCs w:val="18"/>
              </w:rPr>
            </w:pPr>
            <w:r>
              <w:rPr>
                <w:rFonts w:ascii="Arial"/>
                <w:sz w:val="18"/>
              </w:rPr>
              <w:t>25-45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right="2"/>
              <w:jc w:val="center"/>
              <w:rPr>
                <w:rFonts w:ascii="Arial" w:hAnsi="Arial" w:cs="Arial" w:eastAsia="Arial" w:hint="default"/>
                <w:sz w:val="18"/>
                <w:szCs w:val="18"/>
              </w:rPr>
            </w:pPr>
            <w:r>
              <w:rPr>
                <w:rFonts w:ascii="Arial"/>
                <w:sz w:val="18"/>
              </w:rPr>
              <w:t>3.80-2.11</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12-18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2"/>
              <w:jc w:val="center"/>
              <w:rPr>
                <w:rFonts w:ascii="Arial" w:hAnsi="Arial" w:cs="Arial" w:eastAsia="Arial" w:hint="default"/>
                <w:sz w:val="18"/>
                <w:szCs w:val="18"/>
              </w:rPr>
            </w:pPr>
            <w:r>
              <w:rPr>
                <w:rFonts w:ascii="Arial"/>
                <w:sz w:val="18"/>
              </w:rPr>
              <w:t>7.92-5.27</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5-35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
              <w:jc w:val="center"/>
              <w:rPr>
                <w:rFonts w:ascii="Arial" w:hAnsi="Arial" w:cs="Arial" w:eastAsia="Arial" w:hint="default"/>
                <w:sz w:val="18"/>
                <w:szCs w:val="18"/>
              </w:rPr>
            </w:pPr>
            <w:r>
              <w:rPr>
                <w:rFonts w:ascii="Arial"/>
                <w:sz w:val="18"/>
              </w:rPr>
              <w:t>19.00-2.71</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5-12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
              <w:jc w:val="center"/>
              <w:rPr>
                <w:rFonts w:ascii="Arial" w:hAnsi="Arial" w:cs="Arial" w:eastAsia="Arial" w:hint="default"/>
                <w:sz w:val="18"/>
                <w:szCs w:val="18"/>
              </w:rPr>
            </w:pPr>
            <w:r>
              <w:rPr>
                <w:rFonts w:ascii="Arial"/>
                <w:sz w:val="18"/>
              </w:rPr>
              <w:t>19.00-7.91</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5-10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
              <w:jc w:val="center"/>
              <w:rPr>
                <w:rFonts w:ascii="Arial" w:hAnsi="Arial" w:cs="Arial" w:eastAsia="Arial" w:hint="default"/>
                <w:sz w:val="18"/>
                <w:szCs w:val="18"/>
              </w:rPr>
            </w:pPr>
            <w:r>
              <w:rPr>
                <w:rFonts w:ascii="Arial"/>
                <w:sz w:val="18"/>
              </w:rPr>
              <w:t>19.00-9.50</w:t>
            </w:r>
          </w:p>
        </w:tc>
      </w:tr>
      <w:tr>
        <w:trPr>
          <w:trHeight w:val="362"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1"/>
              <w:jc w:val="center"/>
              <w:rPr>
                <w:rFonts w:ascii="Arial" w:hAnsi="Arial" w:cs="Arial" w:eastAsia="Arial" w:hint="default"/>
                <w:sz w:val="18"/>
                <w:szCs w:val="18"/>
              </w:rPr>
            </w:pPr>
            <w:r>
              <w:rPr>
                <w:rFonts w:ascii="Arial"/>
                <w:w w:val="99"/>
                <w:sz w:val="18"/>
              </w:rPr>
              <w:t>5</w:t>
            </w:r>
            <w:r>
              <w:rPr>
                <w:rFonts w:ascii="Arial"/>
                <w:sz w:val="18"/>
              </w:rPr>
            </w:r>
          </w:p>
        </w:tc>
        <w:tc>
          <w:tcPr>
            <w:tcW w:w="1805" w:type="dxa"/>
            <w:tcBorders>
              <w:top w:val="single" w:sz="6" w:space="0" w:color="000000"/>
              <w:left w:val="single" w:sz="6" w:space="0" w:color="000000"/>
              <w:bottom w:val="single" w:sz="12" w:space="0" w:color="000000"/>
              <w:right w:val="single" w:sz="6" w:space="0" w:color="000000"/>
            </w:tcBorders>
          </w:tcPr>
          <w:p>
            <w:pP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right="3"/>
              <w:jc w:val="center"/>
              <w:rPr>
                <w:rFonts w:ascii="Arial" w:hAnsi="Arial" w:cs="Arial" w:eastAsia="Arial" w:hint="default"/>
                <w:sz w:val="18"/>
                <w:szCs w:val="18"/>
              </w:rPr>
            </w:pPr>
            <w:r>
              <w:rPr>
                <w:rFonts w:ascii="Arial"/>
                <w:sz w:val="18"/>
              </w:rPr>
              <w:t>20</w:t>
            </w:r>
          </w:p>
        </w:tc>
      </w:tr>
    </w:tbl>
    <w:p>
      <w:pPr>
        <w:spacing w:line="388" w:lineRule="auto"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资产负债表日，固定资产按照账面价值与可收回金额孰低计价。若单项固定资产的可收回金额</w:t>
      </w:r>
    </w:p>
    <w:p>
      <w:pPr>
        <w:pStyle w:val="BodyText"/>
        <w:spacing w:line="357" w:lineRule="auto" w:before="3"/>
        <w:ind w:right="1431"/>
        <w:jc w:val="both"/>
      </w:pPr>
      <w:r>
        <w:rPr>
          <w:spacing w:val="-2"/>
        </w:rPr>
        <w:t>低于账面价值，将资产的账面价值减记至可收回金额，减记的金额确认为资产减值损失，计入当期</w:t>
      </w:r>
      <w:r>
        <w:rPr>
          <w:spacing w:val="-30"/>
        </w:rPr>
        <w:t> </w:t>
      </w:r>
      <w:r>
        <w:rPr>
          <w:spacing w:val="-30"/>
        </w:rPr>
      </w:r>
      <w:r>
        <w:rPr/>
        <w:t>损益，同时计提相应的资产减值准备。固定资产减值损失一经确认，在以后会计期间不再转回。</w:t>
      </w:r>
    </w:p>
    <w:p>
      <w:pPr>
        <w:spacing w:line="240" w:lineRule="auto" w:before="3"/>
        <w:rPr>
          <w:rFonts w:ascii="宋体" w:hAnsi="宋体" w:cs="宋体" w:eastAsia="宋体" w:hint="default"/>
          <w:sz w:val="16"/>
          <w:szCs w:val="16"/>
        </w:rPr>
      </w:pPr>
    </w:p>
    <w:p>
      <w:pPr>
        <w:pStyle w:val="BodyText"/>
        <w:spacing w:line="388" w:lineRule="auto"/>
        <w:ind w:left="560" w:right="1205" w:firstLine="2"/>
        <w:jc w:val="left"/>
      </w:pPr>
      <w:r>
        <w:rPr>
          <w:rFonts w:ascii="Arial" w:hAnsi="Arial" w:cs="Arial" w:eastAsia="Arial" w:hint="default"/>
          <w:b/>
          <w:bCs/>
        </w:rPr>
        <w:t>4.</w:t>
      </w:r>
      <w:r>
        <w:rPr>
          <w:rFonts w:ascii="Arial" w:hAnsi="Arial" w:cs="Arial" w:eastAsia="Arial" w:hint="default"/>
          <w:b/>
          <w:bCs/>
          <w:spacing w:val="43"/>
        </w:rPr>
        <w:t> </w:t>
      </w:r>
      <w:r>
        <w:rPr>
          <w:rFonts w:ascii="宋体" w:hAnsi="宋体" w:cs="宋体" w:eastAsia="宋体" w:hint="default"/>
          <w:b/>
          <w:bCs/>
        </w:rPr>
        <w:t>其他说明</w:t>
      </w:r>
      <w:r>
        <w:rPr>
          <w:rFonts w:ascii="宋体" w:hAnsi="宋体" w:cs="宋体" w:eastAsia="宋体" w:hint="default"/>
          <w:b/>
          <w:bCs/>
          <w:w w:val="100"/>
        </w:rPr>
        <w:t> </w:t>
      </w:r>
      <w:r>
        <w:rPr>
          <w:spacing w:val="-2"/>
        </w:rPr>
        <w:t>本公司固定资产按成本进行初始计量。其中，外购的固定资产的成本包括买价、进口关税等相</w:t>
      </w:r>
    </w:p>
    <w:p>
      <w:pPr>
        <w:pStyle w:val="BodyText"/>
        <w:spacing w:line="357" w:lineRule="auto" w:before="5"/>
        <w:ind w:right="1431"/>
        <w:jc w:val="both"/>
      </w:pPr>
      <w:r>
        <w:rPr>
          <w:spacing w:val="-2"/>
        </w:rPr>
        <w:t>关税费，以及为使固定资产达到预定可使用状态前所发生的可直接归属于该资产的其他支出。自行</w:t>
      </w:r>
      <w:r>
        <w:rPr>
          <w:spacing w:val="-31"/>
        </w:rPr>
        <w:t> </w:t>
      </w:r>
      <w:r>
        <w:rPr>
          <w:spacing w:val="-31"/>
        </w:rPr>
      </w:r>
      <w:r>
        <w:rPr>
          <w:spacing w:val="-2"/>
        </w:rPr>
        <w:t>建造固定资产的成本，由建造该项资产达到预定可使用状态前所发生的必要支出构成。投资者投入</w:t>
      </w:r>
      <w:r>
        <w:rPr>
          <w:spacing w:val="-30"/>
        </w:rPr>
        <w:t> </w:t>
      </w:r>
      <w:r>
        <w:rPr>
          <w:spacing w:val="-30"/>
        </w:rPr>
      </w:r>
      <w:r>
        <w:rPr>
          <w:spacing w:val="-2"/>
        </w:rPr>
        <w:t>的固定资产，按投资合同或协议约定的价值作为入账价值，但合同或协议约定价值不公允的按公允</w:t>
      </w:r>
      <w:r>
        <w:rPr>
          <w:spacing w:val="-32"/>
        </w:rPr>
        <w:t> </w:t>
      </w:r>
      <w:r>
        <w:rPr>
          <w:spacing w:val="-32"/>
        </w:rPr>
      </w:r>
      <w:r>
        <w:rPr>
          <w:spacing w:val="-2"/>
        </w:rPr>
        <w:t>价值入账。购买固定资产的价款超过正常信用条件延期支付，实质上具有融资性质的，固定资产的</w:t>
      </w:r>
      <w:r>
        <w:rPr>
          <w:spacing w:val="-28"/>
        </w:rPr>
        <w:t> </w:t>
      </w:r>
      <w:r>
        <w:rPr>
          <w:spacing w:val="-28"/>
        </w:rPr>
      </w:r>
      <w:r>
        <w:rPr>
          <w:spacing w:val="-2"/>
        </w:rPr>
        <w:t>成本以购买价款的现值为基础确定。实际支付的价款与购买价款的现值之间的差额，除应予资本化</w:t>
      </w:r>
      <w:r>
        <w:rPr>
          <w:spacing w:val="-30"/>
        </w:rPr>
        <w:t> </w:t>
      </w:r>
      <w:r>
        <w:rPr>
          <w:spacing w:val="-30"/>
        </w:rPr>
      </w:r>
      <w:r>
        <w:rPr/>
        <w:t>的以外，在信用期间内计入当期损益。</w:t>
      </w:r>
    </w:p>
    <w:p>
      <w:pPr>
        <w:pStyle w:val="BodyText"/>
        <w:spacing w:line="355" w:lineRule="auto" w:before="152"/>
        <w:ind w:right="1205" w:firstLine="420"/>
        <w:jc w:val="left"/>
      </w:pPr>
      <w:r>
        <w:rPr>
          <w:spacing w:val="-2"/>
        </w:rPr>
        <w:t>当固定资产被处置、或者预期通过使用或处置不能产生经济利益时，终止确认该固定资产。固</w:t>
      </w:r>
      <w:r>
        <w:rPr>
          <w:w w:val="100"/>
        </w:rPr>
        <w:t> </w:t>
      </w:r>
      <w:r>
        <w:rPr/>
        <w:t>定资产出售、转让、报废或毁损的处置收入扣除其账面价值和相关税费后的金额计入当期损益。</w:t>
      </w:r>
    </w:p>
    <w:p>
      <w:pPr>
        <w:spacing w:line="240" w:lineRule="auto" w:before="5"/>
        <w:rPr>
          <w:rFonts w:ascii="宋体" w:hAnsi="宋体" w:cs="宋体" w:eastAsia="宋体" w:hint="default"/>
          <w:sz w:val="16"/>
          <w:szCs w:val="16"/>
        </w:rPr>
      </w:pPr>
    </w:p>
    <w:p>
      <w:pPr>
        <w:pStyle w:val="BodyText"/>
        <w:spacing w:line="408" w:lineRule="auto"/>
        <w:ind w:left="560" w:right="1205"/>
        <w:jc w:val="left"/>
      </w:pPr>
      <w:r>
        <w:rPr>
          <w:rFonts w:ascii="宋体" w:hAnsi="宋体" w:cs="宋体" w:eastAsia="宋体" w:hint="default"/>
          <w:b/>
          <w:bCs/>
        </w:rPr>
        <w:t>（十四）</w:t>
      </w:r>
      <w:r>
        <w:rPr>
          <w:rFonts w:ascii="宋体" w:hAnsi="宋体" w:cs="宋体" w:eastAsia="宋体" w:hint="default"/>
          <w:b/>
          <w:bCs/>
          <w:spacing w:val="-26"/>
        </w:rPr>
        <w:t> </w:t>
      </w:r>
      <w:r>
        <w:rPr>
          <w:rFonts w:ascii="宋体" w:hAnsi="宋体" w:cs="宋体" w:eastAsia="宋体" w:hint="default"/>
          <w:b/>
          <w:bCs/>
        </w:rPr>
        <w:t>在建工程</w:t>
      </w:r>
      <w:r>
        <w:rPr>
          <w:rFonts w:ascii="宋体" w:hAnsi="宋体" w:cs="宋体" w:eastAsia="宋体" w:hint="default"/>
          <w:b/>
          <w:bCs/>
          <w:w w:val="100"/>
        </w:rPr>
        <w:t> </w:t>
      </w:r>
      <w:r>
        <w:rPr>
          <w:spacing w:val="-2"/>
        </w:rPr>
        <w:t>本公司自行建造的在建工程按实际成本计价，实际成本由建造该项资产达到预定可使用状态前</w:t>
      </w:r>
    </w:p>
    <w:p>
      <w:pPr>
        <w:pStyle w:val="BodyText"/>
        <w:spacing w:line="357" w:lineRule="auto"/>
        <w:ind w:left="560" w:right="1205" w:hanging="420"/>
        <w:jc w:val="left"/>
      </w:pPr>
      <w:r>
        <w:rPr/>
        <w:t>所发生的必要支出构成。本公司的在在建工程包括房产构建、设备安装等。</w:t>
      </w:r>
      <w:r>
        <w:rPr>
          <w:w w:val="100"/>
        </w:rPr>
        <w:t> </w:t>
      </w:r>
      <w:r>
        <w:rPr>
          <w:spacing w:val="-2"/>
        </w:rPr>
        <w:t>已达到预定可使用状态但尚未办理竣工决算的固定资产，按照估计价值确定其成本，并计提折</w:t>
      </w:r>
    </w:p>
    <w:p>
      <w:pPr>
        <w:spacing w:after="0" w:line="357" w:lineRule="auto"/>
        <w:jc w:val="left"/>
        <w:sectPr>
          <w:pgSz w:w="11910" w:h="16840"/>
          <w:pgMar w:header="884" w:footer="1013" w:top="1080" w:bottom="1200" w:left="1300" w:right="0"/>
        </w:sectPr>
      </w:pPr>
    </w:p>
    <w:p>
      <w:pPr>
        <w:pStyle w:val="BodyText"/>
        <w:spacing w:line="240" w:lineRule="auto" w:before="30"/>
        <w:ind w:right="1205"/>
        <w:jc w:val="left"/>
      </w:pPr>
      <w:r>
        <w:rPr/>
        <w:pict>
          <v:group style="position:absolute;margin-left:70.584pt;margin-top:2.843696pt;width:436.3pt;height:.1pt;mso-position-horizontal-relative:page;mso-position-vertical-relative:paragraph;z-index:-636256" coordorigin="1412,57" coordsize="8726,2">
            <v:shape style="position:absolute;left:1412;top:57;width:8726;height:2" coordorigin="1412,57" coordsize="8726,0" path="m1412,57l10137,57e" filled="false" stroked="true" strokeweight=".72pt" strokecolor="#000000">
              <v:path arrowok="t"/>
            </v:shape>
            <w10:wrap type="none"/>
          </v:group>
        </w:pict>
      </w:r>
      <w:r>
        <w:rPr/>
        <w:t>旧；待办理竣工决算后，再按实际成本调整原来的暂估价值，但不调整原已计提的折旧额。</w:t>
      </w:r>
    </w:p>
    <w:p>
      <w:pPr>
        <w:spacing w:line="240" w:lineRule="auto" w:before="7"/>
        <w:rPr>
          <w:rFonts w:ascii="宋体" w:hAnsi="宋体" w:cs="宋体" w:eastAsia="宋体" w:hint="default"/>
          <w:sz w:val="19"/>
          <w:szCs w:val="19"/>
        </w:rPr>
      </w:pPr>
    </w:p>
    <w:p>
      <w:pPr>
        <w:pStyle w:val="BodyText"/>
        <w:spacing w:line="357" w:lineRule="auto"/>
        <w:ind w:right="1426" w:firstLine="420"/>
        <w:jc w:val="both"/>
      </w:pPr>
      <w:r>
        <w:rPr>
          <w:spacing w:val="-2"/>
        </w:rPr>
        <w:t>资产负债表日，本公司对在建工程按照账面价值与可收回金额孰低计量，按单项工程可收回金</w:t>
      </w:r>
      <w:r>
        <w:rPr>
          <w:w w:val="100"/>
        </w:rPr>
        <w:t> </w:t>
      </w:r>
      <w:r>
        <w:rPr>
          <w:spacing w:val="-2"/>
        </w:rPr>
        <w:t>额低于账面价值的差额，计提在建工程减值损失，计入当期损益，同时计提相应的资产减值准备。</w:t>
      </w:r>
      <w:r>
        <w:rPr>
          <w:spacing w:val="-25"/>
        </w:rPr>
        <w:t> </w:t>
      </w:r>
      <w:r>
        <w:rPr>
          <w:spacing w:val="-25"/>
        </w:rPr>
      </w:r>
      <w:r>
        <w:rPr/>
        <w:t>在建工程减值损失一经确认，在以后会计期间不再转回。</w:t>
      </w:r>
    </w:p>
    <w:p>
      <w:pPr>
        <w:spacing w:line="240" w:lineRule="auto" w:before="1"/>
        <w:rPr>
          <w:rFonts w:ascii="宋体" w:hAnsi="宋体" w:cs="宋体" w:eastAsia="宋体" w:hint="default"/>
          <w:sz w:val="16"/>
          <w:szCs w:val="16"/>
        </w:rPr>
      </w:pPr>
    </w:p>
    <w:p>
      <w:pPr>
        <w:pStyle w:val="BodyText"/>
        <w:spacing w:line="410" w:lineRule="auto"/>
        <w:ind w:left="560" w:right="1205"/>
        <w:jc w:val="left"/>
      </w:pPr>
      <w:r>
        <w:rPr>
          <w:rFonts w:ascii="宋体" w:hAnsi="宋体" w:cs="宋体" w:eastAsia="宋体" w:hint="default"/>
          <w:b/>
          <w:bCs/>
        </w:rPr>
        <w:t>（十五）</w:t>
      </w:r>
      <w:r>
        <w:rPr>
          <w:rFonts w:ascii="宋体" w:hAnsi="宋体" w:cs="宋体" w:eastAsia="宋体" w:hint="default"/>
          <w:b/>
          <w:bCs/>
          <w:spacing w:val="-26"/>
        </w:rPr>
        <w:t> </w:t>
      </w:r>
      <w:r>
        <w:rPr>
          <w:rFonts w:ascii="宋体" w:hAnsi="宋体" w:cs="宋体" w:eastAsia="宋体" w:hint="default"/>
          <w:b/>
          <w:bCs/>
        </w:rPr>
        <w:t>借款费用</w:t>
      </w:r>
      <w:r>
        <w:rPr>
          <w:rFonts w:ascii="宋体" w:hAnsi="宋体" w:cs="宋体" w:eastAsia="宋体" w:hint="default"/>
          <w:b/>
          <w:bCs/>
          <w:w w:val="100"/>
        </w:rPr>
        <w:t> </w:t>
      </w:r>
      <w:r>
        <w:rPr>
          <w:spacing w:val="-4"/>
        </w:rPr>
        <w:t>本公司发生的借款费用，可直接归属于符合资本化条件的资产的购建或者生产的，予以资本化，</w:t>
      </w:r>
    </w:p>
    <w:p>
      <w:pPr>
        <w:pStyle w:val="BodyText"/>
        <w:spacing w:line="261" w:lineRule="exact"/>
        <w:ind w:right="1205"/>
        <w:jc w:val="left"/>
      </w:pPr>
      <w:r>
        <w:rPr/>
        <w:t>计入相关资产成本；其他借款费用，在发生时根据其发生额确认为费用，计入当期损益。符合资本</w:t>
      </w:r>
    </w:p>
    <w:p>
      <w:pPr>
        <w:pStyle w:val="BodyText"/>
        <w:spacing w:line="357" w:lineRule="auto" w:before="133"/>
        <w:ind w:right="1205"/>
        <w:jc w:val="left"/>
      </w:pPr>
      <w:r>
        <w:rPr>
          <w:spacing w:val="-2"/>
        </w:rPr>
        <w:t>化条件的资产，是指需要经过相当长时间的购建或者生产活动才能达到预定可使用或者可销售状态</w:t>
      </w:r>
      <w:r>
        <w:rPr>
          <w:spacing w:val="-30"/>
        </w:rPr>
        <w:t> </w:t>
      </w:r>
      <w:r>
        <w:rPr>
          <w:spacing w:val="-30"/>
        </w:rPr>
      </w:r>
      <w:r>
        <w:rPr/>
        <w:t>的固定资产、投资性房地产和存货等资产。</w:t>
      </w:r>
    </w:p>
    <w:p>
      <w:pPr>
        <w:pStyle w:val="BodyText"/>
        <w:spacing w:line="345" w:lineRule="auto" w:before="153"/>
        <w:ind w:right="1205" w:firstLine="420"/>
        <w:jc w:val="left"/>
      </w:pPr>
      <w:r>
        <w:rPr/>
        <w:t>同时满足下列条件时，借款费用开始资本化：（</w:t>
      </w:r>
      <w:r>
        <w:rPr>
          <w:rFonts w:ascii="Arial" w:hAnsi="Arial" w:cs="Arial" w:eastAsia="Arial" w:hint="default"/>
        </w:rPr>
        <w:t>1</w:t>
      </w:r>
      <w:r>
        <w:rPr/>
        <w:t>）资产支出已经发生，资产支出包括为购建</w:t>
      </w:r>
      <w:r>
        <w:rPr>
          <w:w w:val="100"/>
        </w:rPr>
        <w:t> </w:t>
      </w:r>
      <w:r>
        <w:rPr/>
        <w:t>或者生产符合资本化条件的资产而以支付现金、转移非现金资产或者承担带息债务形式发生的支</w:t>
      </w:r>
      <w:r>
        <w:rPr>
          <w:w w:val="100"/>
        </w:rPr>
        <w:t> </w:t>
      </w:r>
      <w:r>
        <w:rPr>
          <w:spacing w:val="-3"/>
        </w:rPr>
        <w:t>出；（</w:t>
      </w:r>
      <w:r>
        <w:rPr>
          <w:rFonts w:ascii="Arial" w:hAnsi="Arial" w:cs="Arial" w:eastAsia="Arial" w:hint="default"/>
          <w:spacing w:val="-3"/>
        </w:rPr>
        <w:t>2</w:t>
      </w:r>
      <w:r>
        <w:rPr>
          <w:spacing w:val="-3"/>
        </w:rPr>
        <w:t>）借款费用已经发生；（</w:t>
      </w:r>
      <w:r>
        <w:rPr>
          <w:rFonts w:ascii="Arial" w:hAnsi="Arial" w:cs="Arial" w:eastAsia="Arial" w:hint="default"/>
          <w:spacing w:val="-3"/>
        </w:rPr>
        <w:t>3</w:t>
      </w:r>
      <w:r>
        <w:rPr>
          <w:spacing w:val="-3"/>
        </w:rPr>
        <w:t>）为使资产达到预定可使用或者可销售状态所必要的购建或者生</w:t>
      </w:r>
      <w:r>
        <w:rPr>
          <w:spacing w:val="-12"/>
        </w:rPr>
        <w:t> </w:t>
      </w:r>
      <w:r>
        <w:rPr>
          <w:spacing w:val="-12"/>
        </w:rPr>
      </w:r>
      <w:r>
        <w:rPr/>
        <w:t>产活动已经开始。</w:t>
      </w:r>
    </w:p>
    <w:p>
      <w:pPr>
        <w:pStyle w:val="BodyText"/>
        <w:spacing w:line="357" w:lineRule="auto" w:before="163"/>
        <w:ind w:right="1431" w:firstLine="420"/>
        <w:jc w:val="both"/>
      </w:pPr>
      <w:r>
        <w:rPr>
          <w:spacing w:val="-2"/>
        </w:rPr>
        <w:t>在资本化期间内，每一会计期间的资本化金额，为购建或者生产符合资本化条件的资产而借入</w:t>
      </w:r>
      <w:r>
        <w:rPr>
          <w:w w:val="100"/>
        </w:rPr>
        <w:t> </w:t>
      </w:r>
      <w:r>
        <w:rPr>
          <w:spacing w:val="-2"/>
        </w:rPr>
        <w:t>专门借款的，以专门借款当期实际发生的利息费用，减去将尚未动用的借款资金存入银行取得的利</w:t>
      </w:r>
      <w:r>
        <w:rPr>
          <w:spacing w:val="-31"/>
        </w:rPr>
        <w:t> </w:t>
      </w:r>
      <w:r>
        <w:rPr>
          <w:spacing w:val="-31"/>
        </w:rPr>
      </w:r>
      <w:r>
        <w:rPr>
          <w:spacing w:val="-2"/>
        </w:rPr>
        <w:t>息收入或进行暂时性投资取得的投资收益后的金额确定。为购建或者生产符合资本化条件的资产而</w:t>
      </w:r>
      <w:r>
        <w:rPr>
          <w:spacing w:val="-30"/>
        </w:rPr>
        <w:t> </w:t>
      </w:r>
      <w:r>
        <w:rPr>
          <w:spacing w:val="-30"/>
        </w:rPr>
      </w:r>
      <w:r>
        <w:rPr>
          <w:spacing w:val="-2"/>
        </w:rPr>
        <w:t>占用了一般借款的，根据累计资产支出超过专门借款部分的资产支出加权平均数乘以所占用一般借</w:t>
      </w:r>
      <w:r>
        <w:rPr>
          <w:spacing w:val="-30"/>
        </w:rPr>
        <w:t> </w:t>
      </w:r>
      <w:r>
        <w:rPr>
          <w:spacing w:val="-30"/>
        </w:rPr>
      </w:r>
      <w:r>
        <w:rPr>
          <w:spacing w:val="-2"/>
        </w:rPr>
        <w:t>款的资本化率，计算确定一般借款应予资本化的利息金额。资本化率根据一般借款加权平均利率计</w:t>
      </w:r>
      <w:r>
        <w:rPr>
          <w:spacing w:val="-30"/>
        </w:rPr>
        <w:t> </w:t>
      </w:r>
      <w:r>
        <w:rPr>
          <w:spacing w:val="-30"/>
        </w:rPr>
      </w:r>
      <w:r>
        <w:rPr/>
        <w:t>算确定。利息资本化金额，不超过当期相关借款实际发生的利息金额。</w:t>
      </w:r>
    </w:p>
    <w:p>
      <w:pPr>
        <w:pStyle w:val="BodyText"/>
        <w:spacing w:line="350" w:lineRule="auto" w:before="32"/>
        <w:ind w:right="1205" w:firstLine="420"/>
        <w:jc w:val="left"/>
      </w:pPr>
      <w:r>
        <w:rPr>
          <w:spacing w:val="-5"/>
          <w:w w:val="100"/>
        </w:rPr>
        <w:t>符合资本化条件的资产在购建或者生产过程中发生非正常中断、且中断时间连续超过</w:t>
      </w:r>
      <w:r>
        <w:rPr>
          <w:spacing w:val="-51"/>
          <w:w w:val="100"/>
        </w:rPr>
        <w:t> </w:t>
      </w:r>
      <w:r>
        <w:rPr>
          <w:rFonts w:ascii="Arial" w:hAnsi="Arial" w:cs="Arial" w:eastAsia="Arial" w:hint="default"/>
          <w:w w:val="100"/>
        </w:rPr>
        <w:t>3</w:t>
      </w:r>
      <w:r>
        <w:rPr>
          <w:rFonts w:ascii="Arial" w:hAnsi="Arial" w:cs="Arial" w:eastAsia="Arial" w:hint="default"/>
          <w:spacing w:val="-2"/>
          <w:w w:val="100"/>
        </w:rPr>
        <w:t> </w:t>
      </w:r>
      <w:r>
        <w:rPr>
          <w:spacing w:val="-1"/>
          <w:w w:val="100"/>
        </w:rPr>
        <w:t>个月的，</w:t>
      </w:r>
      <w:r>
        <w:rPr>
          <w:w w:val="100"/>
        </w:rPr>
        <w:t> </w:t>
      </w:r>
      <w:r>
        <w:rPr/>
        <w:t>暂停借款费用的资本化。在中断期间发生的借款费用确认为费用，计入当期损益，直至资产的购建</w:t>
      </w:r>
      <w:r>
        <w:rPr>
          <w:w w:val="100"/>
        </w:rPr>
        <w:t> </w:t>
      </w:r>
      <w:r>
        <w:rPr/>
        <w:t>或者生产活动重新开始。如果中断是所购建或者生产的符合资本化条件的资产达到预定可使用或者</w:t>
      </w:r>
      <w:r>
        <w:rPr>
          <w:w w:val="100"/>
        </w:rPr>
        <w:t> </w:t>
      </w:r>
      <w:r>
        <w:rPr/>
        <w:t>可销售状态必要的程序，借款费用继续资本化。</w:t>
      </w:r>
    </w:p>
    <w:p>
      <w:pPr>
        <w:pStyle w:val="BodyText"/>
        <w:spacing w:line="357" w:lineRule="auto" w:before="156"/>
        <w:ind w:right="1526" w:firstLine="420"/>
        <w:jc w:val="left"/>
      </w:pPr>
      <w:r>
        <w:rPr>
          <w:spacing w:val="-2"/>
        </w:rPr>
        <w:t>购建或者生产符合资本化条件的资产达到预定可使用或者可销售状态时，停止借款费用资本</w:t>
      </w:r>
      <w:r>
        <w:rPr>
          <w:w w:val="100"/>
        </w:rPr>
        <w:t> </w:t>
      </w:r>
      <w:r>
        <w:rPr/>
        <w:t>化。</w:t>
      </w:r>
    </w:p>
    <w:p>
      <w:pPr>
        <w:spacing w:line="240" w:lineRule="auto" w:before="4"/>
        <w:rPr>
          <w:rFonts w:ascii="宋体" w:hAnsi="宋体" w:cs="宋体" w:eastAsia="宋体" w:hint="default"/>
          <w:sz w:val="16"/>
          <w:szCs w:val="16"/>
        </w:rPr>
      </w:pPr>
    </w:p>
    <w:p>
      <w:pPr>
        <w:pStyle w:val="Heading4"/>
        <w:spacing w:line="240" w:lineRule="auto"/>
        <w:ind w:right="1205"/>
        <w:jc w:val="left"/>
        <w:rPr>
          <w:b w:val="0"/>
          <w:bCs w:val="0"/>
        </w:rPr>
      </w:pPr>
      <w:r>
        <w:rPr/>
        <w:t>（十六）</w:t>
      </w:r>
      <w:r>
        <w:rPr>
          <w:spacing w:val="-28"/>
        </w:rPr>
        <w:t> </w:t>
      </w:r>
      <w:r>
        <w:rPr/>
        <w:t>生物资产</w:t>
      </w:r>
      <w:r>
        <w:rPr>
          <w:b w:val="0"/>
          <w:bCs w:val="0"/>
        </w:rPr>
      </w:r>
    </w:p>
    <w:p>
      <w:pPr>
        <w:spacing w:line="240" w:lineRule="auto" w:before="10"/>
        <w:rPr>
          <w:rFonts w:ascii="宋体" w:hAnsi="宋体" w:cs="宋体" w:eastAsia="宋体" w:hint="default"/>
          <w:b/>
          <w:bCs/>
          <w:sz w:val="14"/>
          <w:szCs w:val="14"/>
        </w:rPr>
      </w:pPr>
    </w:p>
    <w:p>
      <w:pPr>
        <w:pStyle w:val="BodyText"/>
        <w:spacing w:line="357" w:lineRule="auto"/>
        <w:ind w:left="560" w:right="1205"/>
        <w:jc w:val="left"/>
      </w:pPr>
      <w:r>
        <w:rPr>
          <w:spacing w:val="-2"/>
        </w:rPr>
        <w:t>本公司的生物资产包括生产性生物资产。生产性生物资产为曼地亚红豆杉。</w:t>
      </w:r>
      <w:r>
        <w:rPr>
          <w:spacing w:val="-42"/>
        </w:rPr>
        <w:t> </w:t>
      </w:r>
      <w:r>
        <w:rPr>
          <w:spacing w:val="-42"/>
        </w:rPr>
      </w:r>
      <w:r>
        <w:rPr/>
        <w:t>生物资产同时满足下列条件的，予以确认：</w:t>
      </w:r>
    </w:p>
    <w:p>
      <w:pPr>
        <w:pStyle w:val="BodyText"/>
        <w:spacing w:line="240" w:lineRule="auto" w:before="150"/>
        <w:ind w:left="560" w:right="1205"/>
        <w:jc w:val="left"/>
      </w:pPr>
      <w:r>
        <w:rPr/>
        <w:t>（</w:t>
      </w:r>
      <w:r>
        <w:rPr>
          <w:rFonts w:ascii="Arial" w:hAnsi="Arial" w:cs="Arial" w:eastAsia="Arial" w:hint="default"/>
        </w:rPr>
        <w:t>1</w:t>
      </w:r>
      <w:r>
        <w:rPr/>
        <w:t>）公司因过去的交易或者事项而拥有或者控制该生物资产；</w:t>
      </w:r>
    </w:p>
    <w:p>
      <w:pPr>
        <w:spacing w:line="240" w:lineRule="auto" w:before="5"/>
        <w:rPr>
          <w:rFonts w:ascii="宋体" w:hAnsi="宋体" w:cs="宋体" w:eastAsia="宋体" w:hint="default"/>
          <w:sz w:val="18"/>
          <w:szCs w:val="18"/>
        </w:rPr>
      </w:pPr>
    </w:p>
    <w:p>
      <w:pPr>
        <w:pStyle w:val="BodyText"/>
        <w:spacing w:line="240" w:lineRule="auto"/>
        <w:ind w:left="560" w:right="1205"/>
        <w:jc w:val="left"/>
      </w:pPr>
      <w:r>
        <w:rPr/>
        <w:t>（</w:t>
      </w:r>
      <w:r>
        <w:rPr>
          <w:rFonts w:ascii="Arial" w:hAnsi="Arial" w:cs="Arial" w:eastAsia="Arial" w:hint="default"/>
        </w:rPr>
        <w:t>2</w:t>
      </w:r>
      <w:r>
        <w:rPr/>
        <w:t>）与该生物资产有关的经济利益或服务潜能很可能流入公司；</w:t>
      </w:r>
    </w:p>
    <w:p>
      <w:pPr>
        <w:pStyle w:val="BodyText"/>
        <w:spacing w:line="510" w:lineRule="atLeast" w:before="20"/>
        <w:ind w:left="560" w:right="1205"/>
        <w:jc w:val="left"/>
      </w:pPr>
      <w:r>
        <w:rPr/>
        <w:t>（</w:t>
      </w:r>
      <w:r>
        <w:rPr>
          <w:rFonts w:ascii="Arial" w:hAnsi="Arial" w:cs="Arial" w:eastAsia="Arial" w:hint="default"/>
        </w:rPr>
        <w:t>3</w:t>
      </w:r>
      <w:r>
        <w:rPr/>
        <w:t>）该生物资产的成本能够可靠地计量。</w:t>
      </w:r>
      <w:r>
        <w:rPr>
          <w:w w:val="100"/>
        </w:rPr>
        <w:t> </w:t>
      </w:r>
      <w:r>
        <w:rPr>
          <w:spacing w:val="-2"/>
        </w:rPr>
        <w:t>生产性生物资产按照成本进行初始计量。外购的生产性生物资产的成本包括购买价款、相关税</w:t>
      </w:r>
    </w:p>
    <w:p>
      <w:pPr>
        <w:spacing w:after="0" w:line="510" w:lineRule="atLeast"/>
        <w:jc w:val="left"/>
        <w:sectPr>
          <w:pgSz w:w="11910" w:h="16840"/>
          <w:pgMar w:header="884" w:footer="1013" w:top="1080" w:bottom="1200" w:left="1300" w:right="0"/>
        </w:sectPr>
      </w:pPr>
    </w:p>
    <w:p>
      <w:pPr>
        <w:pStyle w:val="BodyText"/>
        <w:spacing w:line="357" w:lineRule="auto" w:before="30"/>
        <w:ind w:right="1428" w:hanging="3"/>
        <w:jc w:val="center"/>
      </w:pPr>
      <w:r>
        <w:rPr/>
        <w:pict>
          <v:group style="position:absolute;margin-left:70.584pt;margin-top:2.843696pt;width:436.3pt;height:.1pt;mso-position-horizontal-relative:page;mso-position-vertical-relative:paragraph;z-index:-636232" coordorigin="1412,57" coordsize="8726,2">
            <v:shape style="position:absolute;left:1412;top:57;width:8726;height:2" coordorigin="1412,57" coordsize="8726,0" path="m1412,57l10137,57e" filled="false" stroked="true" strokeweight=".72pt" strokecolor="#000000">
              <v:path arrowok="t"/>
            </v:shape>
            <w10:wrap type="none"/>
          </v:group>
        </w:pict>
      </w:r>
      <w:r>
        <w:rPr>
          <w:spacing w:val="-2"/>
        </w:rPr>
        <w:t>费、运输费、保险费以及可直接归属于购买该资产的其他支出。自行培育的生产性生物资产，其成</w:t>
      </w:r>
      <w:r>
        <w:rPr>
          <w:spacing w:val="-44"/>
        </w:rPr>
        <w:t> </w:t>
      </w:r>
      <w:r>
        <w:rPr>
          <w:spacing w:val="-44"/>
        </w:rPr>
      </w:r>
      <w:r>
        <w:rPr>
          <w:spacing w:val="-2"/>
        </w:rPr>
        <w:t>本的确定按照其达到预计生产经营目的前发生的培育费、人工费和应分摊的间接费用等必要支出。</w:t>
      </w:r>
    </w:p>
    <w:p>
      <w:pPr>
        <w:pStyle w:val="BodyText"/>
        <w:spacing w:line="240" w:lineRule="auto" w:before="150"/>
        <w:ind w:left="560" w:right="1205"/>
        <w:jc w:val="left"/>
      </w:pPr>
      <w:r>
        <w:rPr/>
        <w:t>本公司生产性生物资产在郁闭或达到预定生产经营目的后发生的管护费用计入当期损益。</w:t>
      </w:r>
    </w:p>
    <w:p>
      <w:pPr>
        <w:spacing w:line="240" w:lineRule="auto" w:before="7"/>
        <w:rPr>
          <w:rFonts w:ascii="宋体" w:hAnsi="宋体" w:cs="宋体" w:eastAsia="宋体" w:hint="default"/>
          <w:sz w:val="19"/>
          <w:szCs w:val="19"/>
        </w:rPr>
      </w:pPr>
    </w:p>
    <w:p>
      <w:pPr>
        <w:pStyle w:val="BodyText"/>
        <w:spacing w:line="357" w:lineRule="auto"/>
        <w:ind w:right="1426" w:firstLine="420"/>
        <w:jc w:val="both"/>
      </w:pPr>
      <w:r>
        <w:rPr>
          <w:spacing w:val="-2"/>
        </w:rPr>
        <w:t>本公司对生产性生物资产计提折旧，折旧方法采用年限平均法。本公司根据生产性生物资产的</w:t>
      </w:r>
      <w:r>
        <w:rPr>
          <w:w w:val="100"/>
        </w:rPr>
        <w:t> </w:t>
      </w:r>
      <w:r>
        <w:rPr>
          <w:spacing w:val="-2"/>
        </w:rPr>
        <w:t>性质、使用情况和有关经济利益的预期实现方式，确定其使用寿命和预计净残值。并在年度终了，</w:t>
      </w:r>
      <w:r>
        <w:rPr>
          <w:spacing w:val="-25"/>
        </w:rPr>
        <w:t> </w:t>
      </w:r>
      <w:r>
        <w:rPr>
          <w:spacing w:val="-25"/>
        </w:rPr>
      </w:r>
      <w:r>
        <w:rPr>
          <w:spacing w:val="-2"/>
        </w:rPr>
        <w:t>对生产性生物资产的使用寿命、预计净残值和折旧方法进行复核，如与原先估计数存在差异的，进</w:t>
      </w:r>
      <w:r>
        <w:rPr>
          <w:spacing w:val="-29"/>
        </w:rPr>
        <w:t> </w:t>
      </w:r>
      <w:r>
        <w:rPr>
          <w:spacing w:val="-29"/>
        </w:rPr>
      </w:r>
      <w:r>
        <w:rPr/>
        <w:t>行相应的调整。</w:t>
      </w:r>
    </w:p>
    <w:p>
      <w:pPr>
        <w:pStyle w:val="BodyText"/>
        <w:spacing w:line="357" w:lineRule="auto" w:before="150"/>
        <w:ind w:right="1431" w:firstLine="420"/>
        <w:jc w:val="both"/>
      </w:pPr>
      <w:r>
        <w:rPr>
          <w:spacing w:val="-2"/>
        </w:rPr>
        <w:t>资产负债表日，本公司对生产性生物资产按照其账面价值与可收回金额孰低计量，按单项资产</w:t>
      </w:r>
      <w:r>
        <w:rPr>
          <w:w w:val="100"/>
        </w:rPr>
        <w:t> </w:t>
      </w:r>
      <w:r>
        <w:rPr>
          <w:spacing w:val="-2"/>
        </w:rPr>
        <w:t>可收回金额低于账面价值的差额计提生产性生物资产的减值准备。生产性生物资产的减值损失一经</w:t>
      </w:r>
      <w:r>
        <w:rPr>
          <w:spacing w:val="-30"/>
        </w:rPr>
        <w:t> </w:t>
      </w:r>
      <w:r>
        <w:rPr>
          <w:spacing w:val="-30"/>
        </w:rPr>
      </w:r>
      <w:r>
        <w:rPr/>
        <w:t>确认，在以后会计期间不再转回。</w:t>
      </w:r>
    </w:p>
    <w:p>
      <w:pPr>
        <w:pStyle w:val="BodyText"/>
        <w:spacing w:line="357" w:lineRule="auto" w:before="150"/>
        <w:ind w:right="1431" w:firstLine="420"/>
        <w:jc w:val="both"/>
      </w:pPr>
      <w:r>
        <w:rPr>
          <w:spacing w:val="-2"/>
        </w:rPr>
        <w:t>生物资产的收获与处置：生物资产转变用途后的成本按转变用途时的账面价值确定；生物资产</w:t>
      </w:r>
      <w:r>
        <w:rPr>
          <w:w w:val="100"/>
        </w:rPr>
        <w:t> </w:t>
      </w:r>
      <w:r>
        <w:rPr/>
        <w:t>出售、毁损、盘亏时，将其处置收入扣除账面价值及相关税费后的余额计入当期损益。</w:t>
      </w:r>
    </w:p>
    <w:p>
      <w:pPr>
        <w:spacing w:line="240" w:lineRule="auto" w:before="1"/>
        <w:rPr>
          <w:rFonts w:ascii="宋体" w:hAnsi="宋体" w:cs="宋体" w:eastAsia="宋体" w:hint="default"/>
          <w:sz w:val="16"/>
          <w:szCs w:val="16"/>
        </w:rPr>
      </w:pPr>
    </w:p>
    <w:p>
      <w:pPr>
        <w:pStyle w:val="BodyText"/>
        <w:spacing w:line="410" w:lineRule="auto"/>
        <w:ind w:left="560" w:right="1205"/>
        <w:jc w:val="left"/>
      </w:pPr>
      <w:r>
        <w:rPr>
          <w:rFonts w:ascii="宋体" w:hAnsi="宋体" w:cs="宋体" w:eastAsia="宋体" w:hint="default"/>
          <w:b/>
          <w:bCs/>
        </w:rPr>
        <w:t>（十七）</w:t>
      </w:r>
      <w:r>
        <w:rPr>
          <w:rFonts w:ascii="宋体" w:hAnsi="宋体" w:cs="宋体" w:eastAsia="宋体" w:hint="default"/>
          <w:b/>
          <w:bCs/>
          <w:spacing w:val="-26"/>
        </w:rPr>
        <w:t> </w:t>
      </w:r>
      <w:r>
        <w:rPr>
          <w:rFonts w:ascii="宋体" w:hAnsi="宋体" w:cs="宋体" w:eastAsia="宋体" w:hint="default"/>
          <w:b/>
          <w:bCs/>
        </w:rPr>
        <w:t>无形资产</w:t>
      </w:r>
      <w:r>
        <w:rPr>
          <w:rFonts w:ascii="宋体" w:hAnsi="宋体" w:cs="宋体" w:eastAsia="宋体" w:hint="default"/>
          <w:b/>
          <w:bCs/>
          <w:w w:val="100"/>
        </w:rPr>
        <w:t> </w:t>
      </w:r>
      <w:r>
        <w:rPr>
          <w:spacing w:val="-2"/>
        </w:rPr>
        <w:t>无形资产是指本公司拥有或者控制的没有实物形态的可辨认非货币性资产，包括土地使用权、</w:t>
      </w:r>
    </w:p>
    <w:p>
      <w:pPr>
        <w:pStyle w:val="BodyText"/>
        <w:spacing w:line="261" w:lineRule="exact"/>
        <w:ind w:right="1205"/>
        <w:jc w:val="left"/>
      </w:pPr>
      <w:r>
        <w:rPr/>
        <w:t>电能表销售网络、生产经营权及管理软件。</w:t>
      </w:r>
    </w:p>
    <w:p>
      <w:pPr>
        <w:pStyle w:val="BodyText"/>
        <w:spacing w:line="357" w:lineRule="auto" w:before="133"/>
        <w:ind w:right="1431" w:firstLine="420"/>
        <w:jc w:val="both"/>
      </w:pPr>
      <w:r>
        <w:rPr>
          <w:spacing w:val="-2"/>
        </w:rPr>
        <w:t>无形资产按照成本进行初始计量。购入的无形资产，按实际支付的价款和相关支出作为实际成</w:t>
      </w:r>
      <w:r>
        <w:rPr>
          <w:w w:val="100"/>
        </w:rPr>
        <w:t> </w:t>
      </w:r>
      <w:r>
        <w:rPr>
          <w:spacing w:val="-2"/>
        </w:rPr>
        <w:t>本。投资者投入的无形资产，按投资合同或协议约定的价值确定实际成本，但合同或协议约定价值</w:t>
      </w:r>
      <w:r>
        <w:rPr>
          <w:spacing w:val="-33"/>
        </w:rPr>
        <w:t> </w:t>
      </w:r>
      <w:r>
        <w:rPr>
          <w:spacing w:val="-33"/>
        </w:rPr>
      </w:r>
      <w:r>
        <w:rPr/>
        <w:t>不公允的，按公允价值确定实际成本。</w:t>
      </w:r>
    </w:p>
    <w:p>
      <w:pPr>
        <w:pStyle w:val="BodyText"/>
        <w:spacing w:line="357" w:lineRule="auto" w:before="150"/>
        <w:ind w:right="1431" w:firstLine="420"/>
        <w:jc w:val="both"/>
      </w:pPr>
      <w:r>
        <w:rPr>
          <w:spacing w:val="-2"/>
        </w:rPr>
        <w:t>本公司在取得无形资产时分析判断其使用寿命，划分为使用寿命有限和使用寿命不确定的无形</w:t>
      </w:r>
      <w:r>
        <w:rPr>
          <w:w w:val="100"/>
        </w:rPr>
        <w:t> </w:t>
      </w:r>
      <w:r>
        <w:rPr/>
        <w:t>资产。</w:t>
      </w:r>
    </w:p>
    <w:p>
      <w:pPr>
        <w:pStyle w:val="BodyText"/>
        <w:spacing w:line="357" w:lineRule="auto" w:before="150"/>
        <w:ind w:right="1433" w:firstLine="420"/>
        <w:jc w:val="both"/>
      </w:pPr>
      <w:r>
        <w:rPr>
          <w:spacing w:val="-2"/>
        </w:rPr>
        <w:t>使用寿命有限的无形资产，在使用寿命内采用直线法摊销，并在年度终了，对无形资产的使用</w:t>
      </w:r>
      <w:r>
        <w:rPr>
          <w:w w:val="100"/>
        </w:rPr>
        <w:t> </w:t>
      </w:r>
      <w:r>
        <w:rPr>
          <w:spacing w:val="-2"/>
        </w:rPr>
        <w:t>寿命和摊销方法进行复核，如与原先估计数存在差异的，进行相应的调整。使用寿命有限的无形资</w:t>
      </w:r>
      <w:r>
        <w:rPr>
          <w:spacing w:val="-32"/>
        </w:rPr>
        <w:t> </w:t>
      </w:r>
      <w:r>
        <w:rPr>
          <w:spacing w:val="-32"/>
        </w:rPr>
      </w:r>
      <w:r>
        <w:rPr/>
        <w:t>产摊销方法如下：</w:t>
      </w:r>
    </w:p>
    <w:p>
      <w:pPr>
        <w:spacing w:line="240" w:lineRule="auto" w:before="1"/>
        <w:rPr>
          <w:rFonts w:ascii="宋体" w:hAnsi="宋体" w:cs="宋体" w:eastAsia="宋体"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2912"/>
        <w:gridCol w:w="1923"/>
        <w:gridCol w:w="2254"/>
        <w:gridCol w:w="1772"/>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7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Arial" w:hAnsi="Arial" w:cs="Arial" w:eastAsia="Arial" w:hint="default"/>
                <w:sz w:val="18"/>
                <w:szCs w:val="18"/>
              </w:rPr>
            </w:pPr>
            <w:r>
              <w:rPr>
                <w:rFonts w:ascii="Arial"/>
                <w:sz w:val="18"/>
              </w:rPr>
              <w:t>30-50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电能表销售网络</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Arial" w:hAnsi="Arial" w:cs="Arial" w:eastAsia="Arial" w:hint="default"/>
                <w:sz w:val="18"/>
                <w:szCs w:val="18"/>
              </w:rPr>
            </w:pPr>
            <w:r>
              <w:rPr>
                <w:rFonts w:ascii="Arial"/>
                <w:sz w:val="18"/>
              </w:rPr>
              <w:t>10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Arial" w:hAnsi="Arial" w:cs="Arial" w:eastAsia="Arial" w:hint="default"/>
                <w:sz w:val="18"/>
                <w:szCs w:val="18"/>
              </w:rPr>
            </w:pPr>
            <w:r>
              <w:rPr>
                <w:rFonts w:ascii="Arial"/>
                <w:sz w:val="18"/>
              </w:rPr>
              <w:t>5-10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Arial" w:hAnsi="Arial" w:cs="Arial" w:eastAsia="Arial" w:hint="default"/>
                <w:sz w:val="18"/>
                <w:szCs w:val="18"/>
              </w:rPr>
            </w:pPr>
            <w:r>
              <w:rPr>
                <w:rFonts w:ascii="Arial"/>
                <w:sz w:val="18"/>
              </w:rPr>
              <w:t>5-10</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right="1431" w:firstLine="420"/>
        <w:jc w:val="both"/>
      </w:pPr>
      <w:r>
        <w:rPr>
          <w:spacing w:val="-2"/>
        </w:rPr>
        <w:t>使用寿命不确定的无形资产不予摊销。本公司在每个会计期间对使用寿命不确定的无形资产的</w:t>
      </w:r>
      <w:r>
        <w:rPr>
          <w:w w:val="100"/>
        </w:rPr>
        <w:t> </w:t>
      </w:r>
      <w:r>
        <w:rPr>
          <w:spacing w:val="-2"/>
        </w:rPr>
        <w:t>使用寿命进行复核，当有确凿证据表明其使用寿命是有限的，则估计其使用寿命，按直线法进行摊</w:t>
      </w:r>
      <w:r>
        <w:rPr>
          <w:spacing w:val="-29"/>
        </w:rPr>
        <w:t> </w:t>
      </w:r>
      <w:r>
        <w:rPr>
          <w:spacing w:val="-29"/>
        </w:rPr>
      </w:r>
      <w:r>
        <w:rPr/>
        <w:t>销。使用寿命不确定的无形资产，无论是否存在减值迹象，每年都进行减值测试。</w:t>
      </w:r>
    </w:p>
    <w:p>
      <w:pPr>
        <w:pStyle w:val="BodyText"/>
        <w:spacing w:line="357" w:lineRule="auto" w:before="30"/>
        <w:ind w:right="1431" w:firstLine="420"/>
        <w:jc w:val="both"/>
      </w:pPr>
      <w:r>
        <w:rPr>
          <w:spacing w:val="-2"/>
        </w:rPr>
        <w:t>资产负债表日，本公司对无形资产按照其账面价值与可收回金额孰低计量，按单项资产可收回</w:t>
      </w:r>
      <w:r>
        <w:rPr>
          <w:w w:val="100"/>
        </w:rPr>
        <w:t> </w:t>
      </w:r>
      <w:r>
        <w:rPr>
          <w:spacing w:val="-2"/>
        </w:rPr>
        <w:t>金额低于账面价值的差额计提无形资产减值准备，相应的资产减值损失计入当期损益。无形资产减</w:t>
      </w:r>
    </w:p>
    <w:p>
      <w:pPr>
        <w:spacing w:after="0" w:line="357" w:lineRule="auto"/>
        <w:jc w:val="both"/>
        <w:sectPr>
          <w:pgSz w:w="11910" w:h="16840"/>
          <w:pgMar w:header="884" w:footer="1013" w:top="1080" w:bottom="1200" w:left="1300" w:right="0"/>
        </w:sectPr>
      </w:pPr>
    </w:p>
    <w:p>
      <w:pPr>
        <w:pStyle w:val="BodyText"/>
        <w:spacing w:line="240" w:lineRule="auto" w:before="30"/>
        <w:ind w:right="1205"/>
        <w:jc w:val="left"/>
      </w:pPr>
      <w:r>
        <w:rPr/>
        <w:pict>
          <v:group style="position:absolute;margin-left:70.584pt;margin-top:2.843696pt;width:436.3pt;height:.1pt;mso-position-horizontal-relative:page;mso-position-vertical-relative:paragraph;z-index:-636208" coordorigin="1412,57" coordsize="8726,2">
            <v:shape style="position:absolute;left:1412;top:57;width:8726;height:2" coordorigin="1412,57" coordsize="8726,0" path="m1412,57l10137,57e" filled="false" stroked="true" strokeweight=".72pt" strokecolor="#000000">
              <v:path arrowok="t"/>
            </v:shape>
            <w10:wrap type="none"/>
          </v:group>
        </w:pict>
      </w:r>
      <w:r>
        <w:rPr/>
        <w:t>值损失一经确认，在以后会计期间不再转回。</w:t>
      </w:r>
    </w:p>
    <w:p>
      <w:pPr>
        <w:spacing w:line="240" w:lineRule="auto" w:before="2"/>
        <w:rPr>
          <w:rFonts w:ascii="宋体" w:hAnsi="宋体" w:cs="宋体" w:eastAsia="宋体" w:hint="default"/>
          <w:sz w:val="24"/>
          <w:szCs w:val="24"/>
        </w:rPr>
      </w:pPr>
    </w:p>
    <w:p>
      <w:pPr>
        <w:pStyle w:val="BodyText"/>
        <w:spacing w:line="408" w:lineRule="auto"/>
        <w:ind w:left="560" w:right="1205"/>
        <w:jc w:val="left"/>
      </w:pPr>
      <w:r>
        <w:rPr>
          <w:rFonts w:ascii="宋体" w:hAnsi="宋体" w:cs="宋体" w:eastAsia="宋体" w:hint="default"/>
          <w:b/>
          <w:bCs/>
        </w:rPr>
        <w:t>（十八）</w:t>
      </w:r>
      <w:r>
        <w:rPr>
          <w:rFonts w:ascii="宋体" w:hAnsi="宋体" w:cs="宋体" w:eastAsia="宋体" w:hint="default"/>
          <w:b/>
          <w:bCs/>
          <w:spacing w:val="-66"/>
        </w:rPr>
        <w:t> </w:t>
      </w:r>
      <w:r>
        <w:rPr>
          <w:rFonts w:ascii="宋体" w:hAnsi="宋体" w:cs="宋体" w:eastAsia="宋体" w:hint="default"/>
          <w:b/>
          <w:bCs/>
        </w:rPr>
        <w:t>商誉</w:t>
      </w:r>
      <w:r>
        <w:rPr>
          <w:rFonts w:ascii="宋体" w:hAnsi="宋体" w:cs="宋体" w:eastAsia="宋体" w:hint="default"/>
          <w:b/>
          <w:bCs/>
          <w:w w:val="100"/>
        </w:rPr>
        <w:t> </w:t>
      </w:r>
      <w:r>
        <w:rPr>
          <w:spacing w:val="-2"/>
        </w:rPr>
        <w:t>商誉为非同一控制下企业合并成本超过应享有的被投资单位或被购买方可辨认净资产于取得</w:t>
      </w:r>
    </w:p>
    <w:p>
      <w:pPr>
        <w:pStyle w:val="BodyText"/>
        <w:spacing w:line="263" w:lineRule="exact"/>
        <w:ind w:right="1205"/>
        <w:jc w:val="left"/>
      </w:pPr>
      <w:r>
        <w:rPr/>
        <w:t>日或购买日的公允价值份额的差额。</w:t>
      </w:r>
    </w:p>
    <w:p>
      <w:pPr>
        <w:spacing w:line="240" w:lineRule="auto" w:before="5"/>
        <w:rPr>
          <w:rFonts w:ascii="宋体" w:hAnsi="宋体" w:cs="宋体" w:eastAsia="宋体" w:hint="default"/>
          <w:sz w:val="19"/>
          <w:szCs w:val="19"/>
        </w:rPr>
      </w:pPr>
    </w:p>
    <w:p>
      <w:pPr>
        <w:pStyle w:val="BodyText"/>
        <w:spacing w:line="357" w:lineRule="auto"/>
        <w:ind w:right="1431" w:firstLine="420"/>
        <w:jc w:val="both"/>
      </w:pPr>
      <w:r>
        <w:rPr>
          <w:spacing w:val="-2"/>
        </w:rPr>
        <w:t>与子公司有关的商誉在合并财务报表上单独列示，与联营企业和合营企业有关的商誉，包含在</w:t>
      </w:r>
      <w:r>
        <w:rPr>
          <w:w w:val="100"/>
        </w:rPr>
        <w:t> </w:t>
      </w:r>
      <w:r>
        <w:rPr/>
        <w:t>长期股权投资的账面价值中。</w:t>
      </w:r>
    </w:p>
    <w:p>
      <w:pPr>
        <w:pStyle w:val="BodyText"/>
        <w:spacing w:line="357" w:lineRule="auto" w:before="152"/>
        <w:ind w:right="1431" w:firstLine="420"/>
        <w:jc w:val="both"/>
      </w:pPr>
      <w:r>
        <w:rPr>
          <w:spacing w:val="-2"/>
        </w:rPr>
        <w:t>在财务报表中单独列示的商誉至少在每年年终进行减值测试。减值测试时，商誉的账面价值依</w:t>
      </w:r>
      <w:r>
        <w:rPr>
          <w:w w:val="100"/>
        </w:rPr>
        <w:t> </w:t>
      </w:r>
      <w:r>
        <w:rPr>
          <w:spacing w:val="2"/>
        </w:rPr>
        <w:t>据相关的资产组或者资产组组合能够从企业合并的协同效应中受益的情况分摊至受益的资产组或</w:t>
      </w:r>
      <w:r>
        <w:rPr>
          <w:spacing w:val="-6"/>
        </w:rPr>
        <w:t> </w:t>
      </w:r>
      <w:r>
        <w:rPr>
          <w:spacing w:val="-6"/>
        </w:rPr>
      </w:r>
      <w:r>
        <w:rPr/>
        <w:t>资产组组合。</w:t>
      </w:r>
    </w:p>
    <w:p>
      <w:pPr>
        <w:pStyle w:val="Heading4"/>
        <w:spacing w:line="240" w:lineRule="auto" w:before="93"/>
        <w:ind w:right="1205"/>
        <w:jc w:val="left"/>
        <w:rPr>
          <w:b w:val="0"/>
          <w:bCs w:val="0"/>
        </w:rPr>
      </w:pPr>
      <w:r>
        <w:rPr/>
        <w:t>（十九）</w:t>
      </w:r>
      <w:r>
        <w:rPr>
          <w:spacing w:val="-69"/>
        </w:rPr>
        <w:t> </w:t>
      </w:r>
      <w:r>
        <w:rPr/>
        <w:t>长期待摊费用</w:t>
      </w:r>
      <w:r>
        <w:rPr>
          <w:b w:val="0"/>
          <w:bCs w:val="0"/>
        </w:rPr>
      </w:r>
    </w:p>
    <w:p>
      <w:pPr>
        <w:spacing w:line="240" w:lineRule="auto" w:before="7"/>
        <w:rPr>
          <w:rFonts w:ascii="宋体" w:hAnsi="宋体" w:cs="宋体" w:eastAsia="宋体" w:hint="default"/>
          <w:b/>
          <w:bCs/>
          <w:sz w:val="19"/>
          <w:szCs w:val="19"/>
        </w:rPr>
      </w:pPr>
    </w:p>
    <w:p>
      <w:pPr>
        <w:pStyle w:val="BodyText"/>
        <w:spacing w:line="297" w:lineRule="auto"/>
        <w:ind w:right="1431" w:firstLine="420"/>
        <w:jc w:val="both"/>
      </w:pPr>
      <w:r>
        <w:rPr>
          <w:spacing w:val="-2"/>
        </w:rPr>
        <w:t>本公司长期待摊费用是指已经支出，但受益期限在一年以上（不含一年）的各项费用，包括土</w:t>
      </w:r>
      <w:r>
        <w:rPr>
          <w:w w:val="100"/>
        </w:rPr>
        <w:t> </w:t>
      </w:r>
      <w:r>
        <w:rPr/>
        <w:t>地租赁费，其摊销方法如下：</w:t>
      </w:r>
    </w:p>
    <w:p>
      <w:pPr>
        <w:spacing w:line="240" w:lineRule="auto" w:before="5"/>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2225"/>
        <w:gridCol w:w="2211"/>
        <w:gridCol w:w="2213"/>
        <w:gridCol w:w="2211"/>
      </w:tblGrid>
      <w:tr>
        <w:trPr>
          <w:trHeight w:val="362"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2"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土地租赁费</w:t>
            </w:r>
          </w:p>
        </w:tc>
        <w:tc>
          <w:tcPr>
            <w:tcW w:w="221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1"/>
              <w:jc w:val="center"/>
              <w:rPr>
                <w:rFonts w:ascii="Arial" w:hAnsi="Arial" w:cs="Arial" w:eastAsia="Arial" w:hint="default"/>
                <w:sz w:val="21"/>
                <w:szCs w:val="21"/>
              </w:rPr>
            </w:pPr>
            <w:r>
              <w:rPr>
                <w:rFonts w:ascii="Arial"/>
                <w:sz w:val="21"/>
              </w:rPr>
              <w:t>10-21</w:t>
            </w:r>
          </w:p>
        </w:tc>
        <w:tc>
          <w:tcPr>
            <w:tcW w:w="2211" w:type="dxa"/>
            <w:tcBorders>
              <w:top w:val="single" w:sz="6" w:space="0" w:color="000000"/>
              <w:left w:val="single" w:sz="6" w:space="0" w:color="000000"/>
              <w:bottom w:val="single" w:sz="12" w:space="0" w:color="000000"/>
              <w:right w:val="nil" w:sz="6" w:space="0" w:color="auto"/>
            </w:tcBorders>
          </w:tcPr>
          <w:p>
            <w:pPr/>
          </w:p>
        </w:tc>
      </w:tr>
    </w:tbl>
    <w:p>
      <w:pPr>
        <w:pStyle w:val="BodyText"/>
        <w:spacing w:line="410" w:lineRule="auto" w:before="86"/>
        <w:ind w:left="560" w:right="1205"/>
        <w:jc w:val="left"/>
      </w:pPr>
      <w:r>
        <w:rPr>
          <w:rFonts w:ascii="宋体" w:hAnsi="宋体" w:cs="宋体" w:eastAsia="宋体" w:hint="default"/>
          <w:b/>
          <w:bCs/>
        </w:rPr>
        <w:t>（二十）</w:t>
      </w:r>
      <w:r>
        <w:rPr>
          <w:rFonts w:ascii="宋体" w:hAnsi="宋体" w:cs="宋体" w:eastAsia="宋体" w:hint="default"/>
          <w:b/>
          <w:bCs/>
          <w:spacing w:val="-80"/>
        </w:rPr>
        <w:t> </w:t>
      </w:r>
      <w:r>
        <w:rPr>
          <w:rFonts w:ascii="宋体" w:hAnsi="宋体" w:cs="宋体" w:eastAsia="宋体" w:hint="default"/>
          <w:b/>
          <w:bCs/>
        </w:rPr>
        <w:t>预计负债</w:t>
      </w:r>
      <w:r>
        <w:rPr>
          <w:rFonts w:ascii="宋体" w:hAnsi="宋体" w:cs="宋体" w:eastAsia="宋体" w:hint="default"/>
          <w:b/>
          <w:bCs/>
          <w:w w:val="100"/>
        </w:rPr>
        <w:t> </w:t>
      </w:r>
      <w:r>
        <w:rPr>
          <w:spacing w:val="-2"/>
        </w:rPr>
        <w:t>本公司发生与或有事项相关的义务并同时符合以下条件时，在资产负债表中确认为预计负债：</w:t>
      </w:r>
    </w:p>
    <w:p>
      <w:pPr>
        <w:pStyle w:val="BodyText"/>
        <w:spacing w:line="274" w:lineRule="exact"/>
        <w:ind w:right="1205"/>
        <w:jc w:val="left"/>
      </w:pPr>
      <w:r>
        <w:rPr/>
        <w:t>（</w:t>
      </w:r>
      <w:r>
        <w:rPr>
          <w:rFonts w:ascii="Arial" w:hAnsi="Arial" w:cs="Arial" w:eastAsia="Arial" w:hint="default"/>
        </w:rPr>
        <w:t>1</w:t>
      </w:r>
      <w:r>
        <w:rPr/>
        <w:t>）该义务是本公司承担的现时义务；（</w:t>
      </w:r>
      <w:r>
        <w:rPr>
          <w:rFonts w:ascii="Arial" w:hAnsi="Arial" w:cs="Arial" w:eastAsia="Arial" w:hint="default"/>
        </w:rPr>
        <w:t>2</w:t>
      </w:r>
      <w:r>
        <w:rPr/>
        <w:t>）该义务的履行很可能导致经济利益流出公司；（</w:t>
      </w:r>
      <w:r>
        <w:rPr>
          <w:rFonts w:ascii="Arial" w:hAnsi="Arial" w:cs="Arial" w:eastAsia="Arial" w:hint="default"/>
        </w:rPr>
        <w:t>3</w:t>
      </w:r>
      <w:r>
        <w:rPr/>
        <w:t>）</w:t>
      </w:r>
    </w:p>
    <w:p>
      <w:pPr>
        <w:pStyle w:val="BodyText"/>
        <w:spacing w:line="240" w:lineRule="auto" w:before="121"/>
        <w:ind w:right="1205"/>
        <w:jc w:val="left"/>
      </w:pPr>
      <w:r>
        <w:rPr/>
        <w:t>该义务的金额能够可靠地计量。</w:t>
      </w:r>
    </w:p>
    <w:p>
      <w:pPr>
        <w:spacing w:line="240" w:lineRule="auto" w:before="7"/>
        <w:rPr>
          <w:rFonts w:ascii="宋体" w:hAnsi="宋体" w:cs="宋体" w:eastAsia="宋体" w:hint="default"/>
          <w:sz w:val="19"/>
          <w:szCs w:val="19"/>
        </w:rPr>
      </w:pPr>
    </w:p>
    <w:p>
      <w:pPr>
        <w:pStyle w:val="BodyText"/>
        <w:spacing w:line="357" w:lineRule="auto"/>
        <w:ind w:right="1431" w:firstLine="420"/>
        <w:jc w:val="both"/>
      </w:pPr>
      <w:r>
        <w:rPr>
          <w:spacing w:val="-2"/>
        </w:rPr>
        <w:t>预计负债按照履行相关现时义务所需支出的最佳估计数进行初始计量，并综合考虑与或有事项</w:t>
      </w:r>
      <w:r>
        <w:rPr>
          <w:w w:val="100"/>
        </w:rPr>
        <w:t> </w:t>
      </w:r>
      <w:r>
        <w:rPr>
          <w:spacing w:val="-2"/>
        </w:rPr>
        <w:t>有关的风险、不确定性和货币时间价值等因素。货币时间价值影响重大的，通过对相关未来现金流</w:t>
      </w:r>
      <w:r>
        <w:rPr>
          <w:spacing w:val="-32"/>
        </w:rPr>
        <w:t> </w:t>
      </w:r>
      <w:r>
        <w:rPr>
          <w:spacing w:val="-32"/>
        </w:rPr>
      </w:r>
      <w:r>
        <w:rPr>
          <w:spacing w:val="-2"/>
        </w:rPr>
        <w:t>出进行折现后确定最佳估计数。本公司于资产负债表日对预计负债的账面价值进行复核，并对账面</w:t>
      </w:r>
      <w:r>
        <w:rPr>
          <w:spacing w:val="-30"/>
        </w:rPr>
        <w:t> </w:t>
      </w:r>
      <w:r>
        <w:rPr>
          <w:spacing w:val="-30"/>
        </w:rPr>
      </w:r>
      <w:r>
        <w:rPr/>
        <w:t>价值进行调整以反映当前最佳估计数。</w:t>
      </w:r>
    </w:p>
    <w:p>
      <w:pPr>
        <w:spacing w:line="240" w:lineRule="auto" w:before="3"/>
        <w:rPr>
          <w:rFonts w:ascii="宋体" w:hAnsi="宋体" w:cs="宋体" w:eastAsia="宋体" w:hint="default"/>
          <w:sz w:val="16"/>
          <w:szCs w:val="16"/>
        </w:rPr>
      </w:pPr>
    </w:p>
    <w:p>
      <w:pPr>
        <w:pStyle w:val="Heading4"/>
        <w:spacing w:line="240" w:lineRule="auto"/>
        <w:ind w:right="1205"/>
        <w:jc w:val="left"/>
        <w:rPr>
          <w:b w:val="0"/>
          <w:bCs w:val="0"/>
        </w:rPr>
      </w:pPr>
      <w:r>
        <w:rPr/>
        <w:t>（二十一）</w:t>
      </w:r>
      <w:r>
        <w:rPr>
          <w:spacing w:val="-83"/>
        </w:rPr>
        <w:t> </w:t>
      </w:r>
      <w:r>
        <w:rPr/>
        <w:t>收入</w:t>
      </w:r>
      <w:r>
        <w:rPr>
          <w:b w:val="0"/>
          <w:bCs w:val="0"/>
        </w:rPr>
      </w:r>
    </w:p>
    <w:p>
      <w:pPr>
        <w:spacing w:line="240" w:lineRule="auto" w:before="7"/>
        <w:rPr>
          <w:rFonts w:ascii="宋体" w:hAnsi="宋体" w:cs="宋体" w:eastAsia="宋体" w:hint="default"/>
          <w:b/>
          <w:bCs/>
          <w:sz w:val="19"/>
          <w:szCs w:val="19"/>
        </w:rPr>
      </w:pPr>
    </w:p>
    <w:p>
      <w:pPr>
        <w:pStyle w:val="BodyText"/>
        <w:spacing w:line="388" w:lineRule="auto"/>
        <w:ind w:left="560" w:right="1205"/>
        <w:jc w:val="left"/>
      </w:pPr>
      <w:r>
        <w:rPr>
          <w:rFonts w:ascii="Arial" w:hAnsi="Arial" w:cs="Arial" w:eastAsia="Arial" w:hint="default"/>
          <w:b/>
          <w:bCs/>
        </w:rPr>
        <w:t>1.</w:t>
      </w:r>
      <w:r>
        <w:rPr>
          <w:rFonts w:ascii="Arial" w:hAnsi="Arial" w:cs="Arial" w:eastAsia="Arial" w:hint="default"/>
          <w:b/>
          <w:bCs/>
          <w:spacing w:val="45"/>
        </w:rPr>
        <w:t> </w:t>
      </w:r>
      <w:r>
        <w:rPr>
          <w:rFonts w:ascii="宋体" w:hAnsi="宋体" w:cs="宋体" w:eastAsia="宋体" w:hint="default"/>
          <w:b/>
          <w:bCs/>
        </w:rPr>
        <w:t>销售商品</w:t>
      </w:r>
      <w:r>
        <w:rPr>
          <w:rFonts w:ascii="宋体" w:hAnsi="宋体" w:cs="宋体" w:eastAsia="宋体" w:hint="default"/>
          <w:b/>
          <w:bCs/>
          <w:w w:val="100"/>
        </w:rPr>
        <w:t> </w:t>
      </w:r>
      <w:r>
        <w:rPr>
          <w:spacing w:val="-2"/>
        </w:rPr>
        <w:t>本公司销售的商品在同时满足下列条件时，按从购货方已收或应收的合同或协议价款的金额确</w:t>
      </w:r>
    </w:p>
    <w:p>
      <w:pPr>
        <w:pStyle w:val="BodyText"/>
        <w:spacing w:line="338" w:lineRule="auto" w:before="6"/>
        <w:ind w:right="1205"/>
        <w:jc w:val="left"/>
      </w:pPr>
      <w:r>
        <w:rPr>
          <w:spacing w:val="-3"/>
        </w:rPr>
        <w:t>认销售商品收入：（</w:t>
      </w:r>
      <w:r>
        <w:rPr>
          <w:rFonts w:ascii="Arial" w:hAnsi="Arial" w:cs="Arial" w:eastAsia="Arial" w:hint="default"/>
          <w:spacing w:val="-3"/>
        </w:rPr>
        <w:t>1</w:t>
      </w:r>
      <w:r>
        <w:rPr>
          <w:spacing w:val="-3"/>
        </w:rPr>
        <w:t>）已将商品所有权上的主要风险和报酬转移给购货方；（</w:t>
      </w:r>
      <w:r>
        <w:rPr>
          <w:rFonts w:ascii="Arial" w:hAnsi="Arial" w:cs="Arial" w:eastAsia="Arial" w:hint="default"/>
          <w:spacing w:val="-3"/>
        </w:rPr>
        <w:t>2</w:t>
      </w:r>
      <w:r>
        <w:rPr>
          <w:spacing w:val="-3"/>
        </w:rPr>
        <w:t>）既没有保留通常</w:t>
      </w:r>
      <w:r>
        <w:rPr>
          <w:spacing w:val="-12"/>
        </w:rPr>
        <w:t> </w:t>
      </w:r>
      <w:r>
        <w:rPr>
          <w:spacing w:val="-12"/>
        </w:rPr>
      </w:r>
      <w:r>
        <w:rPr/>
        <w:t>与所有权相联系的继续管理权，也没有对已售出的商品实施有效控制；（</w:t>
      </w:r>
      <w:r>
        <w:rPr>
          <w:rFonts w:ascii="Arial" w:hAnsi="Arial" w:cs="Arial" w:eastAsia="Arial" w:hint="default"/>
        </w:rPr>
        <w:t>3</w:t>
      </w:r>
      <w:r>
        <w:rPr/>
        <w:t>）收入的金额能够可靠</w:t>
      </w:r>
      <w:r>
        <w:rPr>
          <w:w w:val="100"/>
        </w:rPr>
        <w:t> </w:t>
      </w:r>
      <w:r>
        <w:rPr>
          <w:spacing w:val="-3"/>
        </w:rPr>
        <w:t>地计量；（</w:t>
      </w:r>
      <w:r>
        <w:rPr>
          <w:rFonts w:ascii="Arial" w:hAnsi="Arial" w:cs="Arial" w:eastAsia="Arial" w:hint="default"/>
          <w:spacing w:val="-3"/>
        </w:rPr>
        <w:t>4</w:t>
      </w:r>
      <w:r>
        <w:rPr>
          <w:spacing w:val="-3"/>
        </w:rPr>
        <w:t>）相关的经济利益很可能流入公司；（</w:t>
      </w:r>
      <w:r>
        <w:rPr>
          <w:rFonts w:ascii="Arial" w:hAnsi="Arial" w:cs="Arial" w:eastAsia="Arial" w:hint="default"/>
          <w:spacing w:val="-3"/>
        </w:rPr>
        <w:t>5</w:t>
      </w:r>
      <w:r>
        <w:rPr>
          <w:spacing w:val="-3"/>
        </w:rPr>
        <w:t>）相关的已发生或将发生的成本能够可靠地计</w:t>
      </w:r>
      <w:r>
        <w:rPr>
          <w:spacing w:val="-13"/>
        </w:rPr>
        <w:t> </w:t>
      </w:r>
      <w:r>
        <w:rPr>
          <w:spacing w:val="-13"/>
        </w:rPr>
      </w:r>
      <w:r>
        <w:rPr/>
        <w:t>量。</w:t>
      </w:r>
    </w:p>
    <w:p>
      <w:pPr>
        <w:pStyle w:val="BodyText"/>
        <w:spacing w:line="357" w:lineRule="auto" w:before="167"/>
        <w:ind w:right="1431" w:firstLine="420"/>
        <w:jc w:val="both"/>
      </w:pPr>
      <w:r>
        <w:rPr>
          <w:spacing w:val="-2"/>
        </w:rPr>
        <w:t>合同或协议价款的收取采用递延方式，实质上具有融资性质的，按照应收的合同或协议价款的</w:t>
      </w:r>
      <w:r>
        <w:rPr>
          <w:w w:val="100"/>
        </w:rPr>
        <w:t> </w:t>
      </w:r>
      <w:r>
        <w:rPr/>
        <w:t>公允价值确定销售商品收入金额。</w:t>
      </w:r>
    </w:p>
    <w:p>
      <w:pPr>
        <w:spacing w:after="0" w:line="357" w:lineRule="auto"/>
        <w:jc w:val="both"/>
        <w:sectPr>
          <w:pgSz w:w="11910" w:h="16840"/>
          <w:pgMar w:header="884" w:footer="1013" w:top="1080" w:bottom="1200" w:left="1300" w:right="0"/>
        </w:sectPr>
      </w:pPr>
    </w:p>
    <w:p>
      <w:pPr>
        <w:pStyle w:val="BodyText"/>
        <w:spacing w:line="388" w:lineRule="auto" w:before="30"/>
        <w:ind w:left="560" w:right="1205"/>
        <w:jc w:val="left"/>
      </w:pPr>
      <w:r>
        <w:rPr/>
        <w:pict>
          <v:group style="position:absolute;margin-left:70.584pt;margin-top:2.843696pt;width:436.3pt;height:.1pt;mso-position-horizontal-relative:page;mso-position-vertical-relative:paragraph;z-index:-636184" coordorigin="1412,57" coordsize="8726,2">
            <v:shape style="position:absolute;left:1412;top:57;width:8726;height:2" coordorigin="1412,57" coordsize="8726,0" path="m1412,57l10137,57e" filled="false" stroked="true" strokeweight=".72pt" strokecolor="#000000">
              <v:path arrowok="t"/>
            </v:shape>
            <w10:wrap type="none"/>
          </v:group>
        </w:pict>
      </w:r>
      <w:r>
        <w:rPr>
          <w:rFonts w:ascii="Arial" w:hAnsi="Arial" w:cs="Arial" w:eastAsia="Arial" w:hint="default"/>
          <w:b/>
          <w:bCs/>
        </w:rPr>
        <w:t>2.</w:t>
      </w:r>
      <w:r>
        <w:rPr>
          <w:rFonts w:ascii="Arial" w:hAnsi="Arial" w:cs="Arial" w:eastAsia="Arial" w:hint="default"/>
          <w:b/>
          <w:bCs/>
          <w:spacing w:val="45"/>
        </w:rPr>
        <w:t> </w:t>
      </w:r>
      <w:r>
        <w:rPr>
          <w:rFonts w:ascii="宋体" w:hAnsi="宋体" w:cs="宋体" w:eastAsia="宋体" w:hint="default"/>
          <w:b/>
          <w:bCs/>
        </w:rPr>
        <w:t>提供劳务</w:t>
      </w:r>
      <w:r>
        <w:rPr>
          <w:rFonts w:ascii="宋体" w:hAnsi="宋体" w:cs="宋体" w:eastAsia="宋体" w:hint="default"/>
          <w:b/>
          <w:bCs/>
          <w:w w:val="100"/>
        </w:rPr>
        <w:t> </w:t>
      </w:r>
      <w:r>
        <w:rPr>
          <w:spacing w:val="-2"/>
        </w:rPr>
        <w:t>在同一会计年度内开始并完成的劳务，在完成劳务时确认收入；如果劳务的开始和完成分属不</w:t>
      </w:r>
    </w:p>
    <w:p>
      <w:pPr>
        <w:pStyle w:val="BodyText"/>
        <w:spacing w:line="357" w:lineRule="auto" w:before="3"/>
        <w:ind w:right="1205"/>
        <w:jc w:val="left"/>
      </w:pPr>
      <w:r>
        <w:rPr>
          <w:spacing w:val="-2"/>
        </w:rPr>
        <w:t>同的会计年度，在资产负债表日提供劳务交易的结果能够可靠估计的，采用完工百分比法确认提供</w:t>
      </w:r>
      <w:r>
        <w:rPr>
          <w:spacing w:val="-29"/>
        </w:rPr>
        <w:t> </w:t>
      </w:r>
      <w:r>
        <w:rPr>
          <w:spacing w:val="-29"/>
        </w:rPr>
      </w:r>
      <w:r>
        <w:rPr/>
        <w:t>劳务收入。</w:t>
      </w:r>
    </w:p>
    <w:p>
      <w:pPr>
        <w:pStyle w:val="BodyText"/>
        <w:spacing w:line="240" w:lineRule="auto" w:before="30"/>
        <w:ind w:left="560" w:right="1205"/>
        <w:jc w:val="left"/>
      </w:pPr>
      <w:r>
        <w:rPr/>
        <w:t>在资产负债表日提供劳务交易结果不能够可靠估计的，分别下列情况处理：</w:t>
      </w:r>
    </w:p>
    <w:p>
      <w:pPr>
        <w:spacing w:line="240" w:lineRule="auto" w:before="7"/>
        <w:rPr>
          <w:rFonts w:ascii="宋体" w:hAnsi="宋体" w:cs="宋体" w:eastAsia="宋体" w:hint="default"/>
          <w:sz w:val="19"/>
          <w:szCs w:val="19"/>
        </w:rPr>
      </w:pPr>
    </w:p>
    <w:p>
      <w:pPr>
        <w:pStyle w:val="BodyText"/>
        <w:spacing w:line="340" w:lineRule="auto"/>
        <w:ind w:right="1496" w:firstLine="420"/>
        <w:jc w:val="both"/>
      </w:pPr>
      <w:r>
        <w:rPr>
          <w:rFonts w:ascii="Arial" w:hAnsi="Arial" w:cs="Arial" w:eastAsia="Arial" w:hint="default"/>
          <w:spacing w:val="-2"/>
        </w:rPr>
        <w:t>A</w:t>
      </w:r>
      <w:r>
        <w:rPr>
          <w:spacing w:val="-2"/>
        </w:rPr>
        <w:t>、已经发生的劳务成本预计能够得到补偿的，按照已经发生的劳务成本金额确认提供劳务收</w:t>
      </w:r>
      <w:r>
        <w:rPr>
          <w:w w:val="100"/>
        </w:rPr>
        <w:t> </w:t>
      </w:r>
      <w:r>
        <w:rPr/>
        <w:t>入，并按相同金额结转劳务成本。</w:t>
      </w:r>
    </w:p>
    <w:p>
      <w:pPr>
        <w:pStyle w:val="BodyText"/>
        <w:spacing w:line="340" w:lineRule="auto" w:before="165"/>
        <w:ind w:right="1496" w:firstLine="420"/>
        <w:jc w:val="both"/>
      </w:pPr>
      <w:r>
        <w:rPr>
          <w:rFonts w:ascii="Arial" w:hAnsi="Arial" w:cs="Arial" w:eastAsia="Arial" w:hint="default"/>
          <w:spacing w:val="-2"/>
        </w:rPr>
        <w:t>B</w:t>
      </w:r>
      <w:r>
        <w:rPr>
          <w:spacing w:val="-2"/>
        </w:rPr>
        <w:t>、已经发生的劳务成本预计不能够得到补偿的，将已经发生的劳务成本计入当期损益，不确</w:t>
      </w:r>
      <w:r>
        <w:rPr>
          <w:w w:val="100"/>
        </w:rPr>
        <w:t> </w:t>
      </w:r>
      <w:r>
        <w:rPr/>
        <w:t>认提供劳务收入。</w:t>
      </w:r>
    </w:p>
    <w:p>
      <w:pPr>
        <w:pStyle w:val="BodyText"/>
        <w:spacing w:line="357" w:lineRule="auto" w:before="168"/>
        <w:ind w:right="1431" w:firstLine="420"/>
        <w:jc w:val="both"/>
      </w:pPr>
      <w:r>
        <w:rPr>
          <w:spacing w:val="-2"/>
        </w:rPr>
        <w:t>本公司与其他企业签订的合同或协议包括销售商品和提供劳务时，销售商品部分和提供劳务部</w:t>
      </w:r>
      <w:r>
        <w:rPr>
          <w:w w:val="100"/>
        </w:rPr>
        <w:t> </w:t>
      </w:r>
      <w:r>
        <w:rPr>
          <w:spacing w:val="-2"/>
        </w:rPr>
        <w:t>分能够区分且能够单独计量的，将销售商品的部分作为销售商品处理，将提供劳务的部分作为提供</w:t>
      </w:r>
      <w:r>
        <w:rPr>
          <w:spacing w:val="-29"/>
        </w:rPr>
        <w:t> </w:t>
      </w:r>
      <w:r>
        <w:rPr>
          <w:spacing w:val="-29"/>
        </w:rPr>
      </w:r>
      <w:r>
        <w:rPr>
          <w:spacing w:val="-2"/>
        </w:rPr>
        <w:t>劳务处理。销售商品部分和提供劳务部分不能够区分，或虽能区分但不能够单独计量的，将销售商</w:t>
      </w:r>
      <w:r>
        <w:rPr>
          <w:spacing w:val="-30"/>
        </w:rPr>
        <w:t> </w:t>
      </w:r>
      <w:r>
        <w:rPr>
          <w:spacing w:val="-30"/>
        </w:rPr>
      </w:r>
      <w:r>
        <w:rPr/>
        <w:t>品部分和提供劳务部分全部作为销售商品处理。</w:t>
      </w:r>
    </w:p>
    <w:p>
      <w:pPr>
        <w:spacing w:line="240" w:lineRule="auto" w:before="3"/>
        <w:rPr>
          <w:rFonts w:ascii="宋体" w:hAnsi="宋体" w:cs="宋体" w:eastAsia="宋体" w:hint="default"/>
          <w:sz w:val="16"/>
          <w:szCs w:val="16"/>
        </w:rPr>
      </w:pPr>
    </w:p>
    <w:p>
      <w:pPr>
        <w:spacing w:line="391" w:lineRule="auto"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本公司在与让渡资产使用权相关的经济利益能够流入和收入的金额能够可靠的计量时确认让</w:t>
      </w:r>
    </w:p>
    <w:p>
      <w:pPr>
        <w:pStyle w:val="BodyText"/>
        <w:spacing w:line="249" w:lineRule="exact"/>
        <w:ind w:right="1205"/>
        <w:jc w:val="left"/>
      </w:pPr>
      <w:r>
        <w:rPr/>
        <w:t>渡资产使用权收入。</w:t>
      </w:r>
    </w:p>
    <w:p>
      <w:pPr>
        <w:spacing w:line="240" w:lineRule="auto" w:before="4"/>
        <w:rPr>
          <w:rFonts w:ascii="宋体" w:hAnsi="宋体" w:cs="宋体" w:eastAsia="宋体" w:hint="default"/>
          <w:sz w:val="17"/>
          <w:szCs w:val="17"/>
        </w:rPr>
      </w:pPr>
    </w:p>
    <w:p>
      <w:pPr>
        <w:pStyle w:val="BodyText"/>
        <w:spacing w:line="333" w:lineRule="auto"/>
        <w:ind w:right="1431" w:firstLine="420"/>
        <w:jc w:val="both"/>
      </w:pPr>
      <w:r>
        <w:rPr>
          <w:spacing w:val="-2"/>
        </w:rPr>
        <w:t>利息收入按使用货币资金的使用时间和适用利率计算确定。使用费收入金额，按照有关合同或</w:t>
      </w:r>
      <w:r>
        <w:rPr>
          <w:w w:val="100"/>
        </w:rPr>
        <w:t> </w:t>
      </w:r>
      <w:r>
        <w:rPr/>
        <w:t>协议约定的收费时间和方法计算确定。</w:t>
      </w:r>
    </w:p>
    <w:p>
      <w:pPr>
        <w:spacing w:line="240" w:lineRule="auto" w:before="9"/>
        <w:rPr>
          <w:rFonts w:ascii="宋体" w:hAnsi="宋体" w:cs="宋体" w:eastAsia="宋体" w:hint="default"/>
          <w:sz w:val="15"/>
          <w:szCs w:val="15"/>
        </w:rPr>
      </w:pPr>
    </w:p>
    <w:p>
      <w:pPr>
        <w:spacing w:line="410" w:lineRule="auto" w:before="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82"/>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政府补助，是指本公司从政府无偿取得货币性资产或非货币性资产，但不包括政府作为企业所</w:t>
      </w:r>
    </w:p>
    <w:p>
      <w:pPr>
        <w:pStyle w:val="BodyText"/>
        <w:spacing w:line="235" w:lineRule="exact"/>
        <w:ind w:right="1205"/>
        <w:jc w:val="left"/>
      </w:pPr>
      <w:r>
        <w:rPr/>
        <w:t>有者投入的资本。</w:t>
      </w:r>
    </w:p>
    <w:p>
      <w:pPr>
        <w:spacing w:line="240" w:lineRule="auto" w:before="4"/>
        <w:rPr>
          <w:rFonts w:ascii="宋体" w:hAnsi="宋体" w:cs="宋体" w:eastAsia="宋体" w:hint="default"/>
          <w:sz w:val="17"/>
          <w:szCs w:val="17"/>
        </w:rPr>
      </w:pPr>
    </w:p>
    <w:p>
      <w:pPr>
        <w:pStyle w:val="BodyText"/>
        <w:spacing w:line="333" w:lineRule="auto"/>
        <w:ind w:right="1433" w:firstLine="420"/>
        <w:jc w:val="both"/>
      </w:pPr>
      <w:r>
        <w:rPr>
          <w:spacing w:val="-2"/>
        </w:rPr>
        <w:t>政府补助为货币性资产的，按照收到或应收的金额计量；政府补助为非货币性资产的，按照公</w:t>
      </w:r>
      <w:r>
        <w:rPr>
          <w:w w:val="100"/>
        </w:rPr>
        <w:t> </w:t>
      </w:r>
      <w:r>
        <w:rPr/>
        <w:t>允价值计量；公允价值不能可靠取得的，按照名义金额（人民币</w:t>
      </w:r>
      <w:r>
        <w:rPr>
          <w:spacing w:val="-58"/>
        </w:rPr>
        <w:t> </w:t>
      </w:r>
      <w:r>
        <w:rPr>
          <w:rFonts w:ascii="Arial" w:hAnsi="Arial" w:cs="Arial" w:eastAsia="Arial" w:hint="default"/>
        </w:rPr>
        <w:t>1</w:t>
      </w:r>
      <w:r>
        <w:rPr>
          <w:rFonts w:ascii="Arial" w:hAnsi="Arial" w:cs="Arial" w:eastAsia="Arial" w:hint="default"/>
          <w:spacing w:val="-9"/>
        </w:rPr>
        <w:t> </w:t>
      </w:r>
      <w:r>
        <w:rPr/>
        <w:t>元）计量。</w:t>
      </w:r>
    </w:p>
    <w:p>
      <w:pPr>
        <w:pStyle w:val="BodyText"/>
        <w:spacing w:line="336" w:lineRule="auto" w:before="120"/>
        <w:ind w:right="1434" w:firstLine="420"/>
        <w:jc w:val="both"/>
      </w:pPr>
      <w:r>
        <w:rPr>
          <w:spacing w:val="-2"/>
        </w:rPr>
        <w:t>与资产相关的政府补助，本公司确认为递延收益，并在相关资产使用寿命内平均分配，计入当</w:t>
      </w:r>
      <w:r>
        <w:rPr>
          <w:w w:val="100"/>
        </w:rPr>
        <w:t> </w:t>
      </w:r>
      <w:r>
        <w:rPr/>
        <w:t>期损益。但是，按照名义金额计量的政府补助，直接计入当期损益。</w:t>
      </w:r>
    </w:p>
    <w:p>
      <w:pPr>
        <w:pStyle w:val="BodyText"/>
        <w:spacing w:line="333" w:lineRule="auto" w:before="143"/>
        <w:ind w:right="1431" w:firstLine="420"/>
        <w:jc w:val="both"/>
      </w:pPr>
      <w:r>
        <w:rPr>
          <w:spacing w:val="-2"/>
        </w:rPr>
        <w:t>与收益相关的政府补助，用于补偿本公司以后期间的相关费用或损失的，确认为递延收益，并</w:t>
      </w:r>
      <w:r>
        <w:rPr>
          <w:w w:val="100"/>
        </w:rPr>
        <w:t> </w:t>
      </w:r>
      <w:r>
        <w:rPr>
          <w:spacing w:val="-2"/>
        </w:rPr>
        <w:t>在确认相关费用的期间，计入当期损益；用于补偿本公司已发生的相关费用或损失的，直接计入当</w:t>
      </w:r>
      <w:r>
        <w:rPr>
          <w:spacing w:val="-28"/>
        </w:rPr>
        <w:t> </w:t>
      </w:r>
      <w:r>
        <w:rPr>
          <w:spacing w:val="-28"/>
        </w:rPr>
      </w:r>
      <w:r>
        <w:rPr/>
        <w:t>期损益。</w:t>
      </w:r>
    </w:p>
    <w:p>
      <w:pPr>
        <w:spacing w:line="240" w:lineRule="auto" w:before="9"/>
        <w:rPr>
          <w:rFonts w:ascii="宋体" w:hAnsi="宋体" w:cs="宋体" w:eastAsia="宋体" w:hint="default"/>
          <w:sz w:val="15"/>
          <w:szCs w:val="15"/>
        </w:rPr>
      </w:pPr>
    </w:p>
    <w:p>
      <w:pPr>
        <w:pStyle w:val="BodyText"/>
        <w:spacing w:line="355" w:lineRule="auto"/>
        <w:ind w:right="1433" w:firstLine="420"/>
        <w:jc w:val="both"/>
      </w:pPr>
      <w:r>
        <w:rPr>
          <w:spacing w:val="-2"/>
        </w:rPr>
        <w:t>已确认的政府补助需要返还的，存在相关递延收益的，冲减相关递延收益账面余额，超出部分</w:t>
      </w:r>
      <w:r>
        <w:rPr>
          <w:w w:val="100"/>
        </w:rPr>
        <w:t> </w:t>
      </w:r>
      <w:r>
        <w:rPr/>
        <w:t>计入当期损益；不存在相关递延收益的，直接计入当期损益。</w:t>
      </w:r>
    </w:p>
    <w:p>
      <w:pPr>
        <w:spacing w:line="388" w:lineRule="auto" w:before="154"/>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（二十三）</w:t>
      </w:r>
      <w:r>
        <w:rPr>
          <w:rFonts w:ascii="宋体" w:hAnsi="宋体" w:cs="宋体" w:eastAsia="宋体" w:hint="default"/>
          <w:b/>
          <w:bCs/>
          <w:spacing w:val="-83"/>
          <w:sz w:val="21"/>
          <w:szCs w:val="21"/>
        </w:rPr>
        <w:t> </w:t>
      </w:r>
      <w:r>
        <w:rPr>
          <w:rFonts w:ascii="宋体" w:hAnsi="宋体" w:cs="宋体" w:eastAsia="宋体" w:hint="default"/>
          <w:b/>
          <w:bCs/>
          <w:sz w:val="21"/>
          <w:szCs w:val="21"/>
        </w:rPr>
        <w:t>递延所得税资产</w:t>
      </w:r>
      <w:r>
        <w:rPr>
          <w:rFonts w:ascii="Arial" w:hAnsi="Arial" w:cs="Arial" w:eastAsia="Arial"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本公司的所得税采用资产负债表债务法核算。资产、负债的账面价值与其计税基础存在差异的，</w:t>
      </w:r>
    </w:p>
    <w:p>
      <w:pPr>
        <w:spacing w:after="0" w:line="388" w:lineRule="auto"/>
        <w:jc w:val="left"/>
        <w:rPr>
          <w:rFonts w:ascii="宋体" w:hAnsi="宋体" w:cs="宋体" w:eastAsia="宋体" w:hint="default"/>
          <w:sz w:val="21"/>
          <w:szCs w:val="21"/>
        </w:rPr>
        <w:sectPr>
          <w:pgSz w:w="11910" w:h="16840"/>
          <w:pgMar w:header="884" w:footer="1013" w:top="1080" w:bottom="1200" w:left="1300" w:right="0"/>
        </w:sectPr>
      </w:pPr>
    </w:p>
    <w:p>
      <w:pPr>
        <w:pStyle w:val="BodyText"/>
        <w:spacing w:line="240" w:lineRule="auto" w:before="32"/>
        <w:ind w:right="0"/>
        <w:jc w:val="both"/>
      </w:pPr>
      <w:r>
        <w:rPr/>
        <w:pict>
          <v:group style="position:absolute;margin-left:70.584pt;margin-top:2.823701pt;width:436.3pt;height:.1pt;mso-position-horizontal-relative:page;mso-position-vertical-relative:paragraph;z-index:-636160" coordorigin="1412,56" coordsize="8726,2">
            <v:shape style="position:absolute;left:1412;top:56;width:8726;height:2" coordorigin="1412,56" coordsize="8726,0" path="m1412,56l10137,56e" filled="false" stroked="true" strokeweight=".72pt" strokecolor="#000000">
              <v:path arrowok="t"/>
            </v:shape>
            <w10:wrap type="none"/>
          </v:group>
        </w:pict>
      </w:r>
      <w:r>
        <w:rPr/>
        <w:t>按照规定确认所产生的递延所得税资产和递延所得税负债。</w:t>
      </w:r>
    </w:p>
    <w:p>
      <w:pPr>
        <w:spacing w:line="240" w:lineRule="auto" w:before="5"/>
        <w:rPr>
          <w:rFonts w:ascii="宋体" w:hAnsi="宋体" w:cs="宋体" w:eastAsia="宋体" w:hint="default"/>
          <w:sz w:val="17"/>
          <w:szCs w:val="17"/>
        </w:rPr>
      </w:pPr>
    </w:p>
    <w:p>
      <w:pPr>
        <w:pStyle w:val="BodyText"/>
        <w:spacing w:line="333" w:lineRule="auto"/>
        <w:ind w:right="1431" w:firstLine="420"/>
        <w:jc w:val="both"/>
      </w:pPr>
      <w:r>
        <w:rPr>
          <w:spacing w:val="-2"/>
        </w:rPr>
        <w:t>在资产负债表日，对于当期和以前期间形成的当期所得税负债（或资产），按照税法规定计算</w:t>
      </w:r>
      <w:r>
        <w:rPr>
          <w:w w:val="100"/>
        </w:rPr>
        <w:t> </w:t>
      </w:r>
      <w:r>
        <w:rPr>
          <w:spacing w:val="-2"/>
        </w:rPr>
        <w:t>的预期应交纳（或返还）的所得税金额计量；对于递延所得税资产和递延所得税负债，根据税法规</w:t>
      </w:r>
      <w:r>
        <w:rPr>
          <w:spacing w:val="-31"/>
        </w:rPr>
        <w:t> </w:t>
      </w:r>
      <w:r>
        <w:rPr>
          <w:spacing w:val="-31"/>
        </w:rPr>
      </w:r>
      <w:r>
        <w:rPr/>
        <w:t>定，按照预期收回该资产或清偿该负债期间的适用税率计量。</w:t>
      </w:r>
    </w:p>
    <w:p>
      <w:pPr>
        <w:pStyle w:val="BodyText"/>
        <w:spacing w:line="333" w:lineRule="auto" w:before="145"/>
        <w:ind w:right="1431" w:firstLine="420"/>
        <w:jc w:val="both"/>
      </w:pPr>
      <w:r>
        <w:rPr>
          <w:spacing w:val="-2"/>
        </w:rPr>
        <w:t>递延所得税资产的确认以本公司很可能取得用来抵扣可抵扣暂时性差异、可抵扣亏损和税款抵</w:t>
      </w:r>
      <w:r>
        <w:rPr>
          <w:w w:val="100"/>
        </w:rPr>
        <w:t> </w:t>
      </w:r>
      <w:r>
        <w:rPr>
          <w:spacing w:val="-2"/>
        </w:rPr>
        <w:t>减的应纳税所得额为限。在无法明确估计可抵扣暂时性差异预期转回期间可能取得的应纳税所得额</w:t>
      </w:r>
      <w:r>
        <w:rPr>
          <w:spacing w:val="-30"/>
        </w:rPr>
        <w:t> </w:t>
      </w:r>
      <w:r>
        <w:rPr>
          <w:spacing w:val="-30"/>
        </w:rPr>
      </w:r>
      <w:r>
        <w:rPr>
          <w:spacing w:val="-2"/>
        </w:rPr>
        <w:t>时，不确认与可抵扣暂时性差异相关的递延所得税资产。对子公司、联营企业及合营企业投资相关</w:t>
      </w:r>
      <w:r>
        <w:rPr>
          <w:spacing w:val="-32"/>
        </w:rPr>
        <w:t> </w:t>
      </w:r>
      <w:r>
        <w:rPr>
          <w:spacing w:val="-32"/>
        </w:rPr>
      </w:r>
      <w:r>
        <w:rPr>
          <w:spacing w:val="-2"/>
        </w:rPr>
        <w:t>的应纳税暂时性差异产生的递延所得税负债，予以确认，但同时满足能够控制应纳税暂时性差异转</w:t>
      </w:r>
      <w:r>
        <w:rPr>
          <w:spacing w:val="-29"/>
        </w:rPr>
        <w:t> </w:t>
      </w:r>
      <w:r>
        <w:rPr>
          <w:spacing w:val="-29"/>
        </w:rPr>
      </w:r>
      <w:r>
        <w:rPr>
          <w:spacing w:val="-2"/>
        </w:rPr>
        <w:t>回的时间且该暂时性差异在可预见的未来很可能不会转回的，不予确认；对子公司、联营企业及合</w:t>
      </w:r>
      <w:r>
        <w:rPr>
          <w:spacing w:val="-29"/>
        </w:rPr>
        <w:t> </w:t>
      </w:r>
      <w:r>
        <w:rPr>
          <w:spacing w:val="-29"/>
        </w:rPr>
      </w:r>
      <w:r>
        <w:rPr>
          <w:spacing w:val="-2"/>
        </w:rPr>
        <w:t>营企业投资相关的可抵扣暂时性差异产生的递延所得税资产，该可抵扣暂时性差异同时满足在可预</w:t>
      </w:r>
      <w:r>
        <w:rPr>
          <w:spacing w:val="-30"/>
        </w:rPr>
        <w:t> </w:t>
      </w:r>
      <w:r>
        <w:rPr>
          <w:spacing w:val="-30"/>
        </w:rPr>
      </w:r>
      <w:r>
        <w:rPr>
          <w:spacing w:val="-2"/>
        </w:rPr>
        <w:t>见的未来很可能转回即在可预见的将来有处置该项投资的明确计划，且预计在处置该项投资时，除</w:t>
      </w:r>
      <w:r>
        <w:rPr>
          <w:spacing w:val="-31"/>
        </w:rPr>
        <w:t> </w:t>
      </w:r>
      <w:r>
        <w:rPr>
          <w:spacing w:val="-31"/>
        </w:rPr>
      </w:r>
      <w:r>
        <w:rPr/>
        <w:t>了有足够的应纳税所得以外，还有足够的投资收益用以抵扣可抵扣暂时性差异时，予以确认。</w:t>
      </w:r>
    </w:p>
    <w:p>
      <w:pPr>
        <w:pStyle w:val="BodyText"/>
        <w:spacing w:line="333" w:lineRule="auto" w:before="145"/>
        <w:ind w:right="1431" w:firstLine="420"/>
        <w:jc w:val="both"/>
      </w:pPr>
      <w:r>
        <w:rPr>
          <w:spacing w:val="-2"/>
        </w:rPr>
        <w:t>资产负债表日，对递延所得税资产的账面价值进行复核。除企业合并、直接在所有者权益中确</w:t>
      </w:r>
      <w:r>
        <w:rPr>
          <w:w w:val="100"/>
        </w:rPr>
        <w:t> </w:t>
      </w:r>
      <w:r>
        <w:rPr>
          <w:spacing w:val="-2"/>
        </w:rPr>
        <w:t>认的交易或者事项产生的所得税外，本公司将当期所得税和递延所得税作为所得税费用或收益计入</w:t>
      </w:r>
      <w:r>
        <w:rPr>
          <w:spacing w:val="-30"/>
        </w:rPr>
        <w:t> </w:t>
      </w:r>
      <w:r>
        <w:rPr>
          <w:spacing w:val="-30"/>
        </w:rPr>
      </w:r>
      <w:r>
        <w:rPr/>
        <w:t>当期损益。</w:t>
      </w:r>
    </w:p>
    <w:p>
      <w:pPr>
        <w:spacing w:line="240" w:lineRule="auto" w:before="9"/>
        <w:rPr>
          <w:rFonts w:ascii="宋体" w:hAnsi="宋体" w:cs="宋体" w:eastAsia="宋体" w:hint="default"/>
          <w:sz w:val="15"/>
          <w:szCs w:val="15"/>
        </w:rPr>
      </w:pPr>
    </w:p>
    <w:p>
      <w:pPr>
        <w:spacing w:line="408" w:lineRule="auto" w:before="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（二十四）</w:t>
      </w:r>
      <w:r>
        <w:rPr>
          <w:rFonts w:ascii="宋体" w:hAnsi="宋体" w:cs="宋体" w:eastAsia="宋体" w:hint="default"/>
          <w:b/>
          <w:bCs/>
          <w:spacing w:val="-83"/>
          <w:sz w:val="21"/>
          <w:szCs w:val="21"/>
        </w:rPr>
        <w:t> </w:t>
      </w:r>
      <w:r>
        <w:rPr>
          <w:rFonts w:ascii="宋体" w:hAnsi="宋体" w:cs="宋体" w:eastAsia="宋体" w:hint="default"/>
          <w:b/>
          <w:bCs/>
          <w:sz w:val="21"/>
          <w:szCs w:val="21"/>
        </w:rPr>
        <w:t>经营租赁、融资租赁</w:t>
      </w:r>
      <w:r>
        <w:rPr>
          <w:rFonts w:ascii="宋体" w:hAnsi="宋体" w:cs="宋体" w:eastAsia="宋体" w:hint="default"/>
          <w:b/>
          <w:bCs/>
          <w:w w:val="100"/>
          <w:sz w:val="21"/>
          <w:szCs w:val="21"/>
        </w:rPr>
        <w:t> </w:t>
      </w:r>
      <w:r>
        <w:rPr>
          <w:rFonts w:ascii="宋体" w:hAnsi="宋体" w:cs="宋体" w:eastAsia="宋体" w:hint="default"/>
          <w:spacing w:val="-2"/>
          <w:sz w:val="21"/>
          <w:szCs w:val="21"/>
        </w:rPr>
        <w:t>如果租赁条款在实质上将与租赁资产所有权有关的全部风险和报酬转移给承租人，该租赁为融</w:t>
      </w:r>
    </w:p>
    <w:p>
      <w:pPr>
        <w:pStyle w:val="BodyText"/>
        <w:spacing w:line="263" w:lineRule="exact"/>
        <w:ind w:right="0"/>
        <w:jc w:val="both"/>
      </w:pPr>
      <w:r>
        <w:rPr/>
        <w:t>资租赁，其他租赁则为经营租赁。</w:t>
      </w:r>
    </w:p>
    <w:p>
      <w:pPr>
        <w:spacing w:line="240" w:lineRule="auto" w:before="2"/>
        <w:rPr>
          <w:rFonts w:ascii="宋体" w:hAnsi="宋体" w:cs="宋体" w:eastAsia="宋体" w:hint="default"/>
          <w:sz w:val="24"/>
          <w:szCs w:val="24"/>
        </w:rPr>
      </w:pPr>
    </w:p>
    <w:p>
      <w:pPr>
        <w:spacing w:line="388" w:lineRule="auto"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本公司作为出租人</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融资租赁中，在租赁开始日本公司按最低租赁收款额与初始直接费用之和作为应收融资租赁款</w:t>
      </w:r>
    </w:p>
    <w:p>
      <w:pPr>
        <w:pStyle w:val="BodyText"/>
        <w:spacing w:line="357" w:lineRule="auto" w:before="5"/>
        <w:ind w:right="1431"/>
        <w:jc w:val="both"/>
      </w:pPr>
      <w:r>
        <w:rPr>
          <w:spacing w:val="-2"/>
        </w:rPr>
        <w:t>的入账价值，同时记录未担保余值；将最低租赁收款额、初始直接费用及未担保余值之和与其现值</w:t>
      </w:r>
      <w:r>
        <w:rPr>
          <w:spacing w:val="-32"/>
        </w:rPr>
        <w:t> </w:t>
      </w:r>
      <w:r>
        <w:rPr>
          <w:spacing w:val="-32"/>
        </w:rPr>
      </w:r>
      <w:r>
        <w:rPr>
          <w:spacing w:val="-2"/>
        </w:rPr>
        <w:t>之和的差额确认为未实现融资收益。未实现融资收益在租赁期内各个期间采用实际利率法计算确认</w:t>
      </w:r>
      <w:r>
        <w:rPr>
          <w:spacing w:val="-30"/>
        </w:rPr>
        <w:t> </w:t>
      </w:r>
      <w:r>
        <w:rPr>
          <w:spacing w:val="-30"/>
        </w:rPr>
      </w:r>
      <w:r>
        <w:rPr/>
        <w:t>当期的融资收入。</w:t>
      </w:r>
    </w:p>
    <w:p>
      <w:pPr>
        <w:pStyle w:val="BodyText"/>
        <w:spacing w:line="355" w:lineRule="auto" w:before="152"/>
        <w:ind w:right="1431" w:firstLine="420"/>
        <w:jc w:val="both"/>
      </w:pPr>
      <w:r>
        <w:rPr>
          <w:spacing w:val="-2"/>
        </w:rPr>
        <w:t>经营租赁中的租金，本公司在租赁期内各个期间按照直线法确认当期损益。发生的初始直接费</w:t>
      </w:r>
      <w:r>
        <w:rPr>
          <w:w w:val="100"/>
        </w:rPr>
        <w:t> </w:t>
      </w:r>
      <w:r>
        <w:rPr/>
        <w:t>用，计入当期损益。</w:t>
      </w:r>
    </w:p>
    <w:p>
      <w:pPr>
        <w:spacing w:line="391" w:lineRule="auto" w:before="94"/>
        <w:ind w:left="560" w:right="1205"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本公司作为承租人</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融资租赁中，在租赁开始日本公司将租赁资产公允价值与最低租赁付款额现值两者中较低者作</w:t>
      </w:r>
    </w:p>
    <w:p>
      <w:pPr>
        <w:pStyle w:val="BodyText"/>
        <w:spacing w:line="357" w:lineRule="auto" w:before="1"/>
        <w:ind w:right="1431"/>
        <w:jc w:val="both"/>
      </w:pPr>
      <w:r>
        <w:rPr>
          <w:spacing w:val="-2"/>
        </w:rPr>
        <w:t>为租入资产的入账价值，将最低租赁付款额作为长期应付款的入账价值，其差额作为未确认融资费</w:t>
      </w:r>
      <w:r>
        <w:rPr>
          <w:spacing w:val="-30"/>
        </w:rPr>
        <w:t> </w:t>
      </w:r>
      <w:r>
        <w:rPr>
          <w:spacing w:val="-30"/>
        </w:rPr>
      </w:r>
      <w:r>
        <w:rPr>
          <w:spacing w:val="-2"/>
        </w:rPr>
        <w:t>用。初始直接费用计入租入资产价值。未确认融资费用在租赁期内各个期间采用实际利率法计算确</w:t>
      </w:r>
      <w:r>
        <w:rPr>
          <w:spacing w:val="-31"/>
        </w:rPr>
        <w:t> </w:t>
      </w:r>
      <w:r>
        <w:rPr>
          <w:spacing w:val="-31"/>
        </w:rPr>
      </w:r>
      <w:r>
        <w:rPr/>
        <w:t>认当期的融资费用。本公司采用与自有固定资产相一致的折旧政策计提租赁资产折旧。</w:t>
      </w:r>
    </w:p>
    <w:p>
      <w:pPr>
        <w:pStyle w:val="BodyText"/>
        <w:spacing w:line="357" w:lineRule="auto" w:before="152"/>
        <w:ind w:right="1431" w:firstLine="420"/>
        <w:jc w:val="both"/>
      </w:pPr>
      <w:r>
        <w:rPr>
          <w:spacing w:val="-2"/>
        </w:rPr>
        <w:t>经营租赁中的租金，本公司在租赁期内各个期间按照直线法计入相关资产成本或当期损益；发</w:t>
      </w:r>
      <w:r>
        <w:rPr>
          <w:w w:val="100"/>
        </w:rPr>
        <w:t> </w:t>
      </w:r>
      <w:r>
        <w:rPr/>
        <w:t>生的初始直接费用，计入当期损益。</w:t>
      </w:r>
    </w:p>
    <w:p>
      <w:pPr>
        <w:pStyle w:val="Heading4"/>
        <w:spacing w:line="240" w:lineRule="auto" w:before="90"/>
        <w:ind w:right="1205"/>
        <w:jc w:val="left"/>
        <w:rPr>
          <w:b w:val="0"/>
          <w:bCs w:val="0"/>
        </w:rPr>
      </w:pPr>
      <w:r>
        <w:rPr/>
        <w:t>（二十五）</w:t>
      </w:r>
      <w:r>
        <w:rPr>
          <w:spacing w:val="-84"/>
        </w:rPr>
        <w:t> </w:t>
      </w:r>
      <w:r>
        <w:rPr/>
        <w:t>持有待售资产</w:t>
      </w:r>
      <w:r>
        <w:rPr>
          <w:b w:val="0"/>
          <w:bCs w:val="0"/>
        </w:rPr>
      </w:r>
    </w:p>
    <w:p>
      <w:pPr>
        <w:spacing w:after="0" w:line="240" w:lineRule="auto"/>
        <w:jc w:val="left"/>
        <w:sectPr>
          <w:pgSz w:w="11910" w:h="16840"/>
          <w:pgMar w:header="884" w:footer="1013" w:top="1080" w:bottom="1200" w:left="1300" w:right="0"/>
        </w:sectPr>
      </w:pPr>
    </w:p>
    <w:p>
      <w:pPr>
        <w:pStyle w:val="BodyText"/>
        <w:spacing w:line="333" w:lineRule="auto" w:before="32"/>
        <w:ind w:right="1205" w:firstLine="420"/>
        <w:jc w:val="left"/>
      </w:pPr>
      <w:r>
        <w:rPr/>
        <w:pict>
          <v:group style="position:absolute;margin-left:70.584pt;margin-top:2.823701pt;width:436.3pt;height:.1pt;mso-position-horizontal-relative:page;mso-position-vertical-relative:paragraph;z-index:-636136" coordorigin="1412,56" coordsize="8726,2">
            <v:shape style="position:absolute;left:1412;top:56;width:8726;height:2" coordorigin="1412,56" coordsize="8726,0" path="m1412,56l10137,56e" filled="false" stroked="true" strokeweight=".72pt" strokecolor="#000000">
              <v:path arrowok="t"/>
            </v:shape>
            <w10:wrap type="none"/>
          </v:group>
        </w:pict>
      </w:r>
      <w:r>
        <w:rPr/>
        <w:t>同时满足下列条件的非流动资产划分为持有待售：一是公司已经就处置该非流动资产作出决</w:t>
      </w:r>
      <w:r>
        <w:rPr>
          <w:w w:val="100"/>
        </w:rPr>
        <w:t> </w:t>
      </w:r>
      <w:r>
        <w:rPr>
          <w:spacing w:val="-2"/>
        </w:rPr>
        <w:t>议；二是公司已经与受让方签订了不可撤销的转让协议；三是该项转让将在一年内完成。持有待售</w:t>
      </w:r>
      <w:r>
        <w:rPr>
          <w:spacing w:val="-30"/>
        </w:rPr>
        <w:t> </w:t>
      </w:r>
      <w:r>
        <w:rPr>
          <w:spacing w:val="-30"/>
        </w:rPr>
      </w:r>
      <w:r>
        <w:rPr>
          <w:spacing w:val="-2"/>
        </w:rPr>
        <w:t>的非流动资产包括单项资产和处置组，处置组是指作为整体出售或其他方式一并处置的一组资产。</w:t>
      </w:r>
    </w:p>
    <w:p>
      <w:pPr>
        <w:pStyle w:val="BodyText"/>
        <w:spacing w:line="333" w:lineRule="auto" w:before="147"/>
        <w:ind w:right="1205" w:firstLine="420"/>
        <w:jc w:val="left"/>
      </w:pPr>
      <w:r>
        <w:rPr>
          <w:spacing w:val="-2"/>
        </w:rPr>
        <w:t>本公司对于持有待售的固定资产，调整该项固定资产的预计净残值，使该固定资产的预计净残</w:t>
      </w:r>
      <w:r>
        <w:rPr>
          <w:w w:val="100"/>
        </w:rPr>
        <w:t> </w:t>
      </w:r>
      <w:r>
        <w:rPr/>
        <w:t>值反映其公允价值减去处置费用后的金额，但不超过符合持有待售条件时该项固定资产的原账</w:t>
      </w:r>
      <w:r>
        <w:rPr>
          <w:spacing w:val="-4"/>
        </w:rPr>
        <w:t> </w:t>
      </w:r>
      <w:r>
        <w:rPr/>
        <w:t>面</w:t>
      </w:r>
      <w:r>
        <w:rPr>
          <w:w w:val="100"/>
        </w:rPr>
        <w:t> </w:t>
      </w:r>
      <w:r>
        <w:rPr/>
        <w:t>价值，原账面价值高于调整后预计净残值的差额，应作为资产减值损失计入当期损益。</w:t>
      </w:r>
    </w:p>
    <w:p>
      <w:pPr>
        <w:spacing w:line="240" w:lineRule="auto" w:before="6"/>
        <w:rPr>
          <w:rFonts w:ascii="宋体" w:hAnsi="宋体" w:cs="宋体" w:eastAsia="宋体" w:hint="default"/>
          <w:sz w:val="15"/>
          <w:szCs w:val="15"/>
        </w:rPr>
      </w:pPr>
    </w:p>
    <w:p>
      <w:pPr>
        <w:pStyle w:val="BodyText"/>
        <w:spacing w:line="348" w:lineRule="auto"/>
        <w:ind w:right="1431" w:firstLine="420"/>
        <w:jc w:val="both"/>
      </w:pPr>
      <w:r>
        <w:rPr>
          <w:spacing w:val="-2"/>
        </w:rPr>
        <w:t>符合持有待售条件的无形资产等其他非流动资产，比照上述原则处理，但不包括递延所得税资</w:t>
      </w:r>
      <w:r>
        <w:rPr>
          <w:w w:val="100"/>
        </w:rPr>
        <w:t> </w:t>
      </w:r>
      <w:r>
        <w:rPr>
          <w:spacing w:val="-12"/>
          <w:w w:val="100"/>
        </w:rPr>
        <w:t>产、《企业会计准则第</w:t>
      </w:r>
      <w:r>
        <w:rPr>
          <w:spacing w:val="-42"/>
          <w:w w:val="100"/>
        </w:rPr>
        <w:t> </w:t>
      </w:r>
      <w:r>
        <w:rPr>
          <w:rFonts w:ascii="Arial" w:hAnsi="Arial" w:cs="Arial" w:eastAsia="Arial" w:hint="default"/>
          <w:spacing w:val="-2"/>
          <w:w w:val="100"/>
        </w:rPr>
        <w:t>22</w:t>
      </w:r>
      <w:r>
        <w:rPr>
          <w:rFonts w:ascii="Arial" w:hAnsi="Arial" w:cs="Arial" w:eastAsia="Arial" w:hint="default"/>
          <w:spacing w:val="3"/>
          <w:w w:val="100"/>
        </w:rPr>
        <w:t> </w:t>
      </w:r>
      <w:r>
        <w:rPr>
          <w:spacing w:val="-3"/>
          <w:w w:val="100"/>
        </w:rPr>
        <w:t>号</w:t>
      </w:r>
      <w:r>
        <w:rPr>
          <w:rFonts w:ascii="Arial" w:hAnsi="Arial" w:cs="Arial" w:eastAsia="Arial" w:hint="default"/>
          <w:spacing w:val="-3"/>
          <w:w w:val="100"/>
        </w:rPr>
        <w:t>——</w:t>
      </w:r>
      <w:r>
        <w:rPr>
          <w:spacing w:val="-3"/>
          <w:w w:val="100"/>
        </w:rPr>
        <w:t>金融工具确认和计量》规范的金融资产、以公允价值计量的投资性</w:t>
      </w:r>
      <w:r>
        <w:rPr>
          <w:spacing w:val="-101"/>
          <w:w w:val="100"/>
        </w:rPr>
        <w:t> </w:t>
      </w:r>
      <w:r>
        <w:rPr>
          <w:spacing w:val="-101"/>
          <w:w w:val="100"/>
        </w:rPr>
      </w:r>
      <w:r>
        <w:rPr/>
        <w:t>房地产和生物资产、保险合同中产生的合同权利。</w:t>
      </w:r>
    </w:p>
    <w:p>
      <w:pPr>
        <w:pStyle w:val="Heading4"/>
        <w:spacing w:line="240" w:lineRule="auto" w:before="158"/>
        <w:ind w:right="1205"/>
        <w:jc w:val="left"/>
        <w:rPr>
          <w:b w:val="0"/>
          <w:bCs w:val="0"/>
        </w:rPr>
      </w:pPr>
      <w:r>
        <w:rPr/>
        <w:t>（二十六）</w:t>
      </w:r>
      <w:r>
        <w:rPr>
          <w:spacing w:val="-89"/>
        </w:rPr>
        <w:t> </w:t>
      </w:r>
      <w:r>
        <w:rPr/>
        <w:t>主要会计政策、会计估计的变更</w:t>
      </w:r>
      <w:r>
        <w:rPr>
          <w:b w:val="0"/>
          <w:bCs w:val="0"/>
        </w:rPr>
      </w:r>
    </w:p>
    <w:p>
      <w:pPr>
        <w:spacing w:line="240" w:lineRule="auto" w:before="8"/>
        <w:rPr>
          <w:rFonts w:ascii="宋体" w:hAnsi="宋体" w:cs="宋体" w:eastAsia="宋体" w:hint="default"/>
          <w:b/>
          <w:bCs/>
          <w:sz w:val="19"/>
          <w:szCs w:val="19"/>
        </w:rPr>
      </w:pPr>
    </w:p>
    <w:p>
      <w:pPr>
        <w:spacing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会计政策变更</w:t>
      </w:r>
      <w:r>
        <w:rPr>
          <w:rFonts w:ascii="宋体" w:hAnsi="宋体" w:cs="宋体" w:eastAsia="宋体" w:hint="default"/>
          <w:sz w:val="21"/>
          <w:szCs w:val="21"/>
        </w:rPr>
      </w:r>
    </w:p>
    <w:p>
      <w:pPr>
        <w:pStyle w:val="BodyText"/>
        <w:spacing w:line="338" w:lineRule="auto" w:before="180"/>
        <w:ind w:right="1431" w:firstLine="420"/>
        <w:jc w:val="both"/>
      </w:pPr>
      <w:r>
        <w:rPr>
          <w:w w:val="100"/>
        </w:rPr>
        <w:t>本报</w:t>
      </w:r>
      <w:r>
        <w:rPr>
          <w:spacing w:val="-3"/>
          <w:w w:val="100"/>
        </w:rPr>
        <w:t>告</w:t>
      </w:r>
      <w:r>
        <w:rPr>
          <w:w w:val="100"/>
        </w:rPr>
        <w:t>期</w:t>
      </w:r>
      <w:r>
        <w:rPr>
          <w:spacing w:val="-3"/>
          <w:w w:val="100"/>
        </w:rPr>
        <w:t>内</w:t>
      </w:r>
      <w:r>
        <w:rPr>
          <w:w w:val="100"/>
        </w:rPr>
        <w:t>，</w:t>
      </w:r>
      <w:r>
        <w:rPr>
          <w:spacing w:val="-3"/>
          <w:w w:val="100"/>
        </w:rPr>
        <w:t>本</w:t>
      </w:r>
      <w:r>
        <w:rPr>
          <w:w w:val="100"/>
        </w:rPr>
        <w:t>公</w:t>
      </w:r>
      <w:r>
        <w:rPr>
          <w:spacing w:val="-3"/>
          <w:w w:val="100"/>
        </w:rPr>
        <w:t>司</w:t>
      </w:r>
      <w:r>
        <w:rPr>
          <w:w w:val="100"/>
        </w:rPr>
        <w:t>因</w:t>
      </w:r>
      <w:r>
        <w:rPr>
          <w:spacing w:val="-3"/>
          <w:w w:val="100"/>
        </w:rPr>
        <w:t>执</w:t>
      </w:r>
      <w:r>
        <w:rPr>
          <w:w w:val="100"/>
        </w:rPr>
        <w:t>行财</w:t>
      </w:r>
      <w:r>
        <w:rPr>
          <w:spacing w:val="-3"/>
          <w:w w:val="100"/>
        </w:rPr>
        <w:t>政</w:t>
      </w:r>
      <w:r>
        <w:rPr>
          <w:w w:val="100"/>
        </w:rPr>
        <w:t>部</w:t>
      </w:r>
      <w:r>
        <w:rPr>
          <w:spacing w:val="-53"/>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10</w:t>
      </w:r>
      <w:r>
        <w:rPr>
          <w:rFonts w:ascii="Arial" w:hAnsi="Arial" w:cs="Arial" w:eastAsia="Arial" w:hint="default"/>
          <w:spacing w:val="-6"/>
        </w:rPr>
        <w:t> </w:t>
      </w:r>
      <w:r>
        <w:rPr>
          <w:w w:val="100"/>
        </w:rPr>
        <w:t>年</w:t>
      </w:r>
      <w:r>
        <w:rPr>
          <w:spacing w:val="-53"/>
        </w:rPr>
        <w:t> </w:t>
      </w:r>
      <w:r>
        <w:rPr>
          <w:rFonts w:ascii="Arial" w:hAnsi="Arial" w:cs="Arial" w:eastAsia="Arial" w:hint="default"/>
          <w:w w:val="100"/>
        </w:rPr>
        <w:t>7</w:t>
      </w:r>
      <w:r>
        <w:rPr>
          <w:rFonts w:ascii="Arial" w:hAnsi="Arial" w:cs="Arial" w:eastAsia="Arial" w:hint="default"/>
          <w:spacing w:val="-8"/>
        </w:rPr>
        <w:t> </w:t>
      </w:r>
      <w:r>
        <w:rPr>
          <w:w w:val="100"/>
        </w:rPr>
        <w:t>月</w:t>
      </w:r>
      <w:r>
        <w:rPr>
          <w:spacing w:val="-53"/>
        </w:rPr>
        <w:t> </w:t>
      </w:r>
      <w:r>
        <w:rPr>
          <w:rFonts w:ascii="Arial" w:hAnsi="Arial" w:cs="Arial" w:eastAsia="Arial" w:hint="default"/>
          <w:w w:val="100"/>
        </w:rPr>
        <w:t>14</w:t>
      </w:r>
      <w:r>
        <w:rPr>
          <w:rFonts w:ascii="Arial" w:hAnsi="Arial" w:cs="Arial" w:eastAsia="Arial" w:hint="default"/>
          <w:spacing w:val="-8"/>
        </w:rPr>
        <w:t> </w:t>
      </w:r>
      <w:r>
        <w:rPr>
          <w:w w:val="100"/>
        </w:rPr>
        <w:t>日发</w:t>
      </w:r>
      <w:r>
        <w:rPr>
          <w:spacing w:val="-3"/>
          <w:w w:val="100"/>
        </w:rPr>
        <w:t>布</w:t>
      </w:r>
      <w:r>
        <w:rPr>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解释第</w:t>
      </w:r>
      <w:r>
        <w:rPr>
          <w:spacing w:val="-52"/>
        </w:rPr>
        <w:t> </w:t>
      </w:r>
      <w:r>
        <w:rPr>
          <w:rFonts w:ascii="Arial" w:hAnsi="Arial" w:cs="Arial" w:eastAsia="Arial" w:hint="default"/>
          <w:w w:val="100"/>
        </w:rPr>
        <w:t>4</w:t>
      </w:r>
      <w:r>
        <w:rPr>
          <w:rFonts w:ascii="Arial" w:hAnsi="Arial" w:cs="Arial" w:eastAsia="Arial" w:hint="default"/>
          <w:spacing w:val="-8"/>
        </w:rPr>
        <w:t> </w:t>
      </w:r>
      <w:r>
        <w:rPr>
          <w:w w:val="100"/>
        </w:rPr>
        <w:t>号</w:t>
      </w:r>
      <w:r>
        <w:rPr>
          <w:spacing w:val="-108"/>
          <w:w w:val="100"/>
        </w:rPr>
        <w:t>》</w:t>
      </w:r>
      <w:r>
        <w:rPr>
          <w:w w:val="100"/>
        </w:rPr>
        <w:t>（财</w:t>
      </w:r>
      <w:r>
        <w:rPr>
          <w:w w:val="100"/>
        </w:rPr>
        <w:t> 会</w:t>
      </w:r>
      <w:r>
        <w:rPr>
          <w:rFonts w:ascii="Arial" w:hAnsi="Arial" w:cs="Arial" w:eastAsia="Arial" w:hint="default"/>
          <w:spacing w:val="-2"/>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15</w:t>
      </w:r>
      <w:r>
        <w:rPr>
          <w:rFonts w:ascii="Arial" w:hAnsi="Arial" w:cs="Arial" w:eastAsia="Arial" w:hint="default"/>
          <w:spacing w:val="-8"/>
        </w:rPr>
        <w:t> </w:t>
      </w:r>
      <w:r>
        <w:rPr>
          <w:w w:val="100"/>
        </w:rPr>
        <w:t>号</w:t>
      </w:r>
      <w:r>
        <w:rPr>
          <w:spacing w:val="-106"/>
          <w:w w:val="100"/>
        </w:rPr>
        <w:t>）</w:t>
      </w:r>
      <w:r>
        <w:rPr>
          <w:spacing w:val="-3"/>
          <w:w w:val="100"/>
        </w:rPr>
        <w:t>，</w:t>
      </w:r>
      <w:r>
        <w:rPr>
          <w:w w:val="100"/>
        </w:rPr>
        <w:t>相</w:t>
      </w:r>
      <w:r>
        <w:rPr>
          <w:spacing w:val="-3"/>
          <w:w w:val="100"/>
        </w:rPr>
        <w:t>关</w:t>
      </w:r>
      <w:r>
        <w:rPr>
          <w:w w:val="100"/>
        </w:rPr>
        <w:t>会</w:t>
      </w:r>
      <w:r>
        <w:rPr>
          <w:spacing w:val="-3"/>
          <w:w w:val="100"/>
        </w:rPr>
        <w:t>计</w:t>
      </w:r>
      <w:r>
        <w:rPr>
          <w:w w:val="100"/>
        </w:rPr>
        <w:t>政策</w:t>
      </w:r>
      <w:r>
        <w:rPr>
          <w:spacing w:val="-3"/>
          <w:w w:val="100"/>
        </w:rPr>
        <w:t>变</w:t>
      </w:r>
      <w:r>
        <w:rPr>
          <w:w w:val="100"/>
        </w:rPr>
        <w:t>更</w:t>
      </w:r>
      <w:r>
        <w:rPr>
          <w:spacing w:val="-3"/>
          <w:w w:val="100"/>
        </w:rPr>
        <w:t>如</w:t>
      </w:r>
      <w:r>
        <w:rPr>
          <w:w w:val="100"/>
        </w:rPr>
        <w:t>下：</w:t>
      </w:r>
    </w:p>
    <w:p>
      <w:pPr>
        <w:pStyle w:val="BodyText"/>
        <w:spacing w:line="355" w:lineRule="auto" w:before="24"/>
        <w:ind w:right="1431" w:firstLine="420"/>
        <w:jc w:val="both"/>
      </w:pPr>
      <w:r>
        <w:rPr>
          <w:spacing w:val="-2"/>
        </w:rPr>
        <w:t>在合并财务报表中，子公司少数股东分担的当期亏损超过了少数股东在该子公司期初所有者权</w:t>
      </w:r>
      <w:r>
        <w:rPr>
          <w:w w:val="100"/>
        </w:rPr>
        <w:t> </w:t>
      </w:r>
      <w:r>
        <w:rPr/>
        <w:t>益中所享有的份额的，其余额的处理</w:t>
      </w:r>
    </w:p>
    <w:p>
      <w:pPr>
        <w:pStyle w:val="BodyText"/>
        <w:spacing w:line="340" w:lineRule="auto" w:before="34"/>
        <w:ind w:right="1431" w:firstLine="420"/>
        <w:jc w:val="both"/>
      </w:pPr>
      <w:r>
        <w:rPr>
          <w:rFonts w:ascii="Arial" w:hAnsi="Arial" w:cs="Arial" w:eastAsia="Arial" w:hint="default"/>
        </w:rPr>
        <w:t>2010</w:t>
      </w:r>
      <w:r>
        <w:rPr>
          <w:rFonts w:ascii="Arial" w:hAnsi="Arial" w:cs="Arial" w:eastAsia="Arial" w:hint="default"/>
          <w:spacing w:val="11"/>
        </w:rPr>
        <w:t> </w:t>
      </w:r>
      <w:r>
        <w:rPr/>
        <w:t>年</w:t>
      </w:r>
      <w:r>
        <w:rPr>
          <w:spacing w:val="-38"/>
        </w:rPr>
        <w:t> </w:t>
      </w:r>
      <w:r>
        <w:rPr>
          <w:rFonts w:ascii="Arial" w:hAnsi="Arial" w:cs="Arial" w:eastAsia="Arial" w:hint="default"/>
        </w:rPr>
        <w:t>1</w:t>
      </w:r>
      <w:r>
        <w:rPr>
          <w:rFonts w:ascii="Arial" w:hAnsi="Arial" w:cs="Arial" w:eastAsia="Arial" w:hint="default"/>
          <w:spacing w:val="9"/>
        </w:rPr>
        <w:t> </w:t>
      </w:r>
      <w:r>
        <w:rPr/>
        <w:t>月</w:t>
      </w:r>
      <w:r>
        <w:rPr>
          <w:spacing w:val="-36"/>
        </w:rPr>
        <w:t> </w:t>
      </w:r>
      <w:r>
        <w:rPr>
          <w:rFonts w:ascii="Arial" w:hAnsi="Arial" w:cs="Arial" w:eastAsia="Arial" w:hint="default"/>
        </w:rPr>
        <w:t>1</w:t>
      </w:r>
      <w:r>
        <w:rPr>
          <w:rFonts w:ascii="Arial" w:hAnsi="Arial" w:cs="Arial" w:eastAsia="Arial" w:hint="default"/>
          <w:spacing w:val="9"/>
        </w:rPr>
        <w:t> </w:t>
      </w:r>
      <w:r>
        <w:rPr/>
        <w:t>日以前，本公司在合并财务报表中，对于子公司少数股东分担的当期亏损超过</w:t>
      </w:r>
      <w:r>
        <w:rPr>
          <w:w w:val="100"/>
        </w:rPr>
        <w:t> </w:t>
      </w:r>
      <w:r>
        <w:rPr/>
        <w:t>了少数股东在该子公司期初所有者权益中所享有的份额的，其余额分别下列情况进行处理：</w:t>
      </w:r>
    </w:p>
    <w:p>
      <w:pPr>
        <w:pStyle w:val="BodyText"/>
        <w:spacing w:line="340" w:lineRule="auto" w:before="45"/>
        <w:ind w:right="1434" w:firstLine="420"/>
        <w:jc w:val="both"/>
      </w:pPr>
      <w:r>
        <w:rPr>
          <w:rFonts w:ascii="Arial" w:hAnsi="Arial" w:cs="Arial" w:eastAsia="Arial" w:hint="default"/>
        </w:rPr>
        <w:t>A</w:t>
      </w:r>
      <w:r>
        <w:rPr/>
        <w:t>、公司章程或协议规定少数股东有义务承担，并且少数股东有能力予以弥补的，该项余额应</w:t>
      </w:r>
      <w:r>
        <w:rPr>
          <w:w w:val="100"/>
        </w:rPr>
        <w:t> </w:t>
      </w:r>
      <w:r>
        <w:rPr/>
        <w:t>当冲减少数股东权益；</w:t>
      </w:r>
    </w:p>
    <w:p>
      <w:pPr>
        <w:pStyle w:val="BodyText"/>
        <w:spacing w:line="348" w:lineRule="auto" w:before="47"/>
        <w:ind w:right="1426" w:firstLine="420"/>
        <w:jc w:val="both"/>
      </w:pPr>
      <w:r>
        <w:rPr>
          <w:rFonts w:ascii="Arial" w:hAnsi="Arial" w:cs="Arial" w:eastAsia="Arial" w:hint="default"/>
        </w:rPr>
        <w:t>B</w:t>
      </w:r>
      <w:r>
        <w:rPr/>
        <w:t>、公司章程或协议未规定少数股东有义务承担的，该项余额应当冲减母公司的所有者权益。</w:t>
      </w:r>
      <w:r>
        <w:rPr>
          <w:w w:val="100"/>
        </w:rPr>
        <w:t> </w:t>
      </w:r>
      <w:r>
        <w:rPr>
          <w:spacing w:val="-2"/>
        </w:rPr>
        <w:t>该子公司以后期间实现的利润，在弥补了由母公司所有者权益所承担的属于少数股东的损失之前，</w:t>
      </w:r>
      <w:r>
        <w:rPr>
          <w:spacing w:val="-25"/>
        </w:rPr>
        <w:t> </w:t>
      </w:r>
      <w:r>
        <w:rPr>
          <w:spacing w:val="-25"/>
        </w:rPr>
      </w:r>
      <w:r>
        <w:rPr/>
        <w:t>应当全部归属于母公司的所有者权益。</w:t>
      </w:r>
    </w:p>
    <w:p>
      <w:pPr>
        <w:pStyle w:val="BodyText"/>
        <w:spacing w:line="348" w:lineRule="auto" w:before="38"/>
        <w:ind w:right="1431" w:firstLine="420"/>
        <w:jc w:val="both"/>
      </w:pPr>
      <w:r>
        <w:rPr/>
        <w:t>根据《企业会计准则解释第</w:t>
      </w:r>
      <w:r>
        <w:rPr>
          <w:spacing w:val="-63"/>
        </w:rPr>
        <w:t> </w:t>
      </w:r>
      <w:r>
        <w:rPr>
          <w:rFonts w:ascii="Arial" w:hAnsi="Arial" w:cs="Arial" w:eastAsia="Arial" w:hint="default"/>
        </w:rPr>
        <w:t>4</w:t>
      </w:r>
      <w:r>
        <w:rPr>
          <w:rFonts w:ascii="Arial" w:hAnsi="Arial" w:cs="Arial" w:eastAsia="Arial" w:hint="default"/>
          <w:spacing w:val="-18"/>
        </w:rPr>
        <w:t> </w:t>
      </w:r>
      <w:r>
        <w:rPr/>
        <w:t>号》的规定，上述政策变更为：在合并财务报表中，子公司少数</w:t>
      </w:r>
      <w:r>
        <w:rPr>
          <w:w w:val="100"/>
        </w:rPr>
        <w:t> </w:t>
      </w:r>
      <w:r>
        <w:rPr>
          <w:spacing w:val="-2"/>
        </w:rPr>
        <w:t>股东分担的当期亏损超过了少数股东在该子公司期初所有者权益中所享有的份额的，其余额仍冲减</w:t>
      </w:r>
      <w:r>
        <w:rPr>
          <w:spacing w:val="-30"/>
        </w:rPr>
        <w:t> </w:t>
      </w:r>
      <w:r>
        <w:rPr>
          <w:spacing w:val="-30"/>
        </w:rPr>
      </w:r>
      <w:r>
        <w:rPr/>
        <w:t>少数股东权益。</w:t>
      </w:r>
    </w:p>
    <w:p>
      <w:pPr>
        <w:pStyle w:val="BodyText"/>
        <w:spacing w:line="240" w:lineRule="auto" w:before="38"/>
        <w:ind w:left="560" w:right="1205"/>
        <w:jc w:val="left"/>
      </w:pPr>
      <w:r>
        <w:rPr/>
        <w:t>上述会计政策变更前，本公司 </w:t>
      </w:r>
      <w:r>
        <w:rPr>
          <w:rFonts w:ascii="Arial" w:hAnsi="Arial" w:cs="Arial" w:eastAsia="Arial" w:hint="default"/>
        </w:rPr>
        <w:t>2009</w:t>
      </w:r>
      <w:r>
        <w:rPr>
          <w:rFonts w:ascii="Arial" w:hAnsi="Arial" w:cs="Arial" w:eastAsia="Arial" w:hint="default"/>
          <w:spacing w:val="-10"/>
        </w:rPr>
        <w:t> </w:t>
      </w:r>
      <w:r>
        <w:rPr/>
        <w:t>年度合并财务报表中，未分配利润期末余额包括由母公司</w:t>
      </w:r>
    </w:p>
    <w:p>
      <w:pPr>
        <w:pStyle w:val="BodyText"/>
        <w:spacing w:line="240" w:lineRule="auto" w:before="120"/>
        <w:ind w:right="1205"/>
        <w:jc w:val="left"/>
      </w:pPr>
      <w:r>
        <w:rPr>
          <w:w w:val="100"/>
        </w:rPr>
        <w:t>承担</w:t>
      </w:r>
      <w:r>
        <w:rPr>
          <w:spacing w:val="-3"/>
          <w:w w:val="100"/>
        </w:rPr>
        <w:t>的</w:t>
      </w:r>
      <w:r>
        <w:rPr>
          <w:w w:val="100"/>
        </w:rPr>
        <w:t>属</w:t>
      </w:r>
      <w:r>
        <w:rPr>
          <w:spacing w:val="-3"/>
          <w:w w:val="100"/>
        </w:rPr>
        <w:t>于</w:t>
      </w:r>
      <w:r>
        <w:rPr>
          <w:w w:val="100"/>
        </w:rPr>
        <w:t>少</w:t>
      </w:r>
      <w:r>
        <w:rPr>
          <w:spacing w:val="-3"/>
          <w:w w:val="100"/>
        </w:rPr>
        <w:t>数</w:t>
      </w:r>
      <w:r>
        <w:rPr>
          <w:w w:val="100"/>
        </w:rPr>
        <w:t>股</w:t>
      </w:r>
      <w:r>
        <w:rPr>
          <w:spacing w:val="-3"/>
          <w:w w:val="100"/>
        </w:rPr>
        <w:t>东</w:t>
      </w:r>
      <w:r>
        <w:rPr>
          <w:w w:val="100"/>
        </w:rPr>
        <w:t>损</w:t>
      </w:r>
      <w:r>
        <w:rPr>
          <w:spacing w:val="-3"/>
          <w:w w:val="100"/>
        </w:rPr>
        <w:t>失</w:t>
      </w:r>
      <w:r>
        <w:rPr>
          <w:w w:val="100"/>
        </w:rPr>
        <w:t>的金额</w:t>
      </w:r>
      <w:r>
        <w:rPr>
          <w:spacing w:val="-72"/>
        </w:rPr>
        <w:t> </w:t>
      </w:r>
      <w:r>
        <w:rPr>
          <w:rFonts w:ascii="Arial" w:hAnsi="Arial" w:cs="Arial" w:eastAsia="Arial" w:hint="default"/>
          <w:w w:val="100"/>
        </w:rPr>
        <w:t>5</w:t>
      </w:r>
      <w:r>
        <w:rPr>
          <w:rFonts w:ascii="Arial" w:hAnsi="Arial" w:cs="Arial" w:eastAsia="Arial" w:hint="default"/>
          <w:spacing w:val="-1"/>
          <w:w w:val="100"/>
        </w:rPr>
        <w:t>,</w:t>
      </w:r>
      <w:r>
        <w:rPr>
          <w:rFonts w:ascii="Arial" w:hAnsi="Arial" w:cs="Arial" w:eastAsia="Arial" w:hint="default"/>
          <w:spacing w:val="-3"/>
          <w:w w:val="100"/>
        </w:rPr>
        <w:t>1</w:t>
      </w:r>
      <w:r>
        <w:rPr>
          <w:rFonts w:ascii="Arial" w:hAnsi="Arial" w:cs="Arial" w:eastAsia="Arial" w:hint="default"/>
          <w:w w:val="100"/>
        </w:rPr>
        <w:t>09</w:t>
      </w:r>
      <w:r>
        <w:rPr>
          <w:rFonts w:ascii="Arial" w:hAnsi="Arial" w:cs="Arial" w:eastAsia="Arial" w:hint="default"/>
          <w:spacing w:val="-4"/>
          <w:w w:val="100"/>
        </w:rPr>
        <w:t>,</w:t>
      </w:r>
      <w:r>
        <w:rPr>
          <w:rFonts w:ascii="Arial" w:hAnsi="Arial" w:cs="Arial" w:eastAsia="Arial" w:hint="default"/>
          <w:spacing w:val="-15"/>
          <w:w w:val="100"/>
        </w:rPr>
        <w:t>1</w:t>
      </w:r>
      <w:r>
        <w:rPr>
          <w:rFonts w:ascii="Arial" w:hAnsi="Arial" w:cs="Arial" w:eastAsia="Arial" w:hint="default"/>
          <w:w w:val="100"/>
        </w:rPr>
        <w:t>17</w:t>
      </w:r>
      <w:r>
        <w:rPr>
          <w:rFonts w:ascii="Arial" w:hAnsi="Arial" w:cs="Arial" w:eastAsia="Arial" w:hint="default"/>
          <w:spacing w:val="-1"/>
          <w:w w:val="100"/>
        </w:rPr>
        <w:t>.</w:t>
      </w:r>
      <w:r>
        <w:rPr>
          <w:rFonts w:ascii="Arial" w:hAnsi="Arial" w:cs="Arial" w:eastAsia="Arial" w:hint="default"/>
          <w:w w:val="100"/>
        </w:rPr>
        <w:t>24</w:t>
      </w:r>
      <w:r>
        <w:rPr>
          <w:rFonts w:ascii="Arial" w:hAnsi="Arial" w:cs="Arial" w:eastAsia="Arial" w:hint="default"/>
          <w:spacing w:val="-27"/>
        </w:rPr>
        <w:t> </w:t>
      </w:r>
      <w:r>
        <w:rPr>
          <w:w w:val="100"/>
        </w:rPr>
        <w:t>元</w:t>
      </w:r>
      <w:r>
        <w:rPr>
          <w:spacing w:val="-106"/>
          <w:w w:val="100"/>
        </w:rPr>
        <w:t>。</w:t>
      </w:r>
      <w:r>
        <w:rPr>
          <w:spacing w:val="-3"/>
          <w:w w:val="100"/>
        </w:rPr>
        <w:t>本</w:t>
      </w:r>
      <w:r>
        <w:rPr>
          <w:w w:val="100"/>
        </w:rPr>
        <w:t>报告</w:t>
      </w:r>
      <w:r>
        <w:rPr>
          <w:spacing w:val="-3"/>
          <w:w w:val="100"/>
        </w:rPr>
        <w:t>期</w:t>
      </w:r>
      <w:r>
        <w:rPr>
          <w:w w:val="100"/>
        </w:rPr>
        <w:t>根</w:t>
      </w:r>
      <w:r>
        <w:rPr>
          <w:spacing w:val="-3"/>
          <w:w w:val="100"/>
        </w:rPr>
        <w:t>据</w:t>
      </w:r>
      <w:r>
        <w:rPr>
          <w:w w:val="100"/>
        </w:rPr>
        <w:t>解释</w:t>
      </w:r>
      <w:r>
        <w:rPr>
          <w:spacing w:val="-72"/>
        </w:rPr>
        <w:t> </w:t>
      </w:r>
      <w:r>
        <w:rPr>
          <w:rFonts w:ascii="Arial" w:hAnsi="Arial" w:cs="Arial" w:eastAsia="Arial" w:hint="default"/>
          <w:w w:val="100"/>
        </w:rPr>
        <w:t>4</w:t>
      </w:r>
      <w:r>
        <w:rPr>
          <w:rFonts w:ascii="Arial" w:hAnsi="Arial" w:cs="Arial" w:eastAsia="Arial" w:hint="default"/>
          <w:spacing w:val="-25"/>
        </w:rPr>
        <w:t> </w:t>
      </w:r>
      <w:r>
        <w:rPr>
          <w:spacing w:val="-3"/>
          <w:w w:val="100"/>
        </w:rPr>
        <w:t>号</w:t>
      </w:r>
      <w:r>
        <w:rPr>
          <w:w w:val="100"/>
        </w:rPr>
        <w:t>的</w:t>
      </w:r>
      <w:r>
        <w:rPr>
          <w:spacing w:val="-3"/>
          <w:w w:val="100"/>
        </w:rPr>
        <w:t>规</w:t>
      </w:r>
      <w:r>
        <w:rPr>
          <w:w w:val="100"/>
        </w:rPr>
        <w:t>定对</w:t>
      </w:r>
      <w:r>
        <w:rPr>
          <w:spacing w:val="-3"/>
          <w:w w:val="100"/>
        </w:rPr>
        <w:t>此</w:t>
      </w:r>
      <w:r>
        <w:rPr>
          <w:w w:val="100"/>
        </w:rPr>
        <w:t>进</w:t>
      </w:r>
      <w:r>
        <w:rPr>
          <w:spacing w:val="-3"/>
          <w:w w:val="100"/>
        </w:rPr>
        <w:t>行</w:t>
      </w:r>
      <w:r>
        <w:rPr>
          <w:w w:val="100"/>
        </w:rPr>
        <w:t>追</w:t>
      </w:r>
      <w:r>
        <w:rPr>
          <w:spacing w:val="-3"/>
          <w:w w:val="100"/>
        </w:rPr>
        <w:t>溯</w:t>
      </w:r>
      <w:r>
        <w:rPr>
          <w:w w:val="100"/>
        </w:rPr>
        <w:t>调</w:t>
      </w:r>
      <w:r>
        <w:rPr>
          <w:spacing w:val="-3"/>
          <w:w w:val="100"/>
        </w:rPr>
        <w:t>整</w:t>
      </w:r>
      <w:r>
        <w:rPr>
          <w:w w:val="100"/>
        </w:rPr>
        <w:t>，</w:t>
      </w:r>
    </w:p>
    <w:p>
      <w:pPr>
        <w:pStyle w:val="BodyText"/>
        <w:spacing w:line="338" w:lineRule="auto" w:before="121"/>
        <w:ind w:left="560" w:right="1205" w:hanging="420"/>
        <w:jc w:val="left"/>
      </w:pPr>
      <w:r>
        <w:rPr/>
        <w:t>调增合并财务报表未分配利润</w:t>
      </w:r>
      <w:r>
        <w:rPr>
          <w:spacing w:val="-48"/>
        </w:rPr>
        <w:t> </w:t>
      </w:r>
      <w:r>
        <w:rPr>
          <w:rFonts w:ascii="Arial" w:hAnsi="Arial" w:cs="Arial" w:eastAsia="Arial" w:hint="default"/>
          <w:spacing w:val="-3"/>
        </w:rPr>
        <w:t>5,109,117.24</w:t>
      </w:r>
      <w:r>
        <w:rPr>
          <w:rFonts w:ascii="Arial" w:hAnsi="Arial" w:cs="Arial" w:eastAsia="Arial" w:hint="default"/>
          <w:spacing w:val="-1"/>
        </w:rPr>
        <w:t> </w:t>
      </w:r>
      <w:r>
        <w:rPr/>
        <w:t>元，调减合并财务报表少数股东权益</w:t>
      </w:r>
      <w:r>
        <w:rPr>
          <w:spacing w:val="-47"/>
        </w:rPr>
        <w:t> </w:t>
      </w:r>
      <w:r>
        <w:rPr>
          <w:rFonts w:ascii="Arial" w:hAnsi="Arial" w:cs="Arial" w:eastAsia="Arial" w:hint="default"/>
          <w:spacing w:val="-3"/>
        </w:rPr>
        <w:t>5,109,117.24 </w:t>
      </w:r>
      <w:r>
        <w:rPr>
          <w:spacing w:val="-3"/>
        </w:rPr>
        <w:t>元。</w:t>
      </w:r>
      <w:r>
        <w:rPr>
          <w:spacing w:val="-103"/>
        </w:rPr>
        <w:t> </w:t>
      </w:r>
      <w:r>
        <w:rPr/>
        <w:t>本报告期主要会计政策变更对合并报表的影响情况列示如下：</w:t>
      </w:r>
    </w:p>
    <w:p>
      <w:pPr>
        <w:spacing w:line="240" w:lineRule="auto" w:before="5"/>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658"/>
        <w:gridCol w:w="2763"/>
        <w:gridCol w:w="2604"/>
      </w:tblGrid>
      <w:tr>
        <w:trPr>
          <w:trHeight w:val="360" w:hRule="exact"/>
        </w:trPr>
        <w:tc>
          <w:tcPr>
            <w:tcW w:w="36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7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6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3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2"/>
                <w:sz w:val="18"/>
              </w:rPr>
              <w:t>5,109,117.24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2,410,737.61</w:t>
            </w:r>
          </w:p>
        </w:tc>
      </w:tr>
      <w:tr>
        <w:trPr>
          <w:trHeight w:val="3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年初少数股东权益</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2"/>
                <w:sz w:val="18"/>
              </w:rPr>
              <w:t>-5,109,117.24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-2,410,737.61</w:t>
            </w:r>
          </w:p>
        </w:tc>
      </w:tr>
      <w:tr>
        <w:trPr>
          <w:trHeight w:val="348"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763"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2,698,379.63</w:t>
            </w:r>
          </w:p>
        </w:tc>
      </w:tr>
      <w:tr>
        <w:trPr>
          <w:trHeight w:val="362" w:hRule="exact"/>
        </w:trPr>
        <w:tc>
          <w:tcPr>
            <w:tcW w:w="36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63" w:type="dxa"/>
            <w:tcBorders>
              <w:top w:val="single" w:sz="4" w:space="0" w:color="000000"/>
              <w:left w:val="single" w:sz="4" w:space="0" w:color="000000"/>
              <w:bottom w:val="single" w:sz="12" w:space="0" w:color="000000"/>
              <w:right w:val="single" w:sz="4" w:space="0" w:color="000000"/>
            </w:tcBorders>
          </w:tcPr>
          <w:p>
            <w:pPr/>
          </w:p>
        </w:tc>
        <w:tc>
          <w:tcPr>
            <w:tcW w:w="2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-2,698,379.63</w:t>
            </w:r>
          </w:p>
        </w:tc>
      </w:tr>
    </w:tbl>
    <w:p>
      <w:pPr>
        <w:spacing w:after="0" w:line="240" w:lineRule="auto"/>
        <w:jc w:val="right"/>
        <w:rPr>
          <w:rFonts w:ascii="Arial" w:hAnsi="Arial" w:cs="Arial" w:eastAsia="Arial" w:hint="default"/>
          <w:sz w:val="18"/>
          <w:szCs w:val="18"/>
        </w:rPr>
        <w:sectPr>
          <w:pgSz w:w="11910" w:h="16840"/>
          <w:pgMar w:header="884" w:footer="1013" w:top="1080" w:bottom="1200" w:left="1300" w:right="0"/>
        </w:sectPr>
      </w:pPr>
    </w:p>
    <w:p>
      <w:pPr>
        <w:spacing w:line="391" w:lineRule="auto" w:before="30"/>
        <w:ind w:left="560" w:right="5675"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36112" coordorigin="1412,57" coordsize="8726,2">
            <v:shape style="position:absolute;left:1412;top:57;width:8726;height:2" coordorigin="1412,57" coordsize="8726,0" path="m1412,57l10137,57e" filled="false" stroked="true" strokeweight=".72pt" strokecolor="#000000">
              <v:path arrowok="t"/>
            </v:shape>
            <w10:wrap type="none"/>
          </v:group>
        </w:pict>
      </w: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本报告期主要会计估计未发生变更。</w:t>
      </w:r>
    </w:p>
    <w:p>
      <w:pPr>
        <w:spacing w:line="410" w:lineRule="auto" w:before="152"/>
        <w:ind w:left="560" w:right="5675" w:firstLine="0"/>
        <w:jc w:val="left"/>
        <w:rPr>
          <w:rFonts w:ascii="宋体" w:hAnsi="宋体" w:cs="宋体" w:eastAsia="宋体" w:hint="default"/>
          <w:sz w:val="21"/>
          <w:szCs w:val="21"/>
        </w:rPr>
      </w:pPr>
      <w:r>
        <w:rPr>
          <w:rFonts w:ascii="宋体" w:hAnsi="宋体" w:cs="宋体" w:eastAsia="宋体" w:hint="default"/>
          <w:b/>
          <w:bCs/>
          <w:sz w:val="21"/>
          <w:szCs w:val="21"/>
        </w:rPr>
        <w:t>（二十七）</w:t>
      </w:r>
      <w:r>
        <w:rPr>
          <w:rFonts w:ascii="宋体" w:hAnsi="宋体" w:cs="宋体" w:eastAsia="宋体" w:hint="default"/>
          <w:b/>
          <w:bCs/>
          <w:spacing w:val="-83"/>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本报告期未发生前期会计差错更正。</w:t>
      </w:r>
    </w:p>
    <w:p>
      <w:pPr>
        <w:spacing w:line="240" w:lineRule="auto" w:before="1"/>
        <w:rPr>
          <w:rFonts w:ascii="宋体" w:hAnsi="宋体" w:cs="宋体" w:eastAsia="宋体" w:hint="default"/>
          <w:sz w:val="15"/>
          <w:szCs w:val="15"/>
        </w:rPr>
      </w:pPr>
    </w:p>
    <w:p>
      <w:pPr>
        <w:pStyle w:val="Heading4"/>
        <w:spacing w:line="240" w:lineRule="auto"/>
        <w:ind w:left="140" w:right="1205"/>
        <w:jc w:val="left"/>
        <w:rPr>
          <w:b w:val="0"/>
          <w:bCs w:val="0"/>
        </w:rPr>
      </w:pPr>
      <w:r>
        <w:rPr/>
        <w:t>三、</w:t>
      </w:r>
      <w:r>
        <w:rPr>
          <w:spacing w:val="-48"/>
        </w:rPr>
        <w:t> </w:t>
      </w:r>
      <w:r>
        <w:rPr/>
        <w:t>税项</w:t>
      </w:r>
      <w:r>
        <w:rPr>
          <w:b w:val="0"/>
          <w:bCs w:val="0"/>
        </w:rPr>
      </w:r>
    </w:p>
    <w:p>
      <w:pPr>
        <w:spacing w:line="240" w:lineRule="auto" w:before="5"/>
        <w:rPr>
          <w:rFonts w:ascii="宋体" w:hAnsi="宋体" w:cs="宋体" w:eastAsia="宋体" w:hint="default"/>
          <w:b/>
          <w:bCs/>
          <w:sz w:val="19"/>
          <w:szCs w:val="19"/>
        </w:rPr>
      </w:pPr>
    </w:p>
    <w:p>
      <w:pPr>
        <w:spacing w:before="0"/>
        <w:ind w:left="560" w:right="1205"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3"/>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202" w:type="dxa"/>
        <w:tblLayout w:type="fixed"/>
        <w:tblCellMar>
          <w:top w:w="0" w:type="dxa"/>
          <w:left w:w="0" w:type="dxa"/>
          <w:bottom w:w="0" w:type="dxa"/>
          <w:right w:w="0" w:type="dxa"/>
        </w:tblCellMar>
        <w:tblLook w:val="01E0"/>
      </w:tblPr>
      <w:tblGrid>
        <w:gridCol w:w="1625"/>
        <w:gridCol w:w="2890"/>
        <w:gridCol w:w="1980"/>
        <w:gridCol w:w="2364"/>
      </w:tblGrid>
      <w:tr>
        <w:trPr>
          <w:trHeight w:val="413" w:hRule="exact"/>
        </w:trPr>
        <w:tc>
          <w:tcPr>
            <w:tcW w:w="16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税目</w:t>
            </w:r>
          </w:p>
        </w:tc>
        <w:tc>
          <w:tcPr>
            <w:tcW w:w="2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纳税（费）基础</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税（费）率</w:t>
            </w:r>
          </w:p>
        </w:tc>
        <w:tc>
          <w:tcPr>
            <w:tcW w:w="23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52"/>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5" w:right="0"/>
              <w:jc w:val="center"/>
              <w:rPr>
                <w:rFonts w:ascii="Arial" w:hAnsi="Arial" w:cs="Arial" w:eastAsia="Arial" w:hint="default"/>
                <w:sz w:val="18"/>
                <w:szCs w:val="18"/>
              </w:rPr>
            </w:pPr>
            <w:r>
              <w:rPr>
                <w:rFonts w:ascii="Arial"/>
                <w:sz w:val="18"/>
              </w:rPr>
              <w:t>5%</w:t>
            </w:r>
          </w:p>
        </w:tc>
        <w:tc>
          <w:tcPr>
            <w:tcW w:w="236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52"/>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5" w:right="0"/>
              <w:jc w:val="center"/>
              <w:rPr>
                <w:rFonts w:ascii="Arial" w:hAnsi="Arial" w:cs="Arial" w:eastAsia="Arial" w:hint="default"/>
                <w:sz w:val="18"/>
                <w:szCs w:val="18"/>
              </w:rPr>
            </w:pPr>
            <w:r>
              <w:rPr>
                <w:rFonts w:ascii="Arial"/>
                <w:sz w:val="18"/>
              </w:rPr>
              <w:t>17%</w:t>
            </w:r>
          </w:p>
        </w:tc>
        <w:tc>
          <w:tcPr>
            <w:tcW w:w="236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5" w:right="0"/>
              <w:jc w:val="center"/>
              <w:rPr>
                <w:rFonts w:ascii="Arial" w:hAnsi="Arial" w:cs="Arial" w:eastAsia="Arial" w:hint="default"/>
                <w:sz w:val="18"/>
                <w:szCs w:val="18"/>
              </w:rPr>
            </w:pPr>
            <w:r>
              <w:rPr>
                <w:rFonts w:ascii="Arial"/>
                <w:sz w:val="18"/>
              </w:rPr>
              <w:t>7%</w:t>
            </w:r>
          </w:p>
        </w:tc>
        <w:tc>
          <w:tcPr>
            <w:tcW w:w="236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6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sz w:val="18"/>
              </w:rPr>
              <w:t>3%</w:t>
            </w:r>
          </w:p>
        </w:tc>
        <w:tc>
          <w:tcPr>
            <w:tcW w:w="2364" w:type="dxa"/>
            <w:tcBorders>
              <w:top w:val="single" w:sz="2" w:space="0" w:color="000000"/>
              <w:left w:val="single" w:sz="2" w:space="0" w:color="000000"/>
              <w:bottom w:val="single" w:sz="12" w:space="0" w:color="000000"/>
              <w:right w:val="nil" w:sz="6" w:space="0" w:color="auto"/>
            </w:tcBorders>
          </w:tcPr>
          <w:p>
            <w:pP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3725"/>
        <w:gridCol w:w="2564"/>
        <w:gridCol w:w="2571"/>
      </w:tblGrid>
      <w:tr>
        <w:trPr>
          <w:trHeight w:val="362"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92" w:right="0"/>
              <w:jc w:val="left"/>
              <w:rPr>
                <w:rFonts w:ascii="宋体" w:hAnsi="宋体" w:cs="宋体" w:eastAsia="宋体" w:hint="default"/>
                <w:sz w:val="18"/>
                <w:szCs w:val="18"/>
              </w:rPr>
            </w:pPr>
            <w:r>
              <w:rPr>
                <w:rFonts w:ascii="宋体" w:hAnsi="宋体" w:cs="宋体" w:eastAsia="宋体" w:hint="default"/>
                <w:sz w:val="18"/>
                <w:szCs w:val="18"/>
              </w:rPr>
              <w:t>税率</w:t>
            </w:r>
          </w:p>
        </w:tc>
        <w:tc>
          <w:tcPr>
            <w:tcW w:w="25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子公司：华立仪表集团股份有限公司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3"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763"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42" w:right="0"/>
              <w:jc w:val="left"/>
              <w:rPr>
                <w:rFonts w:ascii="Arial" w:hAnsi="Arial" w:cs="Arial" w:eastAsia="Arial" w:hint="default"/>
                <w:sz w:val="18"/>
                <w:szCs w:val="18"/>
              </w:rPr>
            </w:pPr>
            <w:r>
              <w:rPr>
                <w:rFonts w:ascii="Arial"/>
                <w:sz w:val="18"/>
              </w:rPr>
              <w:t>0%</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65"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其余子公司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25%</w:t>
            </w:r>
          </w:p>
        </w:tc>
        <w:tc>
          <w:tcPr>
            <w:tcW w:w="2571" w:type="dxa"/>
            <w:tcBorders>
              <w:top w:val="single" w:sz="6" w:space="0" w:color="000000"/>
              <w:left w:val="single" w:sz="6" w:space="0" w:color="000000"/>
              <w:bottom w:val="single" w:sz="12" w:space="0" w:color="000000"/>
              <w:right w:val="nil" w:sz="6" w:space="0" w:color="auto"/>
            </w:tcBorders>
          </w:tcPr>
          <w:p>
            <w:pP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7"/>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560" w:right="1205"/>
        <w:jc w:val="left"/>
      </w:pPr>
      <w:r>
        <w:rPr>
          <w:w w:val="100"/>
        </w:rPr>
        <w:t>房产</w:t>
      </w:r>
      <w:r>
        <w:rPr>
          <w:spacing w:val="-3"/>
          <w:w w:val="100"/>
        </w:rPr>
        <w:t>税</w:t>
      </w:r>
      <w:r>
        <w:rPr>
          <w:w w:val="100"/>
        </w:rPr>
        <w:t>按</w:t>
      </w:r>
      <w:r>
        <w:rPr>
          <w:spacing w:val="-3"/>
          <w:w w:val="100"/>
        </w:rPr>
        <w:t>照</w:t>
      </w:r>
      <w:r>
        <w:rPr>
          <w:w w:val="100"/>
        </w:rPr>
        <w:t>房</w:t>
      </w:r>
      <w:r>
        <w:rPr>
          <w:spacing w:val="-3"/>
          <w:w w:val="100"/>
        </w:rPr>
        <w:t>产</w:t>
      </w:r>
      <w:r>
        <w:rPr>
          <w:w w:val="100"/>
        </w:rPr>
        <w:t>原</w:t>
      </w:r>
      <w:r>
        <w:rPr>
          <w:spacing w:val="-3"/>
          <w:w w:val="100"/>
        </w:rPr>
        <w:t>值</w:t>
      </w:r>
      <w:r>
        <w:rPr>
          <w:w w:val="100"/>
        </w:rPr>
        <w:t>的</w:t>
      </w:r>
      <w:r>
        <w:rPr>
          <w:spacing w:val="-57"/>
        </w:rPr>
        <w:t> </w:t>
      </w:r>
      <w:r>
        <w:rPr>
          <w:rFonts w:ascii="Arial" w:hAnsi="Arial" w:cs="Arial" w:eastAsia="Arial" w:hint="default"/>
          <w:w w:val="100"/>
        </w:rPr>
        <w:t>7</w:t>
      </w:r>
      <w:r>
        <w:rPr>
          <w:rFonts w:ascii="Arial" w:hAnsi="Arial" w:cs="Arial" w:eastAsia="Arial" w:hint="default"/>
          <w:spacing w:val="-3"/>
          <w:w w:val="100"/>
        </w:rPr>
        <w:t>0</w:t>
      </w:r>
      <w:r>
        <w:rPr>
          <w:rFonts w:ascii="Arial" w:hAnsi="Arial" w:cs="Arial" w:eastAsia="Arial" w:hint="default"/>
          <w:spacing w:val="-1"/>
          <w:w w:val="100"/>
        </w:rPr>
        <w:t>%</w:t>
      </w:r>
      <w:r>
        <w:rPr>
          <w:w w:val="100"/>
        </w:rPr>
        <w:t>为</w:t>
      </w:r>
      <w:r>
        <w:rPr>
          <w:spacing w:val="-3"/>
          <w:w w:val="100"/>
        </w:rPr>
        <w:t>纳</w:t>
      </w:r>
      <w:r>
        <w:rPr>
          <w:w w:val="100"/>
        </w:rPr>
        <w:t>税</w:t>
      </w:r>
      <w:r>
        <w:rPr>
          <w:spacing w:val="-3"/>
          <w:w w:val="100"/>
        </w:rPr>
        <w:t>基</w:t>
      </w:r>
      <w:r>
        <w:rPr>
          <w:w w:val="100"/>
        </w:rPr>
        <w:t>准</w:t>
      </w:r>
      <w:r>
        <w:rPr>
          <w:spacing w:val="-106"/>
          <w:w w:val="100"/>
        </w:rPr>
        <w:t>，</w:t>
      </w:r>
      <w:r>
        <w:rPr>
          <w:spacing w:val="-3"/>
          <w:w w:val="100"/>
        </w:rPr>
        <w:t>税</w:t>
      </w:r>
      <w:r>
        <w:rPr>
          <w:w w:val="100"/>
        </w:rPr>
        <w:t>率为</w:t>
      </w:r>
      <w:r>
        <w:rPr>
          <w:spacing w:val="-58"/>
        </w:rPr>
        <w:t> </w:t>
      </w:r>
      <w:r>
        <w:rPr>
          <w:rFonts w:ascii="Arial" w:hAnsi="Arial" w:cs="Arial" w:eastAsia="Arial" w:hint="default"/>
          <w:w w:val="100"/>
        </w:rPr>
        <w:t>1</w:t>
      </w:r>
      <w:r>
        <w:rPr>
          <w:rFonts w:ascii="Arial" w:hAnsi="Arial" w:cs="Arial" w:eastAsia="Arial" w:hint="default"/>
          <w:spacing w:val="-1"/>
          <w:w w:val="100"/>
        </w:rPr>
        <w:t>.</w:t>
      </w:r>
      <w:r>
        <w:rPr>
          <w:rFonts w:ascii="Arial" w:hAnsi="Arial" w:cs="Arial" w:eastAsia="Arial" w:hint="default"/>
          <w:spacing w:val="-3"/>
          <w:w w:val="100"/>
        </w:rPr>
        <w:t>2</w:t>
      </w:r>
      <w:r>
        <w:rPr>
          <w:rFonts w:ascii="Arial" w:hAnsi="Arial" w:cs="Arial" w:eastAsia="Arial" w:hint="default"/>
          <w:spacing w:val="-1"/>
          <w:w w:val="100"/>
        </w:rPr>
        <w:t>%</w:t>
      </w:r>
      <w:r>
        <w:rPr>
          <w:spacing w:val="-106"/>
          <w:w w:val="100"/>
        </w:rPr>
        <w:t>，</w:t>
      </w:r>
      <w:r>
        <w:rPr>
          <w:w w:val="100"/>
        </w:rPr>
        <w:t>或</w:t>
      </w:r>
      <w:r>
        <w:rPr>
          <w:spacing w:val="-3"/>
          <w:w w:val="100"/>
        </w:rPr>
        <w:t>以</w:t>
      </w:r>
      <w:r>
        <w:rPr>
          <w:w w:val="100"/>
        </w:rPr>
        <w:t>租</w:t>
      </w:r>
      <w:r>
        <w:rPr>
          <w:spacing w:val="-3"/>
          <w:w w:val="100"/>
        </w:rPr>
        <w:t>金</w:t>
      </w:r>
      <w:r>
        <w:rPr>
          <w:w w:val="100"/>
        </w:rPr>
        <w:t>收</w:t>
      </w:r>
      <w:r>
        <w:rPr>
          <w:spacing w:val="-3"/>
          <w:w w:val="100"/>
        </w:rPr>
        <w:t>入</w:t>
      </w:r>
      <w:r>
        <w:rPr>
          <w:w w:val="100"/>
        </w:rPr>
        <w:t>为</w:t>
      </w:r>
      <w:r>
        <w:rPr>
          <w:spacing w:val="-3"/>
          <w:w w:val="100"/>
        </w:rPr>
        <w:t>纳</w:t>
      </w:r>
      <w:r>
        <w:rPr>
          <w:w w:val="100"/>
        </w:rPr>
        <w:t>税</w:t>
      </w:r>
      <w:r>
        <w:rPr>
          <w:spacing w:val="-3"/>
          <w:w w:val="100"/>
        </w:rPr>
        <w:t>基</w:t>
      </w:r>
      <w:r>
        <w:rPr>
          <w:w w:val="100"/>
        </w:rPr>
        <w:t>准</w:t>
      </w:r>
      <w:r>
        <w:rPr>
          <w:spacing w:val="-106"/>
          <w:w w:val="100"/>
        </w:rPr>
        <w:t>，</w:t>
      </w:r>
      <w:r>
        <w:rPr>
          <w:spacing w:val="-3"/>
          <w:w w:val="100"/>
        </w:rPr>
        <w:t>税</w:t>
      </w:r>
      <w:r>
        <w:rPr>
          <w:w w:val="100"/>
        </w:rPr>
        <w:t>率为</w:t>
      </w:r>
      <w:r>
        <w:rPr>
          <w:spacing w:val="-57"/>
        </w:rPr>
        <w:t> </w:t>
      </w:r>
      <w:r>
        <w:rPr>
          <w:rFonts w:ascii="Arial" w:hAnsi="Arial" w:cs="Arial" w:eastAsia="Arial" w:hint="default"/>
          <w:w w:val="100"/>
        </w:rPr>
        <w:t>1</w:t>
      </w:r>
      <w:r>
        <w:rPr>
          <w:rFonts w:ascii="Arial" w:hAnsi="Arial" w:cs="Arial" w:eastAsia="Arial" w:hint="default"/>
          <w:spacing w:val="-3"/>
          <w:w w:val="100"/>
        </w:rPr>
        <w:t>2</w:t>
      </w:r>
      <w:r>
        <w:rPr>
          <w:rFonts w:ascii="Arial" w:hAnsi="Arial" w:cs="Arial" w:eastAsia="Arial" w:hint="default"/>
          <w:spacing w:val="-3"/>
          <w:w w:val="100"/>
        </w:rPr>
        <w:t>%</w:t>
      </w:r>
      <w:r>
        <w:rPr>
          <w:w w:val="100"/>
        </w:rPr>
        <w:t>。</w:t>
      </w:r>
    </w:p>
    <w:p>
      <w:pPr>
        <w:spacing w:line="391" w:lineRule="auto" w:before="168"/>
        <w:ind w:left="560" w:right="5675"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个人所得税</w:t>
      </w:r>
      <w:r>
        <w:rPr>
          <w:rFonts w:ascii="宋体" w:hAnsi="宋体" w:cs="宋体" w:eastAsia="宋体" w:hint="default"/>
          <w:b/>
          <w:bCs/>
          <w:w w:val="100"/>
          <w:sz w:val="21"/>
          <w:szCs w:val="21"/>
        </w:rPr>
        <w:t> </w:t>
      </w:r>
      <w:r>
        <w:rPr>
          <w:rFonts w:ascii="宋体" w:hAnsi="宋体" w:cs="宋体" w:eastAsia="宋体" w:hint="default"/>
          <w:spacing w:val="-2"/>
          <w:sz w:val="21"/>
          <w:szCs w:val="21"/>
        </w:rPr>
        <w:t>员工个人所得税由本公司代扣代缴。</w:t>
      </w:r>
    </w:p>
    <w:p>
      <w:pPr>
        <w:spacing w:line="240" w:lineRule="auto" w:before="8"/>
        <w:rPr>
          <w:rFonts w:ascii="宋体" w:hAnsi="宋体" w:cs="宋体" w:eastAsia="宋体" w:hint="default"/>
          <w:sz w:val="18"/>
          <w:szCs w:val="18"/>
        </w:rPr>
      </w:pPr>
    </w:p>
    <w:p>
      <w:pPr>
        <w:pStyle w:val="Heading4"/>
        <w:spacing w:line="240" w:lineRule="auto"/>
        <w:ind w:right="1205"/>
        <w:jc w:val="left"/>
        <w:rPr>
          <w:b w:val="0"/>
          <w:bCs w:val="0"/>
        </w:rPr>
      </w:pPr>
      <w:r>
        <w:rPr/>
        <w:t>（二）</w:t>
      </w:r>
      <w:r>
        <w:rPr>
          <w:spacing w:val="-83"/>
        </w:rPr>
        <w:t> </w:t>
      </w:r>
      <w:r>
        <w:rPr/>
        <w:t>税收优惠及批文</w:t>
      </w:r>
      <w:r>
        <w:rPr>
          <w:b w:val="0"/>
          <w:bCs w:val="0"/>
        </w:rPr>
      </w:r>
    </w:p>
    <w:p>
      <w:pPr>
        <w:spacing w:line="240" w:lineRule="auto" w:before="12"/>
        <w:rPr>
          <w:rFonts w:ascii="宋体" w:hAnsi="宋体" w:cs="宋体" w:eastAsia="宋体" w:hint="default"/>
          <w:b/>
          <w:bCs/>
          <w:sz w:val="23"/>
          <w:szCs w:val="23"/>
        </w:rPr>
      </w:pPr>
    </w:p>
    <w:p>
      <w:pPr>
        <w:spacing w:line="388" w:lineRule="auto"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流转税及附加税费</w:t>
      </w:r>
      <w:r>
        <w:rPr>
          <w:rFonts w:ascii="宋体" w:hAnsi="宋体" w:cs="宋体" w:eastAsia="宋体" w:hint="default"/>
          <w:b/>
          <w:bCs/>
          <w:w w:val="100"/>
          <w:sz w:val="21"/>
          <w:szCs w:val="21"/>
        </w:rPr>
        <w:t> </w:t>
      </w:r>
      <w:r>
        <w:rPr>
          <w:rFonts w:ascii="宋体" w:hAnsi="宋体" w:cs="宋体" w:eastAsia="宋体" w:hint="default"/>
          <w:spacing w:val="-2"/>
          <w:sz w:val="21"/>
          <w:szCs w:val="21"/>
        </w:rPr>
        <w:t>子公司杭州中盛仪器仪表有限公司、重庆华虹仪表有限公司增值税按符合条件的每位残疾职工</w:t>
      </w:r>
    </w:p>
    <w:p>
      <w:pPr>
        <w:pStyle w:val="BodyText"/>
        <w:spacing w:line="348" w:lineRule="auto" w:before="5"/>
        <w:ind w:right="1431"/>
        <w:jc w:val="both"/>
      </w:pPr>
      <w:r>
        <w:rPr>
          <w:spacing w:val="2"/>
        </w:rPr>
        <w:t>每人每月一定限额享受予以退还增值税的优惠政策，但不退还政策法规明确规定不应当退还的税</w:t>
      </w:r>
      <w:r>
        <w:rPr>
          <w:spacing w:val="-6"/>
        </w:rPr>
        <w:t> </w:t>
      </w:r>
      <w:r>
        <w:rPr>
          <w:spacing w:val="-6"/>
        </w:rPr>
      </w:r>
      <w:r>
        <w:rPr>
          <w:spacing w:val="-2"/>
        </w:rPr>
        <w:t>款。子公司杭州子蜂软件有限公司根据财政部、国家税务局、海关总署财税</w:t>
      </w:r>
      <w:r>
        <w:rPr>
          <w:rFonts w:ascii="Arial" w:hAnsi="Arial" w:cs="Arial" w:eastAsia="Arial" w:hint="default"/>
          <w:spacing w:val="-2"/>
        </w:rPr>
        <w:t>[2000]25</w:t>
      </w:r>
      <w:r>
        <w:rPr>
          <w:rFonts w:ascii="Arial" w:hAnsi="Arial" w:cs="Arial" w:eastAsia="Arial" w:hint="default"/>
        </w:rPr>
        <w:t> </w:t>
      </w:r>
      <w:r>
        <w:rPr>
          <w:spacing w:val="-3"/>
        </w:rPr>
        <w:t>号《关于鼓励</w:t>
      </w:r>
      <w:r>
        <w:rPr>
          <w:spacing w:val="-57"/>
        </w:rPr>
        <w:t> </w:t>
      </w:r>
      <w:r>
        <w:rPr>
          <w:spacing w:val="-57"/>
        </w:rPr>
      </w:r>
      <w:r>
        <w:rPr>
          <w:spacing w:val="-2"/>
        </w:rPr>
        <w:t>软件产品和集成电路产业发展有关税收政策问题的通知》的规定，对自行开发生产销售的软件产品</w:t>
      </w:r>
    </w:p>
    <w:p>
      <w:pPr>
        <w:spacing w:after="0" w:line="348" w:lineRule="auto"/>
        <w:jc w:val="both"/>
        <w:sectPr>
          <w:pgSz w:w="11910" w:h="16840"/>
          <w:pgMar w:header="884" w:footer="1013" w:top="1080" w:bottom="1200" w:left="1300" w:right="0"/>
        </w:sectPr>
      </w:pPr>
    </w:p>
    <w:p>
      <w:pPr>
        <w:pStyle w:val="BodyText"/>
        <w:spacing w:line="240" w:lineRule="auto" w:before="30"/>
        <w:ind w:right="1205"/>
        <w:jc w:val="left"/>
      </w:pPr>
      <w:r>
        <w:rPr/>
        <w:pict>
          <v:group style="position:absolute;margin-left:70.584pt;margin-top:2.843696pt;width:436.3pt;height:.1pt;mso-position-horizontal-relative:page;mso-position-vertical-relative:paragraph;z-index:-636088" coordorigin="1412,57" coordsize="8726,2">
            <v:shape style="position:absolute;left:1412;top:57;width:8726;height:2" coordorigin="1412,57" coordsize="8726,0" path="m1412,57l10137,57e" filled="false" stroked="true" strokeweight=".72pt" strokecolor="#000000">
              <v:path arrowok="t"/>
            </v:shape>
            <w10:wrap type="none"/>
          </v:group>
        </w:pict>
      </w:r>
      <w:r>
        <w:rPr/>
        <w:t>在</w:t>
      </w:r>
      <w:r>
        <w:rPr>
          <w:spacing w:val="-55"/>
        </w:rPr>
        <w:t> </w:t>
      </w:r>
      <w:r>
        <w:rPr>
          <w:rFonts w:ascii="Arial" w:hAnsi="Arial" w:cs="Arial" w:eastAsia="Arial" w:hint="default"/>
        </w:rPr>
        <w:t>2010</w:t>
      </w:r>
      <w:r>
        <w:rPr>
          <w:rFonts w:ascii="Arial" w:hAnsi="Arial" w:cs="Arial" w:eastAsia="Arial" w:hint="default"/>
          <w:spacing w:val="-9"/>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月前可享受增值税实际税负超过</w:t>
      </w:r>
      <w:r>
        <w:rPr>
          <w:spacing w:val="-55"/>
        </w:rPr>
        <w:t> </w:t>
      </w:r>
      <w:r>
        <w:rPr>
          <w:rFonts w:ascii="Arial" w:hAnsi="Arial" w:cs="Arial" w:eastAsia="Arial" w:hint="default"/>
        </w:rPr>
        <w:t>3%</w:t>
      </w:r>
      <w:r>
        <w:rPr/>
        <w:t>的部分予以退还政策。</w:t>
      </w:r>
    </w:p>
    <w:p>
      <w:pPr>
        <w:pStyle w:val="BodyText"/>
        <w:spacing w:line="388" w:lineRule="auto" w:before="181"/>
        <w:ind w:left="560" w:right="1205"/>
        <w:jc w:val="left"/>
      </w:pPr>
      <w:r>
        <w:rPr>
          <w:rFonts w:ascii="Arial" w:hAnsi="Arial" w:cs="Arial" w:eastAsia="Arial" w:hint="default"/>
          <w:b/>
          <w:bCs/>
        </w:rPr>
        <w:t>2.</w:t>
      </w:r>
      <w:r>
        <w:rPr>
          <w:rFonts w:ascii="Arial" w:hAnsi="Arial" w:cs="Arial" w:eastAsia="Arial" w:hint="default"/>
          <w:b/>
          <w:bCs/>
          <w:spacing w:val="45"/>
        </w:rPr>
        <w:t> </w:t>
      </w:r>
      <w:r>
        <w:rPr>
          <w:rFonts w:ascii="宋体" w:hAnsi="宋体" w:cs="宋体" w:eastAsia="宋体" w:hint="default"/>
          <w:b/>
          <w:bCs/>
        </w:rPr>
        <w:t>企业所得税</w:t>
      </w:r>
      <w:r>
        <w:rPr>
          <w:rFonts w:ascii="宋体" w:hAnsi="宋体" w:cs="宋体" w:eastAsia="宋体" w:hint="default"/>
          <w:b/>
          <w:bCs/>
          <w:w w:val="100"/>
        </w:rPr>
        <w:t> </w:t>
      </w:r>
      <w:r>
        <w:rPr>
          <w:spacing w:val="-2"/>
          <w:w w:val="100"/>
        </w:rPr>
        <w:t>公司根据财政部、国家税务总局、海关总署《关于西部大开发税收优惠政策问题的通知》，在</w:t>
      </w:r>
    </w:p>
    <w:p>
      <w:pPr>
        <w:pStyle w:val="BodyText"/>
        <w:spacing w:line="240" w:lineRule="auto" w:before="5"/>
        <w:ind w:right="1205"/>
        <w:jc w:val="left"/>
      </w:pPr>
      <w:r>
        <w:rPr>
          <w:rFonts w:ascii="Arial" w:hAnsi="Arial" w:cs="Arial" w:eastAsia="Arial" w:hint="default"/>
        </w:rPr>
        <w:t>2006</w:t>
      </w:r>
      <w:r>
        <w:rPr>
          <w:rFonts w:ascii="Arial" w:hAnsi="Arial" w:cs="Arial" w:eastAsia="Arial" w:hint="default"/>
          <w:spacing w:val="-7"/>
        </w:rPr>
        <w:t> </w:t>
      </w:r>
      <w:r>
        <w:rPr/>
        <w:t>年至</w:t>
      </w:r>
      <w:r>
        <w:rPr>
          <w:spacing w:val="-54"/>
        </w:rPr>
        <w:t> </w:t>
      </w:r>
      <w:r>
        <w:rPr>
          <w:rFonts w:ascii="Arial" w:hAnsi="Arial" w:cs="Arial" w:eastAsia="Arial" w:hint="default"/>
        </w:rPr>
        <w:t>2010</w:t>
      </w:r>
      <w:r>
        <w:rPr>
          <w:rFonts w:ascii="Arial" w:hAnsi="Arial" w:cs="Arial" w:eastAsia="Arial" w:hint="default"/>
          <w:spacing w:val="-9"/>
        </w:rPr>
        <w:t> </w:t>
      </w:r>
      <w:r>
        <w:rPr/>
        <w:t>年期间，按</w:t>
      </w:r>
      <w:r>
        <w:rPr>
          <w:spacing w:val="-53"/>
        </w:rPr>
        <w:t> </w:t>
      </w:r>
      <w:r>
        <w:rPr>
          <w:rFonts w:ascii="Arial" w:hAnsi="Arial" w:cs="Arial" w:eastAsia="Arial" w:hint="default"/>
        </w:rPr>
        <w:t>15%</w:t>
      </w:r>
      <w:r>
        <w:rPr/>
        <w:t>的税率计缴企业所得税。</w:t>
      </w:r>
    </w:p>
    <w:p>
      <w:pPr>
        <w:pStyle w:val="BodyText"/>
        <w:spacing w:line="340" w:lineRule="auto" w:before="118"/>
        <w:ind w:right="1431" w:firstLine="420"/>
        <w:jc w:val="both"/>
      </w:pPr>
      <w:r>
        <w:rPr/>
        <w:t>子公司华立仪表集团股份有限公司于</w:t>
      </w:r>
      <w:r>
        <w:rPr>
          <w:spacing w:val="-45"/>
        </w:rPr>
        <w:t> </w:t>
      </w:r>
      <w:r>
        <w:rPr>
          <w:rFonts w:ascii="Arial" w:hAnsi="Arial" w:cs="Arial" w:eastAsia="Arial" w:hint="default"/>
        </w:rPr>
        <w:t>2008</w:t>
      </w:r>
      <w:r>
        <w:rPr>
          <w:rFonts w:ascii="Arial" w:hAnsi="Arial" w:cs="Arial" w:eastAsia="Arial" w:hint="default"/>
          <w:spacing w:val="1"/>
        </w:rPr>
        <w:t> </w:t>
      </w:r>
      <w:r>
        <w:rPr/>
        <w:t>年被认定为高新技术企业，有效期为</w:t>
      </w:r>
      <w:r>
        <w:rPr>
          <w:spacing w:val="-43"/>
        </w:rPr>
        <w:t> </w:t>
      </w:r>
      <w:r>
        <w:rPr>
          <w:rFonts w:ascii="Arial" w:hAnsi="Arial" w:cs="Arial" w:eastAsia="Arial" w:hint="default"/>
        </w:rPr>
        <w:t>3</w:t>
      </w:r>
      <w:r>
        <w:rPr>
          <w:rFonts w:ascii="Arial" w:hAnsi="Arial" w:cs="Arial" w:eastAsia="Arial" w:hint="default"/>
          <w:spacing w:val="4"/>
        </w:rPr>
        <w:t> </w:t>
      </w:r>
      <w:r>
        <w:rPr/>
        <w:t>年，在该有</w:t>
      </w:r>
      <w:r>
        <w:rPr>
          <w:w w:val="100"/>
        </w:rPr>
        <w:t> </w:t>
      </w:r>
      <w:r>
        <w:rPr/>
        <w:t>效期内可享受</w:t>
      </w:r>
      <w:r>
        <w:rPr>
          <w:spacing w:val="-55"/>
        </w:rPr>
        <w:t> </w:t>
      </w:r>
      <w:r>
        <w:rPr>
          <w:rFonts w:ascii="Arial" w:hAnsi="Arial" w:cs="Arial" w:eastAsia="Arial" w:hint="default"/>
        </w:rPr>
        <w:t>15%</w:t>
      </w:r>
      <w:r>
        <w:rPr/>
        <w:t>的所得税优惠税率。</w:t>
      </w:r>
    </w:p>
    <w:p>
      <w:pPr>
        <w:pStyle w:val="BodyText"/>
        <w:spacing w:line="348" w:lineRule="auto" w:before="22"/>
        <w:ind w:right="1433" w:firstLine="420"/>
        <w:jc w:val="both"/>
      </w:pPr>
      <w:r>
        <w:rPr>
          <w:spacing w:val="-2"/>
        </w:rPr>
        <w:t>子公司重庆泰捷仪器仪表有限公司、重庆华虹仪表有限公司根据财政部、国家税务总局、海关</w:t>
      </w:r>
      <w:r>
        <w:rPr>
          <w:w w:val="100"/>
        </w:rPr>
        <w:t> </w:t>
      </w:r>
      <w:r>
        <w:rPr>
          <w:spacing w:val="-7"/>
          <w:w w:val="100"/>
        </w:rPr>
        <w:t>总署《关于西部大开发税收优惠政策问题的通知》，在</w:t>
      </w:r>
      <w:r>
        <w:rPr>
          <w:spacing w:val="-51"/>
          <w:w w:val="100"/>
        </w:rPr>
        <w:t> </w:t>
      </w:r>
      <w:r>
        <w:rPr>
          <w:rFonts w:ascii="Arial" w:hAnsi="Arial" w:cs="Arial" w:eastAsia="Arial" w:hint="default"/>
          <w:spacing w:val="-1"/>
          <w:w w:val="100"/>
        </w:rPr>
        <w:t>2001</w:t>
      </w:r>
      <w:r>
        <w:rPr>
          <w:rFonts w:ascii="Arial" w:hAnsi="Arial" w:cs="Arial" w:eastAsia="Arial" w:hint="default"/>
          <w:spacing w:val="-6"/>
          <w:w w:val="100"/>
        </w:rPr>
        <w:t> </w:t>
      </w:r>
      <w:r>
        <w:rPr>
          <w:w w:val="100"/>
        </w:rPr>
        <w:t>年至</w:t>
      </w:r>
      <w:r>
        <w:rPr>
          <w:spacing w:val="-54"/>
          <w:w w:val="100"/>
        </w:rPr>
        <w:t> </w:t>
      </w:r>
      <w:r>
        <w:rPr>
          <w:rFonts w:ascii="Arial" w:hAnsi="Arial" w:cs="Arial" w:eastAsia="Arial" w:hint="default"/>
          <w:spacing w:val="-1"/>
          <w:w w:val="100"/>
        </w:rPr>
        <w:t>2010</w:t>
      </w:r>
      <w:r>
        <w:rPr>
          <w:rFonts w:ascii="Arial" w:hAnsi="Arial" w:cs="Arial" w:eastAsia="Arial" w:hint="default"/>
          <w:spacing w:val="-4"/>
          <w:w w:val="100"/>
        </w:rPr>
        <w:t> </w:t>
      </w:r>
      <w:r>
        <w:rPr>
          <w:spacing w:val="-5"/>
          <w:w w:val="100"/>
        </w:rPr>
        <w:t>年期间，按</w:t>
      </w:r>
      <w:r>
        <w:rPr>
          <w:spacing w:val="-54"/>
          <w:w w:val="100"/>
        </w:rPr>
        <w:t> </w:t>
      </w:r>
      <w:r>
        <w:rPr>
          <w:rFonts w:ascii="Arial" w:hAnsi="Arial" w:cs="Arial" w:eastAsia="Arial" w:hint="default"/>
          <w:spacing w:val="-2"/>
          <w:w w:val="100"/>
        </w:rPr>
        <w:t>15%</w:t>
      </w:r>
      <w:r>
        <w:rPr>
          <w:spacing w:val="-2"/>
          <w:w w:val="100"/>
        </w:rPr>
        <w:t>的税率计缴</w:t>
      </w:r>
      <w:r>
        <w:rPr>
          <w:w w:val="100"/>
        </w:rPr>
        <w:t> </w:t>
      </w:r>
      <w:r>
        <w:rPr/>
        <w:t>企业所得税。</w:t>
      </w:r>
    </w:p>
    <w:p>
      <w:pPr>
        <w:pStyle w:val="BodyText"/>
        <w:spacing w:line="345" w:lineRule="auto" w:before="41"/>
        <w:ind w:right="1205" w:firstLine="420"/>
        <w:jc w:val="left"/>
      </w:pPr>
      <w:r>
        <w:rPr/>
        <w:t>子公司杭州中盛仪器仪表有限公司、重庆华虹仪表有限公司系民政福利企业，根据财政部、国</w:t>
      </w:r>
      <w:r>
        <w:rPr>
          <w:w w:val="100"/>
        </w:rPr>
        <w:t> </w:t>
      </w:r>
      <w:r>
        <w:rPr>
          <w:spacing w:val="-3"/>
        </w:rPr>
        <w:t>家税务总局财税</w:t>
      </w:r>
      <w:r>
        <w:rPr>
          <w:rFonts w:ascii="Arial" w:hAnsi="Arial" w:cs="Arial" w:eastAsia="Arial" w:hint="default"/>
          <w:spacing w:val="-3"/>
        </w:rPr>
        <w:t>[2006]111</w:t>
      </w:r>
      <w:r>
        <w:rPr>
          <w:rFonts w:ascii="Arial" w:hAnsi="Arial" w:cs="Arial" w:eastAsia="Arial" w:hint="default"/>
        </w:rPr>
        <w:t> </w:t>
      </w:r>
      <w:r>
        <w:rPr>
          <w:spacing w:val="-2"/>
        </w:rPr>
        <w:t>号《关于调整完善现行福利企业税收优惠政策试点工作的通知》的规定，</w:t>
      </w:r>
      <w:r>
        <w:rPr>
          <w:spacing w:val="-55"/>
        </w:rPr>
        <w:t> </w:t>
      </w:r>
      <w:r>
        <w:rPr>
          <w:spacing w:val="-55"/>
        </w:rPr>
      </w:r>
      <w:r>
        <w:rPr/>
        <w:t>从</w:t>
      </w:r>
      <w:r>
        <w:rPr>
          <w:spacing w:val="-47"/>
        </w:rPr>
        <w:t> </w:t>
      </w:r>
      <w:r>
        <w:rPr>
          <w:rFonts w:ascii="Arial" w:hAnsi="Arial" w:cs="Arial" w:eastAsia="Arial" w:hint="default"/>
        </w:rPr>
        <w:t>2006</w:t>
      </w:r>
      <w:r>
        <w:rPr>
          <w:rFonts w:ascii="Arial" w:hAnsi="Arial" w:cs="Arial" w:eastAsia="Arial" w:hint="default"/>
          <w:spacing w:val="-3"/>
        </w:rPr>
        <w:t> </w:t>
      </w:r>
      <w:r>
        <w:rPr/>
        <w:t>年</w:t>
      </w:r>
      <w:r>
        <w:rPr>
          <w:spacing w:val="-47"/>
        </w:rPr>
        <w:t> </w:t>
      </w:r>
      <w:r>
        <w:rPr>
          <w:rFonts w:ascii="Arial" w:hAnsi="Arial" w:cs="Arial" w:eastAsia="Arial" w:hint="default"/>
        </w:rPr>
        <w:t>10 </w:t>
      </w:r>
      <w:r>
        <w:rPr/>
        <w:t>月</w:t>
      </w:r>
      <w:r>
        <w:rPr>
          <w:spacing w:val="-50"/>
        </w:rPr>
        <w:t> </w:t>
      </w:r>
      <w:r>
        <w:rPr>
          <w:rFonts w:ascii="Arial" w:hAnsi="Arial" w:cs="Arial" w:eastAsia="Arial" w:hint="default"/>
        </w:rPr>
        <w:t>1 </w:t>
      </w:r>
      <w:r>
        <w:rPr>
          <w:spacing w:val="-4"/>
        </w:rPr>
        <w:t>日起，实行成本加计扣除办法，即支付给残疾职工工资可全额在计算所得税前扣</w:t>
      </w:r>
      <w:r>
        <w:rPr>
          <w:spacing w:val="-91"/>
        </w:rPr>
        <w:t> </w:t>
      </w:r>
      <w:r>
        <w:rPr>
          <w:spacing w:val="-91"/>
        </w:rPr>
      </w:r>
      <w:r>
        <w:rPr/>
        <w:t>除，并可</w:t>
      </w:r>
      <w:r>
        <w:rPr>
          <w:spacing w:val="-55"/>
        </w:rPr>
        <w:t> </w:t>
      </w:r>
      <w:r>
        <w:rPr>
          <w:rFonts w:ascii="Arial" w:hAnsi="Arial" w:cs="Arial" w:eastAsia="Arial" w:hint="default"/>
        </w:rPr>
        <w:t>100%</w:t>
      </w:r>
      <w:r>
        <w:rPr/>
        <w:t>加计扣除。</w:t>
      </w:r>
    </w:p>
    <w:p>
      <w:pPr>
        <w:pStyle w:val="BodyText"/>
        <w:spacing w:line="340" w:lineRule="auto" w:before="17"/>
        <w:ind w:right="1433" w:firstLine="420"/>
        <w:jc w:val="both"/>
      </w:pPr>
      <w:r>
        <w:rPr/>
        <w:t>子公司杭州子蜂软件有限公司于</w:t>
      </w:r>
      <w:r>
        <w:rPr>
          <w:spacing w:val="-45"/>
        </w:rPr>
        <w:t> </w:t>
      </w:r>
      <w:r>
        <w:rPr>
          <w:rFonts w:ascii="Arial" w:hAnsi="Arial" w:cs="Arial" w:eastAsia="Arial" w:hint="default"/>
        </w:rPr>
        <w:t>2009</w:t>
      </w:r>
      <w:r>
        <w:rPr>
          <w:rFonts w:ascii="Arial" w:hAnsi="Arial" w:cs="Arial" w:eastAsia="Arial" w:hint="default"/>
          <w:spacing w:val="1"/>
        </w:rPr>
        <w:t> </w:t>
      </w:r>
      <w:r>
        <w:rPr/>
        <w:t>年被认定为高新技术企业，有效期为</w:t>
      </w:r>
      <w:r>
        <w:rPr>
          <w:spacing w:val="-45"/>
        </w:rPr>
        <w:t> </w:t>
      </w:r>
      <w:r>
        <w:rPr>
          <w:rFonts w:ascii="Arial" w:hAnsi="Arial" w:cs="Arial" w:eastAsia="Arial" w:hint="default"/>
        </w:rPr>
        <w:t>3</w:t>
      </w:r>
      <w:r>
        <w:rPr>
          <w:rFonts w:ascii="Arial" w:hAnsi="Arial" w:cs="Arial" w:eastAsia="Arial" w:hint="default"/>
          <w:spacing w:val="4"/>
        </w:rPr>
        <w:t> </w:t>
      </w:r>
      <w:r>
        <w:rPr/>
        <w:t>年，在该有效期</w:t>
      </w:r>
      <w:r>
        <w:rPr>
          <w:w w:val="100"/>
        </w:rPr>
        <w:t> </w:t>
      </w:r>
      <w:r>
        <w:rPr/>
        <w:t>内可享受</w:t>
      </w:r>
      <w:r>
        <w:rPr>
          <w:spacing w:val="-55"/>
        </w:rPr>
        <w:t> </w:t>
      </w:r>
      <w:r>
        <w:rPr>
          <w:rFonts w:ascii="Arial" w:hAnsi="Arial" w:cs="Arial" w:eastAsia="Arial" w:hint="default"/>
        </w:rPr>
        <w:t>15%</w:t>
      </w:r>
      <w:r>
        <w:rPr/>
        <w:t>的所得税优惠税率。</w:t>
      </w:r>
    </w:p>
    <w:p>
      <w:pPr>
        <w:pStyle w:val="BodyText"/>
        <w:spacing w:line="340" w:lineRule="auto" w:before="19"/>
        <w:ind w:right="1433" w:firstLine="420"/>
        <w:jc w:val="both"/>
      </w:pPr>
      <w:r>
        <w:rPr/>
        <w:t>子公司重庆美联制药有限公司系外商投资企业，根据重庆市国家税务局渝国税函</w:t>
      </w:r>
      <w:r>
        <w:rPr>
          <w:rFonts w:ascii="Arial" w:hAnsi="Arial" w:cs="Arial" w:eastAsia="Arial" w:hint="default"/>
        </w:rPr>
        <w:t>[2002]488</w:t>
      </w:r>
      <w:r>
        <w:rPr>
          <w:rFonts w:ascii="Arial" w:hAnsi="Arial" w:cs="Arial" w:eastAsia="Arial" w:hint="default"/>
          <w:spacing w:val="42"/>
        </w:rPr>
        <w:t> </w:t>
      </w:r>
      <w:r>
        <w:rPr/>
        <w:t>号</w:t>
      </w:r>
      <w:r>
        <w:rPr>
          <w:w w:val="100"/>
        </w:rPr>
        <w:t> </w:t>
      </w:r>
      <w:r>
        <w:rPr/>
        <w:t>文批复，在</w:t>
      </w:r>
      <w:r>
        <w:rPr>
          <w:spacing w:val="-42"/>
        </w:rPr>
        <w:t> </w:t>
      </w:r>
      <w:r>
        <w:rPr>
          <w:rFonts w:ascii="Arial" w:hAnsi="Arial" w:cs="Arial" w:eastAsia="Arial" w:hint="default"/>
        </w:rPr>
        <w:t>2001</w:t>
      </w:r>
      <w:r>
        <w:rPr>
          <w:rFonts w:ascii="Arial" w:hAnsi="Arial" w:cs="Arial" w:eastAsia="Arial" w:hint="default"/>
          <w:spacing w:val="3"/>
        </w:rPr>
        <w:t> </w:t>
      </w:r>
      <w:r>
        <w:rPr/>
        <w:t>年至</w:t>
      </w:r>
      <w:r>
        <w:rPr>
          <w:spacing w:val="-44"/>
        </w:rPr>
        <w:t> </w:t>
      </w:r>
      <w:r>
        <w:rPr>
          <w:rFonts w:ascii="Arial" w:hAnsi="Arial" w:cs="Arial" w:eastAsia="Arial" w:hint="default"/>
        </w:rPr>
        <w:t>2010</w:t>
      </w:r>
      <w:r>
        <w:rPr>
          <w:rFonts w:ascii="Arial" w:hAnsi="Arial" w:cs="Arial" w:eastAsia="Arial" w:hint="default"/>
          <w:spacing w:val="6"/>
        </w:rPr>
        <w:t> </w:t>
      </w:r>
      <w:r>
        <w:rPr/>
        <w:t>年期间享受西部大开发企业所得税税收优惠政策，按</w:t>
      </w:r>
      <w:r>
        <w:rPr>
          <w:spacing w:val="-44"/>
        </w:rPr>
        <w:t> </w:t>
      </w:r>
      <w:r>
        <w:rPr>
          <w:rFonts w:ascii="Arial" w:hAnsi="Arial" w:cs="Arial" w:eastAsia="Arial" w:hint="default"/>
        </w:rPr>
        <w:t>15%</w:t>
      </w:r>
      <w:r>
        <w:rPr/>
        <w:t>的税率计缴</w:t>
      </w:r>
      <w:r>
        <w:rPr>
          <w:w w:val="100"/>
        </w:rPr>
        <w:t> </w:t>
      </w:r>
      <w:r>
        <w:rPr/>
        <w:t>企业所得税。</w:t>
      </w:r>
    </w:p>
    <w:p>
      <w:pPr>
        <w:pStyle w:val="BodyText"/>
        <w:spacing w:line="348" w:lineRule="auto" w:before="45"/>
        <w:ind w:right="1430" w:firstLine="420"/>
        <w:jc w:val="both"/>
      </w:pPr>
      <w:r>
        <w:rPr>
          <w:spacing w:val="-2"/>
        </w:rPr>
        <w:t>子公司洪雅美联曼地亚红豆杉种植有限公司系林木种植加工企业，根据财政部、国家税务总局</w:t>
      </w:r>
      <w:r>
        <w:rPr>
          <w:w w:val="100"/>
        </w:rPr>
        <w:t> </w:t>
      </w:r>
      <w:r>
        <w:rPr/>
        <w:t>财税字</w:t>
      </w:r>
      <w:r>
        <w:rPr>
          <w:rFonts w:ascii="Arial" w:hAnsi="Arial" w:cs="Arial" w:eastAsia="Arial" w:hint="default"/>
        </w:rPr>
        <w:t>[2001]171</w:t>
      </w:r>
      <w:r>
        <w:rPr>
          <w:rFonts w:ascii="Arial" w:hAnsi="Arial" w:cs="Arial" w:eastAsia="Arial" w:hint="default"/>
          <w:spacing w:val="44"/>
        </w:rPr>
        <w:t> </w:t>
      </w:r>
      <w:r>
        <w:rPr/>
        <w:t>号文件规定，其种植林木、林木种子和苗木作物以及从事林木产品初加工取得的</w:t>
      </w:r>
      <w:r>
        <w:rPr>
          <w:w w:val="100"/>
        </w:rPr>
        <w:t> </w:t>
      </w:r>
      <w:r>
        <w:rPr/>
        <w:t>所得，暂免缴纳企业所得税。</w:t>
      </w:r>
    </w:p>
    <w:p>
      <w:pPr>
        <w:spacing w:line="439" w:lineRule="auto" w:before="41"/>
        <w:ind w:left="140" w:right="2838" w:firstLine="420"/>
        <w:jc w:val="left"/>
        <w:rPr>
          <w:rFonts w:ascii="宋体" w:hAnsi="宋体" w:cs="宋体" w:eastAsia="宋体" w:hint="default"/>
          <w:sz w:val="21"/>
          <w:szCs w:val="21"/>
        </w:rPr>
      </w:pPr>
      <w:r>
        <w:rPr>
          <w:rFonts w:ascii="宋体" w:hAnsi="宋体" w:cs="宋体" w:eastAsia="宋体" w:hint="default"/>
          <w:sz w:val="21"/>
          <w:szCs w:val="21"/>
        </w:rPr>
        <w:t>除上述享受所得税减免税收优惠的公司外，其余公司企业所得税税率为</w:t>
      </w:r>
      <w:r>
        <w:rPr>
          <w:rFonts w:ascii="宋体" w:hAnsi="宋体" w:cs="宋体" w:eastAsia="宋体" w:hint="default"/>
          <w:spacing w:val="-57"/>
          <w:sz w:val="21"/>
          <w:szCs w:val="21"/>
        </w:rPr>
        <w:t> </w:t>
      </w:r>
      <w:r>
        <w:rPr>
          <w:rFonts w:ascii="Arial" w:hAnsi="Arial" w:cs="Arial" w:eastAsia="Arial"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四、</w:t>
      </w:r>
      <w:r>
        <w:rPr>
          <w:rFonts w:ascii="宋体" w:hAnsi="宋体" w:cs="宋体" w:eastAsia="宋体" w:hint="default"/>
          <w:b/>
          <w:bCs/>
          <w:spacing w:val="-54"/>
          <w:sz w:val="21"/>
          <w:szCs w:val="21"/>
        </w:rPr>
        <w:t> </w:t>
      </w:r>
      <w:r>
        <w:rPr>
          <w:rFonts w:ascii="宋体" w:hAnsi="宋体" w:cs="宋体" w:eastAsia="宋体" w:hint="default"/>
          <w:b/>
          <w:bCs/>
          <w:sz w:val="21"/>
          <w:szCs w:val="21"/>
        </w:rPr>
        <w:t>企业合并及合并财务报表</w:t>
      </w:r>
      <w:r>
        <w:rPr>
          <w:rFonts w:ascii="宋体" w:hAnsi="宋体" w:cs="宋体" w:eastAsia="宋体" w:hint="default"/>
          <w:sz w:val="21"/>
          <w:szCs w:val="21"/>
        </w:rPr>
      </w:r>
    </w:p>
    <w:p>
      <w:pPr>
        <w:pStyle w:val="Heading4"/>
        <w:spacing w:line="240" w:lineRule="auto" w:before="19"/>
        <w:ind w:right="1205"/>
        <w:jc w:val="left"/>
        <w:rPr>
          <w:b w:val="0"/>
          <w:bCs w:val="0"/>
        </w:rPr>
      </w:pPr>
      <w:r>
        <w:rPr/>
        <w:t>（一）</w:t>
      </w:r>
      <w:r>
        <w:rPr>
          <w:spacing w:val="-80"/>
        </w:rPr>
        <w:t> </w:t>
      </w:r>
      <w:r>
        <w:rPr/>
        <w:t>子公司情况</w:t>
      </w:r>
      <w:r>
        <w:rPr>
          <w:b w:val="0"/>
          <w:bCs w:val="0"/>
        </w:rPr>
      </w:r>
    </w:p>
    <w:p>
      <w:pPr>
        <w:spacing w:line="240" w:lineRule="auto" w:before="7"/>
        <w:rPr>
          <w:rFonts w:ascii="宋体" w:hAnsi="宋体" w:cs="宋体" w:eastAsia="宋体" w:hint="default"/>
          <w:b/>
          <w:bCs/>
          <w:sz w:val="19"/>
          <w:szCs w:val="19"/>
        </w:rPr>
      </w:pPr>
    </w:p>
    <w:p>
      <w:pPr>
        <w:spacing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6"/>
          <w:sz w:val="21"/>
          <w:szCs w:val="21"/>
        </w:rPr>
        <w:t> </w: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1379"/>
        <w:gridCol w:w="1373"/>
        <w:gridCol w:w="1577"/>
        <w:gridCol w:w="1176"/>
        <w:gridCol w:w="1236"/>
        <w:gridCol w:w="855"/>
        <w:gridCol w:w="1494"/>
      </w:tblGrid>
      <w:tr>
        <w:trPr>
          <w:trHeight w:val="677" w:hRule="exact"/>
        </w:trPr>
        <w:tc>
          <w:tcPr>
            <w:tcW w:w="13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0"/>
              <w:ind w:left="257"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34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5"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70"/>
              <w:ind w:left="328" w:right="149"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49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737"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47" w:right="104"/>
              <w:jc w:val="left"/>
              <w:rPr>
                <w:rFonts w:ascii="宋体" w:hAnsi="宋体" w:cs="宋体" w:eastAsia="宋体" w:hint="default"/>
                <w:sz w:val="18"/>
                <w:szCs w:val="18"/>
              </w:rPr>
            </w:pPr>
            <w:r>
              <w:rPr>
                <w:rFonts w:ascii="宋体" w:hAnsi="宋体" w:cs="宋体" w:eastAsia="宋体" w:hint="default"/>
                <w:spacing w:val="6"/>
                <w:sz w:val="18"/>
                <w:szCs w:val="18"/>
              </w:rPr>
              <w:t>杭州蓝创电力</w:t>
            </w:r>
            <w:r>
              <w:rPr>
                <w:rFonts w:ascii="宋体" w:hAnsi="宋体" w:cs="宋体" w:eastAsia="宋体" w:hint="default"/>
                <w:sz w:val="18"/>
                <w:szCs w:val="18"/>
              </w:rPr>
              <w:t> 科技有限公司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杭州余杭区五常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45"/>
                <w:sz w:val="18"/>
                <w:szCs w:val="18"/>
              </w:rPr>
              <w:t>街道五常街道</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181</w:t>
            </w:r>
            <w:r>
              <w:rPr>
                <w:rFonts w:ascii="Arial" w:hAnsi="Arial" w:cs="Arial" w:eastAsia="Arial"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号</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30.00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彭建华</w:t>
            </w:r>
          </w:p>
        </w:tc>
        <w:tc>
          <w:tcPr>
            <w:tcW w:w="1494"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100" w:right="127"/>
              <w:jc w:val="both"/>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55"/>
                <w:sz w:val="18"/>
                <w:szCs w:val="18"/>
              </w:rPr>
              <w:t> </w:t>
            </w:r>
            <w:r>
              <w:rPr>
                <w:rFonts w:ascii="宋体" w:hAnsi="宋体" w:cs="宋体" w:eastAsia="宋体" w:hint="default"/>
                <w:sz w:val="18"/>
                <w:szCs w:val="18"/>
              </w:rPr>
              <w:t>力</w:t>
            </w:r>
            <w:r>
              <w:rPr>
                <w:rFonts w:ascii="宋体" w:hAnsi="宋体" w:cs="宋体" w:eastAsia="宋体" w:hint="default"/>
                <w:spacing w:val="-55"/>
                <w:sz w:val="18"/>
                <w:szCs w:val="18"/>
              </w:rPr>
              <w:t> </w:t>
            </w:r>
            <w:r>
              <w:rPr>
                <w:rFonts w:ascii="宋体" w:hAnsi="宋体" w:cs="宋体" w:eastAsia="宋体" w:hint="default"/>
                <w:sz w:val="18"/>
                <w:szCs w:val="18"/>
              </w:rPr>
              <w:t>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宋体" w:hAnsi="宋体" w:cs="宋体" w:eastAsia="宋体" w:hint="default"/>
                <w:spacing w:val="-55"/>
                <w:sz w:val="18"/>
                <w:szCs w:val="18"/>
              </w:rPr>
              <w:t> </w:t>
            </w:r>
            <w:r>
              <w:rPr>
                <w:rFonts w:ascii="宋体" w:hAnsi="宋体" w:cs="宋体" w:eastAsia="宋体" w:hint="default"/>
                <w:sz w:val="18"/>
                <w:szCs w:val="18"/>
              </w:rPr>
              <w:t>软</w:t>
            </w:r>
            <w:r>
              <w:rPr>
                <w:rFonts w:ascii="宋体" w:hAnsi="宋体" w:cs="宋体" w:eastAsia="宋体" w:hint="default"/>
                <w:spacing w:val="-55"/>
                <w:sz w:val="18"/>
                <w:szCs w:val="18"/>
              </w:rPr>
              <w:t> </w:t>
            </w:r>
            <w:r>
              <w:rPr>
                <w:rFonts w:ascii="宋体" w:hAnsi="宋体" w:cs="宋体" w:eastAsia="宋体" w:hint="default"/>
                <w:sz w:val="18"/>
                <w:szCs w:val="18"/>
              </w:rPr>
              <w:t>件</w:t>
            </w:r>
            <w:r>
              <w:rPr>
                <w:rFonts w:ascii="宋体" w:hAnsi="宋体" w:cs="宋体" w:eastAsia="宋体" w:hint="default"/>
                <w:sz w:val="18"/>
                <w:szCs w:val="18"/>
              </w:rPr>
              <w:t> 开发、技术咨询 等</w:t>
            </w:r>
          </w:p>
        </w:tc>
      </w:tr>
      <w:tr>
        <w:trPr>
          <w:trHeight w:val="734"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47" w:right="104"/>
              <w:jc w:val="left"/>
              <w:rPr>
                <w:rFonts w:ascii="宋体" w:hAnsi="宋体" w:cs="宋体" w:eastAsia="宋体" w:hint="default"/>
                <w:sz w:val="18"/>
                <w:szCs w:val="18"/>
              </w:rPr>
            </w:pPr>
            <w:r>
              <w:rPr>
                <w:rFonts w:ascii="宋体" w:hAnsi="宋体" w:cs="宋体" w:eastAsia="宋体" w:hint="default"/>
                <w:spacing w:val="6"/>
                <w:sz w:val="18"/>
                <w:szCs w:val="18"/>
              </w:rPr>
              <w:t>重庆华尊生物</w:t>
            </w:r>
            <w:r>
              <w:rPr>
                <w:rFonts w:ascii="宋体" w:hAnsi="宋体" w:cs="宋体" w:eastAsia="宋体" w:hint="default"/>
                <w:sz w:val="18"/>
                <w:szCs w:val="18"/>
              </w:rPr>
              <w:t> 化学有限公司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重庆北部新区经</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45"/>
                <w:sz w:val="18"/>
                <w:szCs w:val="18"/>
              </w:rPr>
              <w:t>开园金渝大道</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102</w:t>
            </w:r>
            <w:r>
              <w:rPr>
                <w:rFonts w:ascii="Arial" w:hAnsi="Arial" w:cs="Arial" w:eastAsia="Arial" w:hint="default"/>
                <w:spacing w:val="-5"/>
                <w:sz w:val="18"/>
                <w:szCs w:val="18"/>
              </w:rPr>
              <w:t> </w:t>
            </w:r>
            <w:r>
              <w:rPr>
                <w:rFonts w:ascii="宋体" w:hAnsi="宋体" w:cs="宋体" w:eastAsia="宋体" w:hint="default"/>
                <w:sz w:val="18"/>
                <w:szCs w:val="18"/>
              </w:rPr>
              <w:t>号附</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100.00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49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123"/>
              <w:jc w:val="both"/>
              <w:rPr>
                <w:rFonts w:ascii="宋体" w:hAnsi="宋体" w:cs="宋体" w:eastAsia="宋体" w:hint="default"/>
                <w:sz w:val="18"/>
                <w:szCs w:val="18"/>
              </w:rPr>
            </w:pPr>
            <w:r>
              <w:rPr>
                <w:rFonts w:ascii="宋体" w:hAnsi="宋体" w:cs="宋体" w:eastAsia="宋体" w:hint="default"/>
                <w:sz w:val="18"/>
                <w:szCs w:val="18"/>
              </w:rPr>
              <w:t>研发、生产、销 售化学中间体、 植物中间体</w:t>
            </w:r>
          </w:p>
        </w:tc>
      </w:tr>
      <w:tr>
        <w:trPr>
          <w:trHeight w:val="984" w:hRule="exact"/>
        </w:trPr>
        <w:tc>
          <w:tcPr>
            <w:tcW w:w="13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147"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98"/>
              <w:jc w:val="left"/>
              <w:rPr>
                <w:rFonts w:ascii="宋体" w:hAnsi="宋体" w:cs="宋体" w:eastAsia="宋体" w:hint="default"/>
                <w:sz w:val="18"/>
                <w:szCs w:val="18"/>
              </w:rPr>
            </w:pPr>
            <w:r>
              <w:rPr>
                <w:rFonts w:ascii="宋体" w:hAnsi="宋体" w:cs="宋体" w:eastAsia="宋体" w:hint="default"/>
                <w:sz w:val="18"/>
                <w:szCs w:val="18"/>
              </w:rPr>
              <w:t>杭州市余杭五常 街道五常大道 </w:t>
            </w:r>
            <w:r>
              <w:rPr>
                <w:rFonts w:ascii="Arial" w:hAnsi="Arial" w:cs="Arial" w:eastAsia="Arial" w:hint="default"/>
                <w:sz w:val="18"/>
                <w:szCs w:val="18"/>
              </w:rPr>
              <w:t>181</w:t>
            </w:r>
            <w:r>
              <w:rPr>
                <w:rFonts w:ascii="Arial" w:hAnsi="Arial" w:cs="Arial" w:eastAsia="Arial"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pacing w:val="-15"/>
                <w:sz w:val="18"/>
                <w:szCs w:val="18"/>
              </w:rPr>
              <w:t>号、</w:t>
            </w:r>
            <w:r>
              <w:rPr>
                <w:rFonts w:ascii="Arial" w:hAnsi="Arial" w:cs="Arial" w:eastAsia="Arial" w:hint="default"/>
                <w:spacing w:val="-15"/>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号 厂房</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Arial" w:hAnsi="Arial" w:cs="Arial" w:eastAsia="Arial" w:hint="default"/>
                <w:sz w:val="18"/>
                <w:szCs w:val="18"/>
              </w:rPr>
            </w:pPr>
            <w:r>
              <w:rPr>
                <w:rFonts w:ascii="Arial"/>
                <w:sz w:val="18"/>
              </w:rPr>
              <w:t>5,000.00</w:t>
            </w:r>
          </w:p>
        </w:tc>
        <w:tc>
          <w:tcPr>
            <w:tcW w:w="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郭峻峰</w:t>
            </w:r>
          </w:p>
        </w:tc>
        <w:tc>
          <w:tcPr>
            <w:tcW w:w="1494" w:type="dxa"/>
            <w:tcBorders>
              <w:top w:val="single" w:sz="6" w:space="0" w:color="000000"/>
              <w:left w:val="single" w:sz="6" w:space="0" w:color="000000"/>
              <w:bottom w:val="single" w:sz="12" w:space="0" w:color="000000"/>
              <w:right w:val="nil" w:sz="6" w:space="0" w:color="auto"/>
            </w:tcBorders>
          </w:tcPr>
          <w:p>
            <w:pPr>
              <w:pStyle w:val="TableParagraph"/>
              <w:spacing w:line="240" w:lineRule="exact"/>
              <w:ind w:left="100" w:right="123"/>
              <w:jc w:val="both"/>
              <w:rPr>
                <w:rFonts w:ascii="宋体" w:hAnsi="宋体" w:cs="宋体" w:eastAsia="宋体" w:hint="default"/>
                <w:sz w:val="18"/>
                <w:szCs w:val="18"/>
              </w:rPr>
            </w:pPr>
            <w:r>
              <w:rPr>
                <w:rFonts w:ascii="宋体" w:hAnsi="宋体" w:cs="宋体" w:eastAsia="宋体" w:hint="default"/>
                <w:sz w:val="18"/>
                <w:szCs w:val="18"/>
              </w:rPr>
              <w:t>制造、销售仪器 仪表及原材料， 实业投资，经营 进出口业务等</w:t>
            </w:r>
          </w:p>
        </w:tc>
      </w:tr>
    </w:tbl>
    <w:p>
      <w:pPr>
        <w:spacing w:after="0" w:line="240" w:lineRule="exact"/>
        <w:jc w:val="both"/>
        <w:rPr>
          <w:rFonts w:ascii="宋体" w:hAnsi="宋体" w:cs="宋体" w:eastAsia="宋体" w:hint="default"/>
          <w:sz w:val="18"/>
          <w:szCs w:val="18"/>
        </w:rPr>
        <w:sectPr>
          <w:pgSz w:w="11910" w:h="16840"/>
          <w:pgMar w:header="884" w:footer="1013" w:top="1080" w:bottom="1200" w:left="1300" w:right="0"/>
        </w:sectPr>
      </w:pPr>
    </w:p>
    <w:p>
      <w:pPr>
        <w:spacing w:line="240" w:lineRule="auto" w:before="10"/>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1368"/>
        <w:gridCol w:w="1373"/>
        <w:gridCol w:w="1577"/>
        <w:gridCol w:w="1176"/>
        <w:gridCol w:w="1236"/>
        <w:gridCol w:w="855"/>
        <w:gridCol w:w="1469"/>
      </w:tblGrid>
      <w:tr>
        <w:trPr>
          <w:trHeight w:val="989" w:hRule="exact"/>
        </w:trPr>
        <w:tc>
          <w:tcPr>
            <w:tcW w:w="1368"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7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杭州市五常大道</w:t>
            </w:r>
          </w:p>
          <w:p>
            <w:pPr>
              <w:pStyle w:val="TableParagraph"/>
              <w:spacing w:line="240" w:lineRule="auto" w:before="5"/>
              <w:ind w:left="100" w:right="0"/>
              <w:jc w:val="left"/>
              <w:rPr>
                <w:rFonts w:ascii="宋体" w:hAnsi="宋体" w:cs="宋体" w:eastAsia="宋体" w:hint="default"/>
                <w:sz w:val="18"/>
                <w:szCs w:val="18"/>
              </w:rPr>
            </w:pP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59" w:right="0"/>
              <w:jc w:val="left"/>
              <w:rPr>
                <w:rFonts w:ascii="Arial" w:hAnsi="Arial" w:cs="Arial" w:eastAsia="Arial" w:hint="default"/>
                <w:sz w:val="18"/>
                <w:szCs w:val="18"/>
              </w:rPr>
            </w:pPr>
            <w:r>
              <w:rPr>
                <w:rFonts w:ascii="Arial"/>
                <w:sz w:val="18"/>
              </w:rPr>
              <w:t>2,000.00</w:t>
            </w:r>
          </w:p>
        </w:tc>
        <w:tc>
          <w:tcPr>
            <w:tcW w:w="85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1469" w:type="dxa"/>
            <w:tcBorders>
              <w:top w:val="single" w:sz="17" w:space="0" w:color="000000"/>
              <w:left w:val="single" w:sz="6" w:space="0" w:color="000000"/>
              <w:bottom w:val="single" w:sz="6" w:space="0" w:color="000000"/>
              <w:right w:val="nil" w:sz="6" w:space="0" w:color="auto"/>
            </w:tcBorders>
          </w:tcPr>
          <w:p>
            <w:pPr>
              <w:pStyle w:val="TableParagraph"/>
              <w:spacing w:line="240" w:lineRule="exact"/>
              <w:ind w:left="100" w:right="98"/>
              <w:jc w:val="both"/>
              <w:rPr>
                <w:rFonts w:ascii="宋体" w:hAnsi="宋体" w:cs="宋体" w:eastAsia="宋体" w:hint="default"/>
                <w:sz w:val="18"/>
                <w:szCs w:val="18"/>
              </w:rPr>
            </w:pPr>
            <w:r>
              <w:rPr>
                <w:rFonts w:ascii="宋体" w:hAnsi="宋体" w:cs="宋体" w:eastAsia="宋体" w:hint="default"/>
                <w:sz w:val="18"/>
                <w:szCs w:val="18"/>
              </w:rPr>
              <w:t>制造、销售仪器 仪表及原材料， 实业投资，经营</w:t>
            </w:r>
          </w:p>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z w:val="18"/>
                <w:szCs w:val="18"/>
              </w:rPr>
              <w:t>进出口业务等</w:t>
            </w:r>
          </w:p>
        </w:tc>
      </w:tr>
      <w:tr>
        <w:trPr>
          <w:trHeight w:val="600"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33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84"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60"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Arial" w:hAnsi="Arial" w:cs="Arial" w:eastAsia="Arial" w:hint="default"/>
                <w:sz w:val="18"/>
                <w:szCs w:val="18"/>
              </w:rPr>
              <w:t>%</w:t>
            </w:r>
            <w:r>
              <w:rPr>
                <w:rFonts w:ascii="宋体" w:hAnsi="宋体" w:cs="宋体" w:eastAsia="宋体" w:hint="default"/>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7"/>
              <w:ind w:left="400" w:right="130" w:hanging="272"/>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20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37"/>
              <w:ind w:left="225" w:right="137" w:hanging="89"/>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37"/>
              <w:ind w:left="547" w:right="552"/>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55" w:right="122"/>
              <w:jc w:val="left"/>
              <w:rPr>
                <w:rFonts w:ascii="宋体" w:hAnsi="宋体" w:cs="宋体" w:eastAsia="宋体" w:hint="default"/>
                <w:sz w:val="18"/>
                <w:szCs w:val="18"/>
              </w:rPr>
            </w:pPr>
            <w:r>
              <w:rPr>
                <w:rFonts w:ascii="宋体" w:hAnsi="宋体" w:cs="宋体" w:eastAsia="宋体" w:hint="default"/>
                <w:sz w:val="18"/>
                <w:szCs w:val="18"/>
              </w:rPr>
              <w:t>杭州蓝创电力 科技有限公司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 w:right="0"/>
              <w:jc w:val="center"/>
              <w:rPr>
                <w:rFonts w:ascii="Arial" w:hAnsi="Arial" w:cs="Arial" w:eastAsia="Arial" w:hint="default"/>
                <w:sz w:val="18"/>
                <w:szCs w:val="18"/>
              </w:rPr>
            </w:pPr>
            <w:r>
              <w:rPr>
                <w:rFonts w:ascii="Arial"/>
                <w:sz w:val="18"/>
              </w:rPr>
              <w:t>100.00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Arial" w:hAnsi="Arial" w:cs="Arial" w:eastAsia="Arial" w:hint="default"/>
                <w:sz w:val="18"/>
                <w:szCs w:val="18"/>
              </w:rPr>
            </w:pPr>
            <w:r>
              <w:rPr>
                <w:rFonts w:ascii="Arial"/>
                <w:sz w:val="18"/>
              </w:rPr>
              <w:t>30.00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6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55" w:right="122"/>
              <w:jc w:val="left"/>
              <w:rPr>
                <w:rFonts w:ascii="宋体" w:hAnsi="宋体" w:cs="宋体" w:eastAsia="宋体" w:hint="default"/>
                <w:sz w:val="18"/>
                <w:szCs w:val="18"/>
              </w:rPr>
            </w:pPr>
            <w:r>
              <w:rPr>
                <w:rFonts w:ascii="宋体" w:hAnsi="宋体" w:cs="宋体" w:eastAsia="宋体" w:hint="default"/>
                <w:sz w:val="18"/>
                <w:szCs w:val="18"/>
              </w:rPr>
              <w:t>重庆华尊生物 化学有限公司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100.00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100.00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5,000.00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100.00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2,000.00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5"/>
              <w:ind w:left="33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489" w:right="13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60" w:right="158"/>
              <w:jc w:val="left"/>
              <w:rPr>
                <w:rFonts w:ascii="宋体" w:hAnsi="宋体" w:cs="宋体" w:eastAsia="宋体" w:hint="default"/>
                <w:sz w:val="18"/>
                <w:szCs w:val="18"/>
              </w:rPr>
            </w:pPr>
            <w:r>
              <w:rPr>
                <w:rFonts w:ascii="宋体" w:hAnsi="宋体" w:cs="宋体" w:eastAsia="宋体" w:hint="default"/>
                <w:sz w:val="18"/>
                <w:szCs w:val="18"/>
              </w:rPr>
              <w:t>少数股东权 益中用于冲</w:t>
            </w:r>
          </w:p>
          <w:p>
            <w:pPr>
              <w:pStyle w:val="TableParagraph"/>
              <w:spacing w:line="240" w:lineRule="exact"/>
              <w:ind w:left="160" w:right="158"/>
              <w:jc w:val="left"/>
              <w:rPr>
                <w:rFonts w:ascii="宋体" w:hAnsi="宋体" w:cs="宋体" w:eastAsia="宋体" w:hint="default"/>
                <w:sz w:val="18"/>
                <w:szCs w:val="18"/>
              </w:rPr>
            </w:pPr>
            <w:r>
              <w:rPr>
                <w:rFonts w:ascii="宋体" w:hAnsi="宋体" w:cs="宋体" w:eastAsia="宋体" w:hint="default"/>
                <w:sz w:val="18"/>
                <w:szCs w:val="18"/>
              </w:rPr>
              <w:t>减少数股东 损益的金额</w:t>
            </w:r>
          </w:p>
        </w:tc>
        <w:tc>
          <w:tcPr>
            <w:tcW w:w="232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55" w:right="122"/>
              <w:jc w:val="left"/>
              <w:rPr>
                <w:rFonts w:ascii="宋体" w:hAnsi="宋体" w:cs="宋体" w:eastAsia="宋体" w:hint="default"/>
                <w:sz w:val="18"/>
                <w:szCs w:val="18"/>
              </w:rPr>
            </w:pPr>
            <w:r>
              <w:rPr>
                <w:rFonts w:ascii="宋体" w:hAnsi="宋体" w:cs="宋体" w:eastAsia="宋体" w:hint="default"/>
                <w:sz w:val="18"/>
                <w:szCs w:val="18"/>
              </w:rPr>
              <w:t>杭州蓝创电力 科技有限公司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69459331-3</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55" w:right="122"/>
              <w:jc w:val="left"/>
              <w:rPr>
                <w:rFonts w:ascii="宋体" w:hAnsi="宋体" w:cs="宋体" w:eastAsia="宋体" w:hint="default"/>
                <w:sz w:val="18"/>
                <w:szCs w:val="18"/>
              </w:rPr>
            </w:pPr>
            <w:r>
              <w:rPr>
                <w:rFonts w:ascii="宋体" w:hAnsi="宋体" w:cs="宋体" w:eastAsia="宋体" w:hint="default"/>
                <w:sz w:val="18"/>
                <w:szCs w:val="18"/>
              </w:rPr>
              <w:t>重庆华尊生物 化学有限公司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67869750-X</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56096188-9</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504" w:hRule="exact"/>
        </w:trPr>
        <w:tc>
          <w:tcPr>
            <w:tcW w:w="1368" w:type="dxa"/>
            <w:tcBorders>
              <w:top w:val="single" w:sz="6" w:space="0" w:color="000000"/>
              <w:left w:val="nil" w:sz="6" w:space="0" w:color="auto"/>
              <w:bottom w:val="single" w:sz="12" w:space="0" w:color="000000"/>
              <w:right w:val="single" w:sz="6" w:space="0" w:color="000000"/>
            </w:tcBorders>
          </w:tcPr>
          <w:p>
            <w:pPr>
              <w:pStyle w:val="TableParagraph"/>
              <w:spacing w:line="240" w:lineRule="exact" w:before="2"/>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0"/>
              <w:jc w:val="center"/>
              <w:rPr>
                <w:rFonts w:ascii="Arial" w:hAnsi="Arial" w:cs="Arial" w:eastAsia="Arial" w:hint="default"/>
                <w:sz w:val="18"/>
                <w:szCs w:val="18"/>
              </w:rPr>
            </w:pPr>
            <w:r>
              <w:rPr>
                <w:rFonts w:ascii="Arial"/>
                <w:sz w:val="18"/>
              </w:rPr>
              <w:t>56238631-2</w:t>
            </w:r>
          </w:p>
        </w:tc>
        <w:tc>
          <w:tcPr>
            <w:tcW w:w="1176" w:type="dxa"/>
            <w:tcBorders>
              <w:top w:val="single" w:sz="6" w:space="0" w:color="000000"/>
              <w:left w:val="single" w:sz="6" w:space="0" w:color="000000"/>
              <w:bottom w:val="single" w:sz="12" w:space="0" w:color="000000"/>
              <w:right w:val="single" w:sz="6" w:space="0" w:color="000000"/>
            </w:tcBorders>
          </w:tcPr>
          <w:p>
            <w:pPr/>
          </w:p>
        </w:tc>
        <w:tc>
          <w:tcPr>
            <w:tcW w:w="1236" w:type="dxa"/>
            <w:tcBorders>
              <w:top w:val="single" w:sz="6" w:space="0" w:color="000000"/>
              <w:left w:val="single" w:sz="6" w:space="0" w:color="000000"/>
              <w:bottom w:val="single" w:sz="12" w:space="0" w:color="000000"/>
              <w:right w:val="single" w:sz="6" w:space="0" w:color="000000"/>
            </w:tcBorders>
          </w:tcPr>
          <w:p>
            <w:pPr/>
          </w:p>
        </w:tc>
        <w:tc>
          <w:tcPr>
            <w:tcW w:w="2324" w:type="dxa"/>
            <w:gridSpan w:val="2"/>
            <w:tcBorders>
              <w:top w:val="single" w:sz="6" w:space="0" w:color="000000"/>
              <w:left w:val="single" w:sz="6" w:space="0" w:color="000000"/>
              <w:bottom w:val="single" w:sz="12" w:space="0" w:color="000000"/>
              <w:right w:val="nil" w:sz="6" w:space="0" w:color="auto"/>
            </w:tcBorders>
          </w:tcPr>
          <w:p>
            <w:pPr/>
          </w:p>
        </w:tc>
      </w:tr>
    </w:tbl>
    <w:p>
      <w:pPr>
        <w:spacing w:before="86"/>
        <w:ind w:left="600" w:right="1428"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9"/>
          <w:sz w:val="21"/>
          <w:szCs w:val="21"/>
        </w:rPr>
        <w:t> </w:t>
      </w:r>
      <w:r>
        <w:rPr>
          <w:rFonts w:ascii="宋体" w:hAnsi="宋体" w:cs="宋体" w:eastAsia="宋体" w:hint="default"/>
          <w:b/>
          <w:bCs/>
          <w:sz w:val="21"/>
          <w:szCs w:val="21"/>
        </w:rPr>
        <w:t>同一控制下的企业合并取得的子公司</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112" w:type="dxa"/>
        <w:tblLayout w:type="fixed"/>
        <w:tblCellMar>
          <w:top w:w="0" w:type="dxa"/>
          <w:left w:w="0" w:type="dxa"/>
          <w:bottom w:w="0" w:type="dxa"/>
          <w:right w:w="0" w:type="dxa"/>
        </w:tblCellMar>
        <w:tblLook w:val="01E0"/>
      </w:tblPr>
      <w:tblGrid>
        <w:gridCol w:w="1285"/>
        <w:gridCol w:w="1453"/>
        <w:gridCol w:w="1224"/>
        <w:gridCol w:w="1467"/>
        <w:gridCol w:w="1241"/>
        <w:gridCol w:w="845"/>
        <w:gridCol w:w="1633"/>
      </w:tblGrid>
      <w:tr>
        <w:trPr>
          <w:trHeight w:val="605" w:hRule="exact"/>
        </w:trPr>
        <w:tc>
          <w:tcPr>
            <w:tcW w:w="12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209"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300"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right="267"/>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2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left="33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34"/>
              <w:ind w:left="323" w:right="14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6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4"/>
              <w:ind w:left="436"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974"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47" w:right="72"/>
              <w:jc w:val="both"/>
              <w:rPr>
                <w:rFonts w:ascii="宋体" w:hAnsi="宋体" w:cs="宋体" w:eastAsia="宋体" w:hint="default"/>
                <w:sz w:val="18"/>
                <w:szCs w:val="18"/>
              </w:rPr>
            </w:pPr>
            <w:r>
              <w:rPr>
                <w:rFonts w:ascii="宋体" w:hAnsi="宋体" w:cs="宋体" w:eastAsia="宋体" w:hint="default"/>
                <w:spacing w:val="24"/>
                <w:sz w:val="18"/>
                <w:szCs w:val="18"/>
              </w:rPr>
              <w:t>华立仪表集</w:t>
            </w:r>
            <w:r>
              <w:rPr>
                <w:rFonts w:ascii="宋体" w:hAnsi="宋体" w:cs="宋体" w:eastAsia="宋体" w:hint="default"/>
                <w:spacing w:val="-86"/>
                <w:sz w:val="18"/>
                <w:szCs w:val="18"/>
              </w:rPr>
              <w:t> </w:t>
            </w:r>
            <w:r>
              <w:rPr>
                <w:rFonts w:ascii="宋体" w:hAnsi="宋体" w:cs="宋体" w:eastAsia="宋体" w:hint="default"/>
                <w:spacing w:val="24"/>
                <w:sz w:val="18"/>
                <w:szCs w:val="18"/>
              </w:rPr>
              <w:t>团股份有限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4"/>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86"/>
                <w:sz w:val="18"/>
                <w:szCs w:val="18"/>
              </w:rPr>
              <w:t> </w:t>
            </w:r>
            <w:r>
              <w:rPr>
                <w:rFonts w:ascii="宋体" w:hAnsi="宋体" w:cs="宋体" w:eastAsia="宋体" w:hint="default"/>
                <w:spacing w:val="20"/>
                <w:sz w:val="18"/>
                <w:szCs w:val="18"/>
              </w:rPr>
              <w:t>市余杭区五</w:t>
            </w:r>
            <w:r>
              <w:rPr>
                <w:rFonts w:ascii="宋体" w:hAnsi="宋体" w:cs="宋体" w:eastAsia="宋体" w:hint="default"/>
                <w:spacing w:val="-86"/>
                <w:sz w:val="18"/>
                <w:szCs w:val="18"/>
              </w:rPr>
              <w:t> </w:t>
            </w:r>
            <w:r>
              <w:rPr>
                <w:rFonts w:ascii="宋体" w:hAnsi="宋体" w:cs="宋体" w:eastAsia="宋体" w:hint="default"/>
                <w:spacing w:val="20"/>
                <w:sz w:val="18"/>
                <w:szCs w:val="18"/>
              </w:rPr>
              <w:t>常街道五常</w:t>
            </w:r>
            <w:r>
              <w:rPr>
                <w:rFonts w:ascii="宋体" w:hAnsi="宋体" w:cs="宋体" w:eastAsia="宋体" w:hint="default"/>
                <w:spacing w:val="-86"/>
                <w:sz w:val="18"/>
                <w:szCs w:val="18"/>
              </w:rPr>
              <w:t> </w:t>
            </w:r>
            <w:r>
              <w:rPr>
                <w:rFonts w:ascii="宋体" w:hAnsi="宋体" w:cs="宋体" w:eastAsia="宋体" w:hint="default"/>
                <w:sz w:val="18"/>
                <w:szCs w:val="18"/>
              </w:rPr>
              <w:t>大道</w:t>
            </w:r>
            <w:r>
              <w:rPr>
                <w:rFonts w:ascii="宋体" w:hAnsi="宋体" w:cs="宋体" w:eastAsia="宋体" w:hint="default"/>
                <w:spacing w:val="-46"/>
                <w:sz w:val="18"/>
                <w:szCs w:val="18"/>
              </w:rPr>
              <w:t>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Arial" w:hAnsi="Arial" w:cs="Arial" w:eastAsia="Arial" w:hint="default"/>
                <w:sz w:val="18"/>
                <w:szCs w:val="18"/>
              </w:rPr>
            </w:pPr>
            <w:r>
              <w:rPr>
                <w:rFonts w:ascii="Arial"/>
                <w:sz w:val="18"/>
              </w:rPr>
              <w:t>18,155.28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刘浩军</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101"/>
              <w:ind w:left="100" w:right="111"/>
              <w:jc w:val="both"/>
              <w:rPr>
                <w:rFonts w:ascii="宋体" w:hAnsi="宋体" w:cs="宋体" w:eastAsia="宋体" w:hint="default"/>
                <w:sz w:val="18"/>
                <w:szCs w:val="18"/>
              </w:rPr>
            </w:pPr>
            <w:r>
              <w:rPr>
                <w:rFonts w:ascii="宋体" w:hAnsi="宋体" w:cs="宋体" w:eastAsia="宋体" w:hint="default"/>
                <w:spacing w:val="18"/>
                <w:sz w:val="18"/>
                <w:szCs w:val="18"/>
              </w:rPr>
              <w:t>电力仪器仪表及</w:t>
            </w:r>
            <w:r>
              <w:rPr>
                <w:rFonts w:ascii="宋体" w:hAnsi="宋体" w:cs="宋体" w:eastAsia="宋体" w:hint="default"/>
                <w:spacing w:val="-69"/>
                <w:sz w:val="18"/>
                <w:szCs w:val="18"/>
              </w:rPr>
              <w:t> </w:t>
            </w:r>
            <w:r>
              <w:rPr>
                <w:rFonts w:ascii="宋体" w:hAnsi="宋体" w:cs="宋体" w:eastAsia="宋体" w:hint="default"/>
                <w:spacing w:val="18"/>
                <w:sz w:val="18"/>
                <w:szCs w:val="18"/>
              </w:rPr>
              <w:t>元器件的制造销</w:t>
            </w:r>
            <w:r>
              <w:rPr>
                <w:rFonts w:ascii="宋体" w:hAnsi="宋体" w:cs="宋体" w:eastAsia="宋体" w:hint="default"/>
                <w:spacing w:val="-69"/>
                <w:sz w:val="18"/>
                <w:szCs w:val="18"/>
              </w:rPr>
              <w:t> </w:t>
            </w:r>
            <w:r>
              <w:rPr>
                <w:rFonts w:ascii="宋体" w:hAnsi="宋体" w:cs="宋体" w:eastAsia="宋体" w:hint="default"/>
                <w:sz w:val="18"/>
                <w:szCs w:val="18"/>
              </w:rPr>
              <w:t>售等</w:t>
            </w:r>
          </w:p>
        </w:tc>
      </w:tr>
      <w:tr>
        <w:trPr>
          <w:trHeight w:val="977"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47" w:right="72"/>
              <w:jc w:val="both"/>
              <w:rPr>
                <w:rFonts w:ascii="宋体" w:hAnsi="宋体" w:cs="宋体" w:eastAsia="宋体" w:hint="default"/>
                <w:sz w:val="18"/>
                <w:szCs w:val="18"/>
              </w:rPr>
            </w:pPr>
            <w:r>
              <w:rPr>
                <w:rFonts w:ascii="宋体" w:hAnsi="宋体" w:cs="宋体" w:eastAsia="宋体" w:hint="default"/>
                <w:spacing w:val="24"/>
                <w:sz w:val="18"/>
                <w:szCs w:val="18"/>
              </w:rPr>
              <w:t>杭州中盛仪</w:t>
            </w:r>
            <w:r>
              <w:rPr>
                <w:rFonts w:ascii="宋体" w:hAnsi="宋体" w:cs="宋体" w:eastAsia="宋体" w:hint="default"/>
                <w:spacing w:val="-86"/>
                <w:sz w:val="18"/>
                <w:szCs w:val="18"/>
              </w:rPr>
              <w:t> </w:t>
            </w:r>
            <w:r>
              <w:rPr>
                <w:rFonts w:ascii="宋体" w:hAnsi="宋体" w:cs="宋体" w:eastAsia="宋体" w:hint="default"/>
                <w:spacing w:val="24"/>
                <w:sz w:val="18"/>
                <w:szCs w:val="18"/>
              </w:rPr>
              <w:t>器仪表有限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448" w:right="178"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74"/>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86"/>
                <w:sz w:val="18"/>
                <w:szCs w:val="18"/>
              </w:rPr>
              <w:t> </w:t>
            </w:r>
            <w:r>
              <w:rPr>
                <w:rFonts w:ascii="宋体" w:hAnsi="宋体" w:cs="宋体" w:eastAsia="宋体" w:hint="default"/>
                <w:spacing w:val="20"/>
                <w:sz w:val="18"/>
                <w:szCs w:val="18"/>
              </w:rPr>
              <w:t>余杭区余杭</w:t>
            </w:r>
            <w:r>
              <w:rPr>
                <w:rFonts w:ascii="宋体" w:hAnsi="宋体" w:cs="宋体" w:eastAsia="宋体" w:hint="default"/>
                <w:spacing w:val="-86"/>
                <w:sz w:val="18"/>
                <w:szCs w:val="18"/>
              </w:rPr>
              <w:t> </w:t>
            </w:r>
            <w:r>
              <w:rPr>
                <w:rFonts w:ascii="宋体" w:hAnsi="宋体" w:cs="宋体" w:eastAsia="宋体" w:hint="default"/>
                <w:spacing w:val="20"/>
                <w:sz w:val="18"/>
                <w:szCs w:val="18"/>
              </w:rPr>
              <w:t>镇宝塔工业</w:t>
            </w:r>
            <w:r>
              <w:rPr>
                <w:rFonts w:ascii="宋体" w:hAnsi="宋体" w:cs="宋体" w:eastAsia="宋体" w:hint="default"/>
                <w:spacing w:val="-86"/>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号</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right="1"/>
              <w:jc w:val="center"/>
              <w:rPr>
                <w:rFonts w:ascii="Arial" w:hAnsi="Arial" w:cs="Arial" w:eastAsia="Arial" w:hint="default"/>
                <w:sz w:val="18"/>
                <w:szCs w:val="18"/>
              </w:rPr>
            </w:pPr>
            <w:r>
              <w:rPr>
                <w:rFonts w:ascii="Arial"/>
                <w:sz w:val="18"/>
              </w:rPr>
              <w:t>1,000.00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王宝全</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100" w:right="84"/>
              <w:jc w:val="both"/>
              <w:rPr>
                <w:rFonts w:ascii="宋体" w:hAnsi="宋体" w:cs="宋体" w:eastAsia="宋体" w:hint="default"/>
                <w:sz w:val="18"/>
                <w:szCs w:val="18"/>
              </w:rPr>
            </w:pPr>
            <w:r>
              <w:rPr>
                <w:rFonts w:ascii="宋体" w:hAnsi="宋体" w:cs="宋体" w:eastAsia="宋体" w:hint="default"/>
                <w:sz w:val="18"/>
                <w:szCs w:val="18"/>
              </w:rPr>
              <w:t>仪器仪表及配件、 </w:t>
            </w:r>
            <w:r>
              <w:rPr>
                <w:rFonts w:ascii="宋体" w:hAnsi="宋体" w:cs="宋体" w:eastAsia="宋体" w:hint="default"/>
                <w:spacing w:val="-7"/>
                <w:sz w:val="18"/>
                <w:szCs w:val="18"/>
              </w:rPr>
              <w:t>五金冲压件、塑料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制品、铝合金、塑</w:t>
            </w:r>
            <w:r>
              <w:rPr>
                <w:rFonts w:ascii="宋体" w:hAnsi="宋体" w:cs="宋体" w:eastAsia="宋体" w:hint="default"/>
                <w:sz w:val="18"/>
                <w:szCs w:val="18"/>
              </w:rPr>
              <w:t> 钢门窗生产等</w:t>
            </w:r>
          </w:p>
        </w:tc>
      </w:tr>
      <w:tr>
        <w:trPr>
          <w:trHeight w:val="734"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47" w:right="72"/>
              <w:jc w:val="both"/>
              <w:rPr>
                <w:rFonts w:ascii="宋体" w:hAnsi="宋体" w:cs="宋体" w:eastAsia="宋体" w:hint="default"/>
                <w:sz w:val="18"/>
                <w:szCs w:val="18"/>
              </w:rPr>
            </w:pPr>
            <w:r>
              <w:rPr>
                <w:rFonts w:ascii="宋体" w:hAnsi="宋体" w:cs="宋体" w:eastAsia="宋体" w:hint="default"/>
                <w:spacing w:val="24"/>
                <w:sz w:val="18"/>
                <w:szCs w:val="18"/>
              </w:rPr>
              <w:t>杭州华立科</w:t>
            </w:r>
            <w:r>
              <w:rPr>
                <w:rFonts w:ascii="宋体" w:hAnsi="宋体" w:cs="宋体" w:eastAsia="宋体" w:hint="default"/>
                <w:spacing w:val="-86"/>
                <w:sz w:val="18"/>
                <w:szCs w:val="18"/>
              </w:rPr>
              <w:t> </w:t>
            </w:r>
            <w:r>
              <w:rPr>
                <w:rFonts w:ascii="宋体" w:hAnsi="宋体" w:cs="宋体" w:eastAsia="宋体" w:hint="default"/>
                <w:spacing w:val="24"/>
                <w:sz w:val="18"/>
                <w:szCs w:val="18"/>
              </w:rPr>
              <w:t>技园有限公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448" w:right="178"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4"/>
              <w:jc w:val="both"/>
              <w:rPr>
                <w:rFonts w:ascii="宋体" w:hAnsi="宋体" w:cs="宋体" w:eastAsia="宋体" w:hint="default"/>
                <w:sz w:val="18"/>
                <w:szCs w:val="18"/>
              </w:rPr>
            </w:pPr>
            <w:r>
              <w:rPr>
                <w:rFonts w:ascii="宋体" w:hAnsi="宋体" w:cs="宋体" w:eastAsia="宋体" w:hint="default"/>
                <w:spacing w:val="20"/>
                <w:sz w:val="18"/>
                <w:szCs w:val="18"/>
              </w:rPr>
              <w:t>杭州余杭区</w:t>
            </w:r>
            <w:r>
              <w:rPr>
                <w:rFonts w:ascii="宋体" w:hAnsi="宋体" w:cs="宋体" w:eastAsia="宋体" w:hint="default"/>
                <w:spacing w:val="-86"/>
                <w:sz w:val="18"/>
                <w:szCs w:val="18"/>
              </w:rPr>
              <w:t> </w:t>
            </w:r>
            <w:r>
              <w:rPr>
                <w:rFonts w:ascii="宋体" w:hAnsi="宋体" w:cs="宋体" w:eastAsia="宋体" w:hint="default"/>
                <w:spacing w:val="20"/>
                <w:sz w:val="18"/>
                <w:szCs w:val="18"/>
              </w:rPr>
              <w:t>五常经济开</w:t>
            </w:r>
            <w:r>
              <w:rPr>
                <w:rFonts w:ascii="宋体" w:hAnsi="宋体" w:cs="宋体" w:eastAsia="宋体" w:hint="default"/>
                <w:spacing w:val="-86"/>
                <w:sz w:val="18"/>
                <w:szCs w:val="18"/>
              </w:rPr>
              <w:t> </w:t>
            </w:r>
            <w:r>
              <w:rPr>
                <w:rFonts w:ascii="宋体" w:hAnsi="宋体" w:cs="宋体" w:eastAsia="宋体" w:hint="default"/>
                <w:sz w:val="18"/>
                <w:szCs w:val="18"/>
              </w:rPr>
              <w:t>发区</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2,000.00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赵忠华</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131"/>
              <w:jc w:val="both"/>
              <w:rPr>
                <w:rFonts w:ascii="宋体" w:hAnsi="宋体" w:cs="宋体" w:eastAsia="宋体" w:hint="default"/>
                <w:sz w:val="18"/>
                <w:szCs w:val="18"/>
              </w:rPr>
            </w:pPr>
            <w:r>
              <w:rPr>
                <w:rFonts w:ascii="宋体" w:hAnsi="宋体" w:cs="宋体" w:eastAsia="宋体" w:hint="default"/>
                <w:spacing w:val="-7"/>
                <w:sz w:val="18"/>
                <w:szCs w:val="18"/>
              </w:rPr>
              <w:t>房屋租赁、资产经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营及物业管理、仪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表销售等</w:t>
            </w:r>
          </w:p>
        </w:tc>
      </w:tr>
      <w:tr>
        <w:trPr>
          <w:trHeight w:val="734"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47" w:right="72"/>
              <w:jc w:val="both"/>
              <w:rPr>
                <w:rFonts w:ascii="宋体" w:hAnsi="宋体" w:cs="宋体" w:eastAsia="宋体" w:hint="default"/>
                <w:sz w:val="18"/>
                <w:szCs w:val="18"/>
              </w:rPr>
            </w:pPr>
            <w:r>
              <w:rPr>
                <w:rFonts w:ascii="宋体" w:hAnsi="宋体" w:cs="宋体" w:eastAsia="宋体" w:hint="default"/>
                <w:spacing w:val="24"/>
                <w:sz w:val="18"/>
                <w:szCs w:val="18"/>
              </w:rPr>
              <w:t>重庆泰捷仪</w:t>
            </w:r>
            <w:r>
              <w:rPr>
                <w:rFonts w:ascii="宋体" w:hAnsi="宋体" w:cs="宋体" w:eastAsia="宋体" w:hint="default"/>
                <w:spacing w:val="-86"/>
                <w:sz w:val="18"/>
                <w:szCs w:val="18"/>
              </w:rPr>
              <w:t> </w:t>
            </w:r>
            <w:r>
              <w:rPr>
                <w:rFonts w:ascii="宋体" w:hAnsi="宋体" w:cs="宋体" w:eastAsia="宋体" w:hint="default"/>
                <w:spacing w:val="24"/>
                <w:sz w:val="18"/>
                <w:szCs w:val="18"/>
              </w:rPr>
              <w:t>器仪表有限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68"/>
              <w:jc w:val="left"/>
              <w:rPr>
                <w:rFonts w:ascii="宋体" w:hAnsi="宋体" w:cs="宋体" w:eastAsia="宋体" w:hint="default"/>
                <w:sz w:val="18"/>
                <w:szCs w:val="18"/>
              </w:rPr>
            </w:pPr>
            <w:r>
              <w:rPr>
                <w:rFonts w:ascii="宋体" w:hAnsi="宋体" w:cs="宋体" w:eastAsia="宋体" w:hint="default"/>
                <w:spacing w:val="25"/>
                <w:sz w:val="18"/>
                <w:szCs w:val="18"/>
              </w:rPr>
              <w:t>控股子公司的</w:t>
            </w:r>
            <w:r>
              <w:rPr>
                <w:rFonts w:ascii="宋体" w:hAnsi="宋体" w:cs="宋体" w:eastAsia="宋体" w:hint="default"/>
                <w:spacing w:val="-85"/>
                <w:sz w:val="18"/>
                <w:szCs w:val="18"/>
              </w:rPr>
              <w:t> </w:t>
            </w:r>
            <w:r>
              <w:rPr>
                <w:rFonts w:ascii="宋体" w:hAnsi="宋体" w:cs="宋体" w:eastAsia="宋体" w:hint="default"/>
                <w:sz w:val="18"/>
                <w:szCs w:val="18"/>
              </w:rPr>
              <w:t>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重庆市北碚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6"/>
                <w:sz w:val="18"/>
                <w:szCs w:val="18"/>
              </w:rPr>
              <w:t>区 龙 凤</w:t>
            </w:r>
            <w:r>
              <w:rPr>
                <w:rFonts w:ascii="宋体" w:hAnsi="宋体" w:cs="宋体" w:eastAsia="宋体" w:hint="default"/>
                <w:spacing w:val="-12"/>
                <w:sz w:val="18"/>
                <w:szCs w:val="18"/>
              </w:rPr>
              <w:t> </w:t>
            </w:r>
            <w:r>
              <w:rPr>
                <w:rFonts w:ascii="宋体" w:hAnsi="宋体" w:cs="宋体" w:eastAsia="宋体" w:hint="default"/>
                <w:sz w:val="18"/>
                <w:szCs w:val="18"/>
              </w:rPr>
              <w:t>桥</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258</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2,000.00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王治刚</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101"/>
              <w:ind w:left="100" w:right="131"/>
              <w:jc w:val="left"/>
              <w:rPr>
                <w:rFonts w:ascii="宋体" w:hAnsi="宋体" w:cs="宋体" w:eastAsia="宋体" w:hint="default"/>
                <w:sz w:val="18"/>
                <w:szCs w:val="18"/>
              </w:rPr>
            </w:pPr>
            <w:r>
              <w:rPr>
                <w:rFonts w:ascii="宋体" w:hAnsi="宋体" w:cs="宋体" w:eastAsia="宋体" w:hint="default"/>
                <w:spacing w:val="-7"/>
                <w:sz w:val="18"/>
                <w:szCs w:val="18"/>
              </w:rPr>
              <w:t>制造、销售仪器仪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表及原材料</w:t>
            </w:r>
          </w:p>
        </w:tc>
      </w:tr>
      <w:tr>
        <w:trPr>
          <w:trHeight w:val="735"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2"/>
              <w:ind w:left="147" w:right="72"/>
              <w:jc w:val="left"/>
              <w:rPr>
                <w:rFonts w:ascii="宋体" w:hAnsi="宋体" w:cs="宋体" w:eastAsia="宋体" w:hint="default"/>
                <w:sz w:val="18"/>
                <w:szCs w:val="18"/>
              </w:rPr>
            </w:pPr>
            <w:r>
              <w:rPr>
                <w:rFonts w:ascii="宋体" w:hAnsi="宋体" w:cs="宋体" w:eastAsia="宋体" w:hint="default"/>
                <w:spacing w:val="24"/>
                <w:sz w:val="18"/>
                <w:szCs w:val="18"/>
              </w:rPr>
              <w:t>重庆华虹仪</w:t>
            </w:r>
            <w:r>
              <w:rPr>
                <w:rFonts w:ascii="宋体" w:hAnsi="宋体" w:cs="宋体" w:eastAsia="宋体" w:hint="default"/>
                <w:spacing w:val="-86"/>
                <w:sz w:val="18"/>
                <w:szCs w:val="18"/>
              </w:rPr>
              <w:t> </w:t>
            </w:r>
            <w:r>
              <w:rPr>
                <w:rFonts w:ascii="宋体" w:hAnsi="宋体" w:cs="宋体" w:eastAsia="宋体" w:hint="default"/>
                <w:sz w:val="18"/>
                <w:szCs w:val="18"/>
              </w:rPr>
              <w:t>表有限公司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448" w:right="178"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重庆市北碚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6"/>
                <w:sz w:val="18"/>
                <w:szCs w:val="18"/>
              </w:rPr>
              <w:t>区 龙 凤</w:t>
            </w:r>
            <w:r>
              <w:rPr>
                <w:rFonts w:ascii="宋体" w:hAnsi="宋体" w:cs="宋体" w:eastAsia="宋体" w:hint="default"/>
                <w:spacing w:val="-12"/>
                <w:sz w:val="18"/>
                <w:szCs w:val="18"/>
              </w:rPr>
              <w:t> </w:t>
            </w:r>
            <w:r>
              <w:rPr>
                <w:rFonts w:ascii="宋体" w:hAnsi="宋体" w:cs="宋体" w:eastAsia="宋体" w:hint="default"/>
                <w:sz w:val="18"/>
                <w:szCs w:val="18"/>
              </w:rPr>
              <w:t>桥</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258</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1,000.00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胡波</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102"/>
              <w:ind w:left="100" w:right="111"/>
              <w:jc w:val="left"/>
              <w:rPr>
                <w:rFonts w:ascii="宋体" w:hAnsi="宋体" w:cs="宋体" w:eastAsia="宋体" w:hint="default"/>
                <w:sz w:val="18"/>
                <w:szCs w:val="18"/>
              </w:rPr>
            </w:pPr>
            <w:r>
              <w:rPr>
                <w:rFonts w:ascii="宋体" w:hAnsi="宋体" w:cs="宋体" w:eastAsia="宋体" w:hint="default"/>
                <w:spacing w:val="18"/>
                <w:sz w:val="18"/>
                <w:szCs w:val="18"/>
              </w:rPr>
              <w:t>生产销售仪器仪</w:t>
            </w:r>
            <w:r>
              <w:rPr>
                <w:rFonts w:ascii="宋体" w:hAnsi="宋体" w:cs="宋体" w:eastAsia="宋体" w:hint="default"/>
                <w:spacing w:val="-69"/>
                <w:sz w:val="18"/>
                <w:szCs w:val="18"/>
              </w:rPr>
              <w:t> </w:t>
            </w:r>
            <w:r>
              <w:rPr>
                <w:rFonts w:ascii="宋体" w:hAnsi="宋体" w:cs="宋体" w:eastAsia="宋体" w:hint="default"/>
                <w:sz w:val="18"/>
                <w:szCs w:val="18"/>
              </w:rPr>
              <w:t>表及其元器件</w:t>
            </w:r>
          </w:p>
        </w:tc>
      </w:tr>
      <w:tr>
        <w:trPr>
          <w:trHeight w:val="977" w:hRule="exact"/>
        </w:trPr>
        <w:tc>
          <w:tcPr>
            <w:tcW w:w="1285"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47" w:right="72"/>
              <w:jc w:val="both"/>
              <w:rPr>
                <w:rFonts w:ascii="宋体" w:hAnsi="宋体" w:cs="宋体" w:eastAsia="宋体" w:hint="default"/>
                <w:sz w:val="18"/>
                <w:szCs w:val="18"/>
              </w:rPr>
            </w:pPr>
            <w:r>
              <w:rPr>
                <w:rFonts w:ascii="宋体" w:hAnsi="宋体" w:cs="宋体" w:eastAsia="宋体" w:hint="default"/>
                <w:spacing w:val="24"/>
                <w:sz w:val="18"/>
                <w:szCs w:val="18"/>
              </w:rPr>
              <w:t>浙江华立利</w:t>
            </w:r>
            <w:r>
              <w:rPr>
                <w:rFonts w:ascii="宋体" w:hAnsi="宋体" w:cs="宋体" w:eastAsia="宋体" w:hint="default"/>
                <w:spacing w:val="-86"/>
                <w:sz w:val="18"/>
                <w:szCs w:val="18"/>
              </w:rPr>
              <w:t> </w:t>
            </w:r>
            <w:r>
              <w:rPr>
                <w:rFonts w:ascii="宋体" w:hAnsi="宋体" w:cs="宋体" w:eastAsia="宋体" w:hint="default"/>
                <w:spacing w:val="24"/>
                <w:sz w:val="18"/>
                <w:szCs w:val="18"/>
              </w:rPr>
              <w:t>源仪表有限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448" w:right="178"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74"/>
              <w:jc w:val="both"/>
              <w:rPr>
                <w:rFonts w:ascii="宋体" w:hAnsi="宋体" w:cs="宋体" w:eastAsia="宋体" w:hint="default"/>
                <w:sz w:val="18"/>
                <w:szCs w:val="18"/>
              </w:rPr>
            </w:pPr>
            <w:r>
              <w:rPr>
                <w:rFonts w:ascii="宋体" w:hAnsi="宋体" w:cs="宋体" w:eastAsia="宋体" w:hint="default"/>
                <w:spacing w:val="20"/>
                <w:sz w:val="18"/>
                <w:szCs w:val="18"/>
              </w:rPr>
              <w:t>杭州余杭区</w:t>
            </w:r>
            <w:r>
              <w:rPr>
                <w:rFonts w:ascii="宋体" w:hAnsi="宋体" w:cs="宋体" w:eastAsia="宋体" w:hint="default"/>
                <w:spacing w:val="-86"/>
                <w:sz w:val="18"/>
                <w:szCs w:val="18"/>
              </w:rPr>
              <w:t> </w:t>
            </w:r>
            <w:r>
              <w:rPr>
                <w:rFonts w:ascii="宋体" w:hAnsi="宋体" w:cs="宋体" w:eastAsia="宋体" w:hint="default"/>
                <w:spacing w:val="20"/>
                <w:sz w:val="18"/>
                <w:szCs w:val="18"/>
              </w:rPr>
              <w:t>五常街道五</w:t>
            </w:r>
            <w:r>
              <w:rPr>
                <w:rFonts w:ascii="宋体" w:hAnsi="宋体" w:cs="宋体" w:eastAsia="宋体" w:hint="default"/>
                <w:spacing w:val="-86"/>
                <w:sz w:val="18"/>
                <w:szCs w:val="18"/>
              </w:rPr>
              <w:t> </w:t>
            </w:r>
            <w:r>
              <w:rPr>
                <w:rFonts w:ascii="宋体" w:hAnsi="宋体" w:cs="宋体" w:eastAsia="宋体" w:hint="default"/>
                <w:spacing w:val="17"/>
                <w:sz w:val="18"/>
                <w:szCs w:val="18"/>
              </w:rPr>
              <w:t>常大道</w:t>
            </w:r>
            <w:r>
              <w:rPr>
                <w:rFonts w:ascii="宋体" w:hAnsi="宋体" w:cs="宋体" w:eastAsia="宋体" w:hint="default"/>
                <w:spacing w:val="25"/>
                <w:sz w:val="18"/>
                <w:szCs w:val="18"/>
              </w:rPr>
              <w:t> </w:t>
            </w:r>
            <w:r>
              <w:rPr>
                <w:rFonts w:ascii="Arial" w:hAnsi="Arial" w:cs="Arial" w:eastAsia="Arial" w:hint="default"/>
                <w:sz w:val="18"/>
                <w:szCs w:val="18"/>
              </w:rPr>
              <w:t>181</w:t>
            </w:r>
            <w:r>
              <w:rPr>
                <w:rFonts w:ascii="Arial" w:hAnsi="Arial" w:cs="Arial" w:eastAsia="Arial" w:hint="default"/>
                <w:w w:val="99"/>
                <w:sz w:val="18"/>
                <w:szCs w:val="18"/>
              </w:rPr>
              <w:t> </w:t>
            </w:r>
            <w:r>
              <w:rPr>
                <w:rFonts w:ascii="宋体" w:hAnsi="宋体" w:cs="宋体" w:eastAsia="宋体" w:hint="default"/>
                <w:sz w:val="18"/>
                <w:szCs w:val="18"/>
              </w:rPr>
              <w:t>号</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 w:right="0"/>
              <w:jc w:val="center"/>
              <w:rPr>
                <w:rFonts w:ascii="Arial" w:hAnsi="Arial" w:cs="Arial" w:eastAsia="Arial" w:hint="default"/>
                <w:sz w:val="18"/>
                <w:szCs w:val="18"/>
              </w:rPr>
            </w:pPr>
            <w:r>
              <w:rPr>
                <w:rFonts w:ascii="Arial"/>
                <w:sz w:val="18"/>
              </w:rPr>
              <w:t>500.00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金美星</w:t>
            </w:r>
          </w:p>
        </w:tc>
        <w:tc>
          <w:tcPr>
            <w:tcW w:w="1633"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100" w:right="111"/>
              <w:jc w:val="both"/>
              <w:rPr>
                <w:rFonts w:ascii="宋体" w:hAnsi="宋体" w:cs="宋体" w:eastAsia="宋体" w:hint="default"/>
                <w:sz w:val="18"/>
                <w:szCs w:val="18"/>
              </w:rPr>
            </w:pPr>
            <w:r>
              <w:rPr>
                <w:rFonts w:ascii="宋体" w:hAnsi="宋体" w:cs="宋体" w:eastAsia="宋体" w:hint="default"/>
                <w:sz w:val="18"/>
                <w:szCs w:val="18"/>
              </w:rPr>
              <w:t>智能 </w:t>
            </w:r>
            <w:r>
              <w:rPr>
                <w:rFonts w:ascii="Arial" w:hAnsi="Arial" w:cs="Arial" w:eastAsia="Arial" w:hint="default"/>
                <w:sz w:val="18"/>
                <w:szCs w:val="18"/>
              </w:rPr>
              <w:t>IC</w:t>
            </w:r>
            <w:r>
              <w:rPr>
                <w:rFonts w:ascii="Arial" w:hAnsi="Arial" w:cs="Arial" w:eastAsia="Arial" w:hint="default"/>
                <w:spacing w:val="-7"/>
                <w:sz w:val="18"/>
                <w:szCs w:val="18"/>
              </w:rPr>
              <w:t> </w:t>
            </w:r>
            <w:r>
              <w:rPr>
                <w:rFonts w:ascii="宋体" w:hAnsi="宋体" w:cs="宋体" w:eastAsia="宋体" w:hint="default"/>
                <w:sz w:val="18"/>
                <w:szCs w:val="18"/>
              </w:rPr>
              <w:t>卡水表、 </w:t>
            </w:r>
            <w:r>
              <w:rPr>
                <w:rFonts w:ascii="宋体" w:hAnsi="宋体" w:cs="宋体" w:eastAsia="宋体" w:hint="default"/>
                <w:spacing w:val="-7"/>
                <w:sz w:val="18"/>
                <w:szCs w:val="18"/>
              </w:rPr>
              <w:t>电能表及系统、远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传水表及普通水</w:t>
            </w:r>
            <w:r>
              <w:rPr>
                <w:rFonts w:ascii="宋体" w:hAnsi="宋体" w:cs="宋体" w:eastAsia="宋体" w:hint="default"/>
                <w:spacing w:val="-69"/>
                <w:sz w:val="18"/>
                <w:szCs w:val="18"/>
              </w:rPr>
              <w:t> </w:t>
            </w:r>
            <w:r>
              <w:rPr>
                <w:rFonts w:ascii="宋体" w:hAnsi="宋体" w:cs="宋体" w:eastAsia="宋体" w:hint="default"/>
                <w:sz w:val="18"/>
                <w:szCs w:val="18"/>
              </w:rPr>
              <w:t>表的生产销售</w:t>
            </w:r>
          </w:p>
        </w:tc>
      </w:tr>
      <w:tr>
        <w:trPr>
          <w:trHeight w:val="982" w:hRule="exact"/>
        </w:trPr>
        <w:tc>
          <w:tcPr>
            <w:tcW w:w="12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147" w:right="72"/>
              <w:jc w:val="left"/>
              <w:rPr>
                <w:rFonts w:ascii="宋体" w:hAnsi="宋体" w:cs="宋体" w:eastAsia="宋体" w:hint="default"/>
                <w:sz w:val="18"/>
                <w:szCs w:val="18"/>
              </w:rPr>
            </w:pPr>
            <w:r>
              <w:rPr>
                <w:rFonts w:ascii="宋体" w:hAnsi="宋体" w:cs="宋体" w:eastAsia="宋体" w:hint="default"/>
                <w:spacing w:val="24"/>
                <w:sz w:val="18"/>
                <w:szCs w:val="18"/>
              </w:rPr>
              <w:t>杭州子蜂软</w:t>
            </w:r>
            <w:r>
              <w:rPr>
                <w:rFonts w:ascii="宋体" w:hAnsi="宋体" w:cs="宋体" w:eastAsia="宋体" w:hint="default"/>
                <w:spacing w:val="-86"/>
                <w:sz w:val="18"/>
                <w:szCs w:val="18"/>
              </w:rPr>
              <w:t> </w:t>
            </w:r>
            <w:r>
              <w:rPr>
                <w:rFonts w:ascii="宋体" w:hAnsi="宋体" w:cs="宋体" w:eastAsia="宋体" w:hint="default"/>
                <w:sz w:val="18"/>
                <w:szCs w:val="18"/>
              </w:rPr>
              <w:t>件有限公司</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448" w:right="178"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74"/>
              <w:jc w:val="both"/>
              <w:rPr>
                <w:rFonts w:ascii="宋体" w:hAnsi="宋体" w:cs="宋体" w:eastAsia="宋体" w:hint="default"/>
                <w:sz w:val="18"/>
                <w:szCs w:val="18"/>
              </w:rPr>
            </w:pPr>
            <w:r>
              <w:rPr>
                <w:rFonts w:ascii="宋体" w:hAnsi="宋体" w:cs="宋体" w:eastAsia="宋体" w:hint="default"/>
                <w:spacing w:val="20"/>
                <w:sz w:val="18"/>
                <w:szCs w:val="18"/>
              </w:rPr>
              <w:t>杭州市西湖</w:t>
            </w:r>
            <w:r>
              <w:rPr>
                <w:rFonts w:ascii="宋体" w:hAnsi="宋体" w:cs="宋体" w:eastAsia="宋体" w:hint="default"/>
                <w:spacing w:val="-86"/>
                <w:sz w:val="18"/>
                <w:szCs w:val="18"/>
              </w:rPr>
              <w:t> </w:t>
            </w:r>
            <w:r>
              <w:rPr>
                <w:rFonts w:ascii="宋体" w:hAnsi="宋体" w:cs="宋体" w:eastAsia="宋体" w:hint="default"/>
                <w:spacing w:val="20"/>
                <w:sz w:val="18"/>
                <w:szCs w:val="18"/>
              </w:rPr>
              <w:t>区西斗门路</w:t>
            </w:r>
            <w:r>
              <w:rPr>
                <w:rFonts w:ascii="宋体" w:hAnsi="宋体" w:cs="宋体" w:eastAsia="宋体" w:hint="default"/>
                <w:spacing w:val="-86"/>
                <w:sz w:val="18"/>
                <w:szCs w:val="18"/>
              </w:rPr>
              <w:t> </w:t>
            </w:r>
            <w:r>
              <w:rPr>
                <w:rFonts w:ascii="Arial" w:hAnsi="Arial" w:cs="Arial" w:eastAsia="Arial" w:hint="default"/>
                <w:sz w:val="18"/>
                <w:szCs w:val="18"/>
              </w:rPr>
              <w:t>18</w:t>
            </w:r>
            <w:r>
              <w:rPr>
                <w:rFonts w:ascii="Arial" w:hAnsi="Arial" w:cs="Arial" w:eastAsia="Arial" w:hint="default"/>
                <w:spacing w:val="38"/>
                <w:sz w:val="18"/>
                <w:szCs w:val="18"/>
              </w:rPr>
              <w:t> </w:t>
            </w:r>
            <w:r>
              <w:rPr>
                <w:rFonts w:ascii="宋体" w:hAnsi="宋体" w:cs="宋体" w:eastAsia="宋体" w:hint="default"/>
                <w:sz w:val="18"/>
                <w:szCs w:val="18"/>
              </w:rPr>
              <w:t>号三楼东 侧</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 w:right="0"/>
              <w:jc w:val="center"/>
              <w:rPr>
                <w:rFonts w:ascii="Arial" w:hAnsi="Arial" w:cs="Arial" w:eastAsia="Arial" w:hint="default"/>
                <w:sz w:val="18"/>
                <w:szCs w:val="18"/>
              </w:rPr>
            </w:pPr>
            <w:r>
              <w:rPr>
                <w:rFonts w:ascii="Arial"/>
                <w:sz w:val="18"/>
              </w:rPr>
              <w:t>100.00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金美星</w:t>
            </w:r>
          </w:p>
        </w:tc>
        <w:tc>
          <w:tcPr>
            <w:tcW w:w="16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100" w:right="131"/>
              <w:jc w:val="left"/>
              <w:rPr>
                <w:rFonts w:ascii="宋体" w:hAnsi="宋体" w:cs="宋体" w:eastAsia="宋体" w:hint="default"/>
                <w:sz w:val="18"/>
                <w:szCs w:val="18"/>
              </w:rPr>
            </w:pPr>
            <w:r>
              <w:rPr>
                <w:rFonts w:ascii="宋体" w:hAnsi="宋体" w:cs="宋体" w:eastAsia="宋体" w:hint="default"/>
                <w:spacing w:val="-7"/>
                <w:sz w:val="18"/>
                <w:szCs w:val="18"/>
              </w:rPr>
              <w:t>技术开发、技术服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务、销售</w:t>
            </w:r>
          </w:p>
        </w:tc>
      </w:tr>
    </w:tbl>
    <w:p>
      <w:pPr>
        <w:spacing w:after="0" w:line="244" w:lineRule="auto"/>
        <w:jc w:val="left"/>
        <w:rPr>
          <w:rFonts w:ascii="宋体" w:hAnsi="宋体" w:cs="宋体" w:eastAsia="宋体" w:hint="default"/>
          <w:sz w:val="18"/>
          <w:szCs w:val="18"/>
        </w:rPr>
        <w:sectPr>
          <w:pgSz w:w="11910" w:h="16840"/>
          <w:pgMar w:header="884" w:footer="1013" w:top="1080" w:bottom="1200" w:left="1260" w:right="0"/>
        </w:sectPr>
      </w:pPr>
    </w:p>
    <w:tbl>
      <w:tblPr>
        <w:tblW w:w="0" w:type="auto"/>
        <w:jc w:val="left"/>
        <w:tblInd w:w="115" w:type="dxa"/>
        <w:tblLayout w:type="fixed"/>
        <w:tblCellMar>
          <w:top w:w="0" w:type="dxa"/>
          <w:left w:w="0" w:type="dxa"/>
          <w:bottom w:w="0" w:type="dxa"/>
          <w:right w:w="0" w:type="dxa"/>
        </w:tblCellMar>
        <w:tblLook w:val="01E0"/>
      </w:tblPr>
      <w:tblGrid>
        <w:gridCol w:w="1260"/>
        <w:gridCol w:w="1453"/>
        <w:gridCol w:w="1224"/>
        <w:gridCol w:w="1467"/>
        <w:gridCol w:w="1241"/>
        <w:gridCol w:w="845"/>
        <w:gridCol w:w="1608"/>
      </w:tblGrid>
      <w:tr>
        <w:trPr>
          <w:trHeight w:val="989" w:hRule="exact"/>
        </w:trPr>
        <w:tc>
          <w:tcPr>
            <w:tcW w:w="1260" w:type="dxa"/>
            <w:tcBorders>
              <w:top w:val="single" w:sz="17" w:space="0" w:color="000000"/>
              <w:left w:val="nil" w:sz="6" w:space="0" w:color="auto"/>
              <w:bottom w:val="single" w:sz="6" w:space="0" w:color="000000"/>
              <w:right w:val="single" w:sz="6" w:space="0" w:color="000000"/>
            </w:tcBorders>
          </w:tcPr>
          <w:p>
            <w:pPr>
              <w:pStyle w:val="TableParagraph"/>
              <w:spacing w:line="244" w:lineRule="auto" w:before="101"/>
              <w:ind w:left="122" w:right="72"/>
              <w:jc w:val="both"/>
              <w:rPr>
                <w:rFonts w:ascii="宋体" w:hAnsi="宋体" w:cs="宋体" w:eastAsia="宋体" w:hint="default"/>
                <w:sz w:val="18"/>
                <w:szCs w:val="18"/>
              </w:rPr>
            </w:pPr>
            <w:r>
              <w:rPr>
                <w:rFonts w:ascii="宋体" w:hAnsi="宋体" w:cs="宋体" w:eastAsia="宋体" w:hint="default"/>
                <w:spacing w:val="24"/>
                <w:sz w:val="18"/>
                <w:szCs w:val="18"/>
              </w:rPr>
              <w:t>浙江华立电</w:t>
            </w:r>
            <w:r>
              <w:rPr>
                <w:rFonts w:ascii="宋体" w:hAnsi="宋体" w:cs="宋体" w:eastAsia="宋体" w:hint="default"/>
                <w:spacing w:val="-86"/>
                <w:sz w:val="18"/>
                <w:szCs w:val="18"/>
              </w:rPr>
              <w:t> </w:t>
            </w:r>
            <w:r>
              <w:rPr>
                <w:rFonts w:ascii="宋体" w:hAnsi="宋体" w:cs="宋体" w:eastAsia="宋体" w:hint="default"/>
                <w:spacing w:val="24"/>
                <w:sz w:val="18"/>
                <w:szCs w:val="18"/>
              </w:rPr>
              <w:t>子技术有限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24" w:type="dxa"/>
            <w:tcBorders>
              <w:top w:val="single" w:sz="17" w:space="0" w:color="000000"/>
              <w:left w:val="single" w:sz="6" w:space="0" w:color="000000"/>
              <w:bottom w:val="single" w:sz="6" w:space="0" w:color="000000"/>
              <w:right w:val="single" w:sz="6" w:space="0" w:color="000000"/>
            </w:tcBorders>
          </w:tcPr>
          <w:p>
            <w:pPr>
              <w:pStyle w:val="TableParagraph"/>
              <w:spacing w:line="240" w:lineRule="exact"/>
              <w:ind w:left="100" w:right="74"/>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86"/>
                <w:sz w:val="18"/>
                <w:szCs w:val="18"/>
              </w:rPr>
              <w:t> </w:t>
            </w:r>
            <w:r>
              <w:rPr>
                <w:rFonts w:ascii="宋体" w:hAnsi="宋体" w:cs="宋体" w:eastAsia="宋体" w:hint="default"/>
                <w:spacing w:val="20"/>
                <w:sz w:val="18"/>
                <w:szCs w:val="18"/>
              </w:rPr>
              <w:t>高新技术开</w:t>
            </w:r>
            <w:r>
              <w:rPr>
                <w:rFonts w:ascii="宋体" w:hAnsi="宋体" w:cs="宋体" w:eastAsia="宋体" w:hint="default"/>
                <w:spacing w:val="-86"/>
                <w:sz w:val="18"/>
                <w:szCs w:val="18"/>
              </w:rPr>
              <w:t> </w:t>
            </w:r>
            <w:r>
              <w:rPr>
                <w:rFonts w:ascii="宋体" w:hAnsi="宋体" w:cs="宋体" w:eastAsia="宋体" w:hint="default"/>
                <w:spacing w:val="20"/>
                <w:sz w:val="18"/>
                <w:szCs w:val="18"/>
              </w:rPr>
              <w:t>发区西斗门</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z w:val="18"/>
                <w:szCs w:val="18"/>
              </w:rPr>
              <w:t>工业区</w:t>
            </w:r>
          </w:p>
        </w:tc>
        <w:tc>
          <w:tcPr>
            <w:tcW w:w="146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4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78" w:lineRule="auto"/>
              <w:ind w:left="338" w:right="335" w:firstLine="84"/>
              <w:jc w:val="left"/>
              <w:rPr>
                <w:rFonts w:ascii="Arial" w:hAnsi="Arial" w:cs="Arial" w:eastAsia="Arial" w:hint="default"/>
                <w:sz w:val="18"/>
                <w:szCs w:val="18"/>
              </w:rPr>
            </w:pPr>
            <w:r>
              <w:rPr>
                <w:rFonts w:ascii="Arial"/>
                <w:sz w:val="18"/>
              </w:rPr>
              <w:t>USD</w:t>
            </w:r>
            <w:r>
              <w:rPr>
                <w:rFonts w:ascii="Arial"/>
                <w:w w:val="99"/>
                <w:sz w:val="18"/>
              </w:rPr>
              <w:t> </w:t>
            </w:r>
            <w:r>
              <w:rPr>
                <w:rFonts w:ascii="Arial"/>
                <w:sz w:val="18"/>
              </w:rPr>
              <w:t>150.00</w:t>
            </w:r>
          </w:p>
        </w:tc>
        <w:tc>
          <w:tcPr>
            <w:tcW w:w="84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彭建华</w:t>
            </w:r>
          </w:p>
        </w:tc>
        <w:tc>
          <w:tcPr>
            <w:tcW w:w="1608" w:type="dxa"/>
            <w:tcBorders>
              <w:top w:val="single" w:sz="17" w:space="0" w:color="000000"/>
              <w:left w:val="single" w:sz="6" w:space="0" w:color="000000"/>
              <w:bottom w:val="single" w:sz="6" w:space="0" w:color="000000"/>
              <w:right w:val="nil" w:sz="6" w:space="0" w:color="auto"/>
            </w:tcBorders>
          </w:tcPr>
          <w:p>
            <w:pPr>
              <w:pStyle w:val="TableParagraph"/>
              <w:spacing w:line="244" w:lineRule="auto" w:before="101"/>
              <w:ind w:left="100" w:right="59"/>
              <w:jc w:val="both"/>
              <w:rPr>
                <w:rFonts w:ascii="宋体" w:hAnsi="宋体" w:cs="宋体" w:eastAsia="宋体" w:hint="default"/>
                <w:sz w:val="18"/>
                <w:szCs w:val="18"/>
              </w:rPr>
            </w:pPr>
            <w:r>
              <w:rPr>
                <w:rFonts w:ascii="宋体" w:hAnsi="宋体" w:cs="宋体" w:eastAsia="宋体" w:hint="default"/>
                <w:sz w:val="18"/>
                <w:szCs w:val="18"/>
              </w:rPr>
              <w:t>电能计量、检测、 </w:t>
            </w:r>
            <w:r>
              <w:rPr>
                <w:rFonts w:ascii="宋体" w:hAnsi="宋体" w:cs="宋体" w:eastAsia="宋体" w:hint="default"/>
                <w:spacing w:val="18"/>
                <w:sz w:val="18"/>
                <w:szCs w:val="18"/>
              </w:rPr>
              <w:t>收费仪表及系统</w:t>
            </w:r>
            <w:r>
              <w:rPr>
                <w:rFonts w:ascii="宋体" w:hAnsi="宋体" w:cs="宋体" w:eastAsia="宋体" w:hint="default"/>
                <w:spacing w:val="-69"/>
                <w:sz w:val="18"/>
                <w:szCs w:val="18"/>
              </w:rPr>
              <w:t> </w:t>
            </w:r>
            <w:r>
              <w:rPr>
                <w:rFonts w:ascii="宋体" w:hAnsi="宋体" w:cs="宋体" w:eastAsia="宋体" w:hint="default"/>
                <w:sz w:val="18"/>
                <w:szCs w:val="18"/>
              </w:rPr>
              <w:t>的生产销售</w:t>
            </w:r>
          </w:p>
        </w:tc>
      </w:tr>
      <w:tr>
        <w:trPr>
          <w:trHeight w:val="600"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24"/>
                <w:sz w:val="18"/>
                <w:szCs w:val="18"/>
              </w:rPr>
              <w:t>子公司名称</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4"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7"/>
              <w:ind w:left="636" w:right="183" w:hanging="449"/>
              <w:jc w:val="left"/>
              <w:rPr>
                <w:rFonts w:ascii="宋体" w:hAnsi="宋体" w:cs="宋体" w:eastAsia="宋体" w:hint="default"/>
                <w:sz w:val="18"/>
                <w:szCs w:val="18"/>
              </w:rPr>
            </w:pPr>
            <w:r>
              <w:rPr>
                <w:rFonts w:ascii="宋体" w:hAnsi="宋体" w:cs="宋体" w:eastAsia="宋体" w:hint="default"/>
                <w:sz w:val="18"/>
                <w:szCs w:val="18"/>
              </w:rPr>
              <w:t>年末实际出资 额</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37"/>
              <w:ind w:left="223" w:right="135" w:hanging="89"/>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37"/>
              <w:ind w:left="616" w:right="623"/>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737"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2"/>
              <w:jc w:val="both"/>
              <w:rPr>
                <w:rFonts w:ascii="宋体" w:hAnsi="宋体" w:cs="宋体" w:eastAsia="宋体" w:hint="default"/>
                <w:sz w:val="18"/>
                <w:szCs w:val="18"/>
              </w:rPr>
            </w:pPr>
            <w:r>
              <w:rPr>
                <w:rFonts w:ascii="宋体" w:hAnsi="宋体" w:cs="宋体" w:eastAsia="宋体" w:hint="default"/>
                <w:spacing w:val="24"/>
                <w:sz w:val="18"/>
                <w:szCs w:val="18"/>
              </w:rPr>
              <w:t>华立仪表集</w:t>
            </w:r>
            <w:r>
              <w:rPr>
                <w:rFonts w:ascii="宋体" w:hAnsi="宋体" w:cs="宋体" w:eastAsia="宋体" w:hint="default"/>
                <w:spacing w:val="-86"/>
                <w:sz w:val="18"/>
                <w:szCs w:val="18"/>
              </w:rPr>
              <w:t> </w:t>
            </w:r>
            <w:r>
              <w:rPr>
                <w:rFonts w:ascii="宋体" w:hAnsi="宋体" w:cs="宋体" w:eastAsia="宋体" w:hint="default"/>
                <w:spacing w:val="24"/>
                <w:sz w:val="18"/>
                <w:szCs w:val="18"/>
              </w:rPr>
              <w:t>团股份有限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79.00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79.00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26" w:right="0"/>
              <w:jc w:val="left"/>
              <w:rPr>
                <w:rFonts w:ascii="Arial" w:hAnsi="Arial" w:cs="Arial" w:eastAsia="Arial" w:hint="default"/>
                <w:sz w:val="18"/>
                <w:szCs w:val="18"/>
              </w:rPr>
            </w:pPr>
            <w:r>
              <w:rPr>
                <w:rFonts w:ascii="Arial"/>
                <w:sz w:val="18"/>
              </w:rPr>
              <w:t>10,379.37</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杭州中盛仪</w:t>
            </w:r>
            <w:r>
              <w:rPr>
                <w:rFonts w:ascii="宋体" w:hAnsi="宋体" w:cs="宋体" w:eastAsia="宋体" w:hint="default"/>
                <w:spacing w:val="-86"/>
                <w:sz w:val="18"/>
                <w:szCs w:val="18"/>
              </w:rPr>
              <w:t> </w:t>
            </w:r>
            <w:r>
              <w:rPr>
                <w:rFonts w:ascii="宋体" w:hAnsi="宋体" w:cs="宋体" w:eastAsia="宋体" w:hint="default"/>
                <w:spacing w:val="24"/>
                <w:sz w:val="18"/>
                <w:szCs w:val="18"/>
              </w:rPr>
              <w:t>器仪表有限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75.00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75.00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451" w:right="0"/>
              <w:jc w:val="left"/>
              <w:rPr>
                <w:rFonts w:ascii="Arial" w:hAnsi="Arial" w:cs="Arial" w:eastAsia="Arial" w:hint="default"/>
                <w:sz w:val="18"/>
                <w:szCs w:val="18"/>
              </w:rPr>
            </w:pPr>
            <w:r>
              <w:rPr>
                <w:rFonts w:ascii="Arial"/>
                <w:sz w:val="18"/>
              </w:rPr>
              <w:t>750.00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杭州华立科</w:t>
            </w:r>
            <w:r>
              <w:rPr>
                <w:rFonts w:ascii="宋体" w:hAnsi="宋体" w:cs="宋体" w:eastAsia="宋体" w:hint="default"/>
                <w:spacing w:val="-86"/>
                <w:sz w:val="18"/>
                <w:szCs w:val="18"/>
              </w:rPr>
              <w:t> </w:t>
            </w:r>
            <w:r>
              <w:rPr>
                <w:rFonts w:ascii="宋体" w:hAnsi="宋体" w:cs="宋体" w:eastAsia="宋体" w:hint="default"/>
                <w:spacing w:val="24"/>
                <w:sz w:val="18"/>
                <w:szCs w:val="18"/>
              </w:rPr>
              <w:t>技园有限公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100.00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76" w:right="0"/>
              <w:jc w:val="left"/>
              <w:rPr>
                <w:rFonts w:ascii="Arial" w:hAnsi="Arial" w:cs="Arial" w:eastAsia="Arial" w:hint="default"/>
                <w:sz w:val="18"/>
                <w:szCs w:val="18"/>
              </w:rPr>
            </w:pPr>
            <w:r>
              <w:rPr>
                <w:rFonts w:ascii="Arial"/>
                <w:sz w:val="18"/>
              </w:rPr>
              <w:t>2,000.00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5"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重庆泰捷仪</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4" w:lineRule="auto" w:before="5"/>
              <w:ind w:left="122" w:right="72"/>
              <w:jc w:val="left"/>
              <w:rPr>
                <w:rFonts w:ascii="宋体" w:hAnsi="宋体" w:cs="宋体" w:eastAsia="宋体" w:hint="default"/>
                <w:sz w:val="18"/>
                <w:szCs w:val="18"/>
              </w:rPr>
            </w:pPr>
            <w:r>
              <w:rPr>
                <w:rFonts w:ascii="宋体" w:hAnsi="宋体" w:cs="宋体" w:eastAsia="宋体" w:hint="default"/>
                <w:spacing w:val="24"/>
                <w:sz w:val="18"/>
                <w:szCs w:val="18"/>
              </w:rPr>
              <w:t>器仪表有限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71.35</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71.35</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76" w:right="0"/>
              <w:jc w:val="left"/>
              <w:rPr>
                <w:rFonts w:ascii="Arial" w:hAnsi="Arial" w:cs="Arial" w:eastAsia="Arial" w:hint="default"/>
                <w:sz w:val="18"/>
                <w:szCs w:val="18"/>
              </w:rPr>
            </w:pPr>
            <w:r>
              <w:rPr>
                <w:rFonts w:ascii="Arial"/>
                <w:sz w:val="18"/>
              </w:rPr>
              <w:t>2,000.00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2"/>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9"/>
                <w:sz w:val="18"/>
                <w:szCs w:val="18"/>
              </w:rPr>
              <w:t> </w:t>
            </w:r>
            <w:r>
              <w:rPr>
                <w:rFonts w:ascii="宋体" w:hAnsi="宋体" w:cs="宋体" w:eastAsia="宋体" w:hint="default"/>
                <w:spacing w:val="23"/>
                <w:sz w:val="18"/>
                <w:szCs w:val="18"/>
              </w:rPr>
              <w:t>庆华虹仪</w:t>
            </w:r>
            <w:r>
              <w:rPr>
                <w:rFonts w:ascii="宋体" w:hAnsi="宋体" w:cs="宋体" w:eastAsia="宋体" w:hint="default"/>
                <w:spacing w:val="-59"/>
                <w:sz w:val="18"/>
                <w:szCs w:val="18"/>
              </w:rPr>
              <w:t> </w:t>
            </w:r>
            <w:r>
              <w:rPr>
                <w:rFonts w:ascii="宋体" w:hAnsi="宋体" w:cs="宋体" w:eastAsia="宋体" w:hint="default"/>
                <w:sz w:val="18"/>
                <w:szCs w:val="18"/>
              </w:rPr>
              <w:t>表有限公司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71.35</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71.35</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76" w:right="0"/>
              <w:jc w:val="left"/>
              <w:rPr>
                <w:rFonts w:ascii="Arial" w:hAnsi="Arial" w:cs="Arial" w:eastAsia="Arial" w:hint="default"/>
                <w:sz w:val="18"/>
                <w:szCs w:val="18"/>
              </w:rPr>
            </w:pPr>
            <w:r>
              <w:rPr>
                <w:rFonts w:ascii="Arial"/>
                <w:sz w:val="18"/>
              </w:rPr>
              <w:t>1,000.00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浙江华立利</w:t>
            </w:r>
            <w:r>
              <w:rPr>
                <w:rFonts w:ascii="宋体" w:hAnsi="宋体" w:cs="宋体" w:eastAsia="宋体" w:hint="default"/>
                <w:spacing w:val="-86"/>
                <w:sz w:val="18"/>
                <w:szCs w:val="18"/>
              </w:rPr>
              <w:t> </w:t>
            </w:r>
            <w:r>
              <w:rPr>
                <w:rFonts w:ascii="宋体" w:hAnsi="宋体" w:cs="宋体" w:eastAsia="宋体" w:hint="default"/>
                <w:spacing w:val="24"/>
                <w:sz w:val="18"/>
                <w:szCs w:val="18"/>
              </w:rPr>
              <w:t>源仪表有限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75.00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75.00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451" w:right="0"/>
              <w:jc w:val="left"/>
              <w:rPr>
                <w:rFonts w:ascii="Arial" w:hAnsi="Arial" w:cs="Arial" w:eastAsia="Arial" w:hint="default"/>
                <w:sz w:val="18"/>
                <w:szCs w:val="18"/>
              </w:rPr>
            </w:pPr>
            <w:r>
              <w:rPr>
                <w:rFonts w:ascii="Arial"/>
                <w:sz w:val="18"/>
              </w:rPr>
              <w:t>375.00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left"/>
              <w:rPr>
                <w:rFonts w:ascii="宋体" w:hAnsi="宋体" w:cs="宋体" w:eastAsia="宋体" w:hint="default"/>
                <w:sz w:val="18"/>
                <w:szCs w:val="18"/>
              </w:rPr>
            </w:pPr>
            <w:r>
              <w:rPr>
                <w:rFonts w:ascii="宋体" w:hAnsi="宋体" w:cs="宋体" w:eastAsia="宋体" w:hint="default"/>
                <w:spacing w:val="24"/>
                <w:sz w:val="18"/>
                <w:szCs w:val="18"/>
              </w:rPr>
              <w:t>杭州子蜂软</w:t>
            </w:r>
            <w:r>
              <w:rPr>
                <w:rFonts w:ascii="宋体" w:hAnsi="宋体" w:cs="宋体" w:eastAsia="宋体" w:hint="default"/>
                <w:spacing w:val="-86"/>
                <w:sz w:val="18"/>
                <w:szCs w:val="18"/>
              </w:rPr>
              <w:t> </w:t>
            </w:r>
            <w:r>
              <w:rPr>
                <w:rFonts w:ascii="宋体" w:hAnsi="宋体" w:cs="宋体" w:eastAsia="宋体" w:hint="default"/>
                <w:sz w:val="18"/>
                <w:szCs w:val="18"/>
              </w:rPr>
              <w:t>件有限公司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100.00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500.00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浙江华立电</w:t>
            </w:r>
            <w:r>
              <w:rPr>
                <w:rFonts w:ascii="宋体" w:hAnsi="宋体" w:cs="宋体" w:eastAsia="宋体" w:hint="default"/>
                <w:spacing w:val="-86"/>
                <w:sz w:val="18"/>
                <w:szCs w:val="18"/>
              </w:rPr>
              <w:t> </w:t>
            </w:r>
            <w:r>
              <w:rPr>
                <w:rFonts w:ascii="宋体" w:hAnsi="宋体" w:cs="宋体" w:eastAsia="宋体" w:hint="default"/>
                <w:spacing w:val="24"/>
                <w:sz w:val="18"/>
                <w:szCs w:val="18"/>
              </w:rPr>
              <w:t>子技术有限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75.00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75.00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2" w:right="0"/>
              <w:jc w:val="left"/>
              <w:rPr>
                <w:rFonts w:ascii="Arial" w:hAnsi="Arial" w:cs="Arial" w:eastAsia="Arial" w:hint="default"/>
                <w:sz w:val="18"/>
                <w:szCs w:val="18"/>
              </w:rPr>
            </w:pPr>
            <w:r>
              <w:rPr>
                <w:rFonts w:ascii="Arial"/>
                <w:sz w:val="18"/>
              </w:rPr>
              <w:t>USD</w:t>
            </w:r>
            <w:r>
              <w:rPr>
                <w:rFonts w:ascii="Arial"/>
                <w:spacing w:val="2"/>
                <w:sz w:val="18"/>
              </w:rPr>
              <w:t> </w:t>
            </w:r>
            <w:r>
              <w:rPr>
                <w:rFonts w:ascii="Arial"/>
                <w:spacing w:val="-3"/>
                <w:sz w:val="18"/>
              </w:rPr>
              <w:t>112.50</w:t>
            </w:r>
          </w:p>
        </w:tc>
        <w:tc>
          <w:tcPr>
            <w:tcW w:w="2086" w:type="dxa"/>
            <w:gridSpan w:val="2"/>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7"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27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513" w:right="155"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63" w:right="161"/>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w:t>
            </w:r>
          </w:p>
          <w:p>
            <w:pPr>
              <w:pStyle w:val="TableParagraph"/>
              <w:spacing w:line="218" w:lineRule="exact"/>
              <w:ind w:left="163" w:right="0"/>
              <w:jc w:val="both"/>
              <w:rPr>
                <w:rFonts w:ascii="宋体" w:hAnsi="宋体" w:cs="宋体" w:eastAsia="宋体" w:hint="default"/>
                <w:sz w:val="18"/>
                <w:szCs w:val="18"/>
              </w:rPr>
            </w:pPr>
            <w:r>
              <w:rPr>
                <w:rFonts w:ascii="宋体" w:hAnsi="宋体" w:cs="宋体" w:eastAsia="宋体" w:hint="default"/>
                <w:sz w:val="18"/>
                <w:szCs w:val="18"/>
              </w:rPr>
              <w:t>损益的金额</w:t>
            </w:r>
          </w:p>
        </w:tc>
        <w:tc>
          <w:tcPr>
            <w:tcW w:w="245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华立仪表集</w:t>
            </w:r>
            <w:r>
              <w:rPr>
                <w:rFonts w:ascii="宋体" w:hAnsi="宋体" w:cs="宋体" w:eastAsia="宋体" w:hint="default"/>
                <w:spacing w:val="-86"/>
                <w:sz w:val="18"/>
                <w:szCs w:val="18"/>
              </w:rPr>
              <w:t> </w:t>
            </w:r>
            <w:r>
              <w:rPr>
                <w:rFonts w:ascii="宋体" w:hAnsi="宋体" w:cs="宋体" w:eastAsia="宋体" w:hint="default"/>
                <w:spacing w:val="24"/>
                <w:sz w:val="18"/>
                <w:szCs w:val="18"/>
              </w:rPr>
              <w:t>团股份有限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14292725-8</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114,755,051.47</w:t>
            </w: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杭州中盛仪</w:t>
            </w:r>
            <w:r>
              <w:rPr>
                <w:rFonts w:ascii="宋体" w:hAnsi="宋体" w:cs="宋体" w:eastAsia="宋体" w:hint="default"/>
                <w:spacing w:val="-86"/>
                <w:sz w:val="18"/>
                <w:szCs w:val="18"/>
              </w:rPr>
              <w:t> </w:t>
            </w:r>
            <w:r>
              <w:rPr>
                <w:rFonts w:ascii="宋体" w:hAnsi="宋体" w:cs="宋体" w:eastAsia="宋体" w:hint="default"/>
                <w:spacing w:val="15"/>
                <w:sz w:val="18"/>
                <w:szCs w:val="18"/>
              </w:rPr>
              <w:t>器仪</w:t>
            </w:r>
            <w:r>
              <w:rPr>
                <w:rFonts w:ascii="宋体" w:hAnsi="宋体" w:cs="宋体" w:eastAsia="宋体" w:hint="default"/>
                <w:spacing w:val="-58"/>
                <w:sz w:val="18"/>
                <w:szCs w:val="18"/>
              </w:rPr>
              <w:t> </w:t>
            </w:r>
            <w:r>
              <w:rPr>
                <w:rFonts w:ascii="宋体" w:hAnsi="宋体" w:cs="宋体" w:eastAsia="宋体" w:hint="default"/>
                <w:spacing w:val="20"/>
                <w:sz w:val="18"/>
                <w:szCs w:val="18"/>
              </w:rPr>
              <w:t>表有限</w:t>
            </w:r>
            <w:r>
              <w:rPr>
                <w:rFonts w:ascii="宋体" w:hAnsi="宋体" w:cs="宋体" w:eastAsia="宋体" w:hint="default"/>
                <w:spacing w:val="-59"/>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14385361-7</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46"/>
              <w:jc w:val="right"/>
              <w:rPr>
                <w:rFonts w:ascii="Arial" w:hAnsi="Arial" w:cs="Arial" w:eastAsia="Arial" w:hint="default"/>
                <w:sz w:val="18"/>
                <w:szCs w:val="18"/>
              </w:rPr>
            </w:pPr>
            <w:r>
              <w:rPr>
                <w:rFonts w:ascii="Arial"/>
                <w:spacing w:val="-1"/>
                <w:sz w:val="18"/>
              </w:rPr>
              <w:t>14,740,886.56</w:t>
            </w: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杭州华立科</w:t>
            </w:r>
            <w:r>
              <w:rPr>
                <w:rFonts w:ascii="宋体" w:hAnsi="宋体" w:cs="宋体" w:eastAsia="宋体" w:hint="default"/>
                <w:spacing w:val="-86"/>
                <w:sz w:val="18"/>
                <w:szCs w:val="18"/>
              </w:rPr>
              <w:t> </w:t>
            </w:r>
            <w:r>
              <w:rPr>
                <w:rFonts w:ascii="宋体" w:hAnsi="宋体" w:cs="宋体" w:eastAsia="宋体" w:hint="default"/>
                <w:spacing w:val="24"/>
                <w:sz w:val="18"/>
                <w:szCs w:val="18"/>
              </w:rPr>
              <w:t>技园有限公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74718516-2</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737"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2"/>
              <w:jc w:val="both"/>
              <w:rPr>
                <w:rFonts w:ascii="宋体" w:hAnsi="宋体" w:cs="宋体" w:eastAsia="宋体" w:hint="default"/>
                <w:sz w:val="18"/>
                <w:szCs w:val="18"/>
              </w:rPr>
            </w:pPr>
            <w:r>
              <w:rPr>
                <w:rFonts w:ascii="宋体" w:hAnsi="宋体" w:cs="宋体" w:eastAsia="宋体" w:hint="default"/>
                <w:spacing w:val="24"/>
                <w:sz w:val="18"/>
                <w:szCs w:val="18"/>
              </w:rPr>
              <w:t>重庆泰捷仪</w:t>
            </w:r>
            <w:r>
              <w:rPr>
                <w:rFonts w:ascii="宋体" w:hAnsi="宋体" w:cs="宋体" w:eastAsia="宋体" w:hint="default"/>
                <w:spacing w:val="-86"/>
                <w:sz w:val="18"/>
                <w:szCs w:val="18"/>
              </w:rPr>
              <w:t> </w:t>
            </w:r>
            <w:r>
              <w:rPr>
                <w:rFonts w:ascii="宋体" w:hAnsi="宋体" w:cs="宋体" w:eastAsia="宋体" w:hint="default"/>
                <w:spacing w:val="24"/>
                <w:sz w:val="18"/>
                <w:szCs w:val="18"/>
              </w:rPr>
              <w:t>器仪表有限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1"/>
              <w:jc w:val="center"/>
              <w:rPr>
                <w:rFonts w:ascii="Arial" w:hAnsi="Arial" w:cs="Arial" w:eastAsia="Arial" w:hint="default"/>
                <w:sz w:val="18"/>
                <w:szCs w:val="18"/>
              </w:rPr>
            </w:pPr>
            <w:r>
              <w:rPr>
                <w:rFonts w:ascii="Arial"/>
                <w:sz w:val="18"/>
              </w:rPr>
              <w:t>20323881-X</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01" w:right="0"/>
              <w:jc w:val="left"/>
              <w:rPr>
                <w:rFonts w:ascii="Arial" w:hAnsi="Arial" w:cs="Arial" w:eastAsia="Arial" w:hint="default"/>
                <w:sz w:val="18"/>
                <w:szCs w:val="18"/>
              </w:rPr>
            </w:pPr>
            <w:r>
              <w:rPr>
                <w:rFonts w:ascii="Arial"/>
                <w:sz w:val="18"/>
              </w:rPr>
              <w:t>1,764,474.04</w:t>
            </w: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495"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重庆华虹仪</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73394097-2</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1" w:right="0"/>
              <w:jc w:val="left"/>
              <w:rPr>
                <w:rFonts w:ascii="Arial" w:hAnsi="Arial" w:cs="Arial" w:eastAsia="Arial" w:hint="default"/>
                <w:sz w:val="18"/>
                <w:szCs w:val="18"/>
              </w:rPr>
            </w:pPr>
            <w:r>
              <w:rPr>
                <w:rFonts w:ascii="Arial"/>
                <w:sz w:val="18"/>
              </w:rPr>
              <w:t>9,492,706.94</w:t>
            </w: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both"/>
              <w:rPr>
                <w:rFonts w:ascii="宋体" w:hAnsi="宋体" w:cs="宋体" w:eastAsia="宋体" w:hint="default"/>
                <w:sz w:val="18"/>
                <w:szCs w:val="18"/>
              </w:rPr>
            </w:pPr>
            <w:r>
              <w:rPr>
                <w:rFonts w:ascii="宋体" w:hAnsi="宋体" w:cs="宋体" w:eastAsia="宋体" w:hint="default"/>
                <w:spacing w:val="24"/>
                <w:sz w:val="18"/>
                <w:szCs w:val="18"/>
              </w:rPr>
              <w:t>浙江华立利</w:t>
            </w:r>
            <w:r>
              <w:rPr>
                <w:rFonts w:ascii="宋体" w:hAnsi="宋体" w:cs="宋体" w:eastAsia="宋体" w:hint="default"/>
                <w:spacing w:val="-86"/>
                <w:sz w:val="18"/>
                <w:szCs w:val="18"/>
              </w:rPr>
              <w:t> </w:t>
            </w:r>
            <w:r>
              <w:rPr>
                <w:rFonts w:ascii="宋体" w:hAnsi="宋体" w:cs="宋体" w:eastAsia="宋体" w:hint="default"/>
                <w:spacing w:val="24"/>
                <w:sz w:val="18"/>
                <w:szCs w:val="18"/>
              </w:rPr>
              <w:t>源仪表有限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79368518-4</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01" w:right="0"/>
              <w:jc w:val="left"/>
              <w:rPr>
                <w:rFonts w:ascii="Arial" w:hAnsi="Arial" w:cs="Arial" w:eastAsia="Arial" w:hint="default"/>
                <w:sz w:val="18"/>
                <w:szCs w:val="18"/>
              </w:rPr>
            </w:pPr>
            <w:r>
              <w:rPr>
                <w:rFonts w:ascii="Arial"/>
                <w:sz w:val="18"/>
              </w:rPr>
              <w:t>1,004,176.03</w:t>
            </w: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26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left"/>
              <w:rPr>
                <w:rFonts w:ascii="宋体" w:hAnsi="宋体" w:cs="宋体" w:eastAsia="宋体" w:hint="default"/>
                <w:sz w:val="18"/>
                <w:szCs w:val="18"/>
              </w:rPr>
            </w:pPr>
            <w:r>
              <w:rPr>
                <w:rFonts w:ascii="宋体" w:hAnsi="宋体" w:cs="宋体" w:eastAsia="宋体" w:hint="default"/>
                <w:spacing w:val="24"/>
                <w:sz w:val="18"/>
                <w:szCs w:val="18"/>
              </w:rPr>
              <w:t>杭州子蜂软</w:t>
            </w:r>
            <w:r>
              <w:rPr>
                <w:rFonts w:ascii="宋体" w:hAnsi="宋体" w:cs="宋体" w:eastAsia="宋体" w:hint="default"/>
                <w:spacing w:val="-86"/>
                <w:sz w:val="18"/>
                <w:szCs w:val="18"/>
              </w:rPr>
              <w:t> </w:t>
            </w:r>
            <w:r>
              <w:rPr>
                <w:rFonts w:ascii="宋体" w:hAnsi="宋体" w:cs="宋体" w:eastAsia="宋体" w:hint="default"/>
                <w:sz w:val="18"/>
                <w:szCs w:val="18"/>
              </w:rPr>
              <w:t>件有限公司</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79966056-X</w:t>
            </w:r>
          </w:p>
        </w:tc>
        <w:tc>
          <w:tcPr>
            <w:tcW w:w="1467"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2453" w:type="dxa"/>
            <w:gridSpan w:val="2"/>
            <w:tcBorders>
              <w:top w:val="single" w:sz="6" w:space="0" w:color="000000"/>
              <w:left w:val="single" w:sz="6" w:space="0" w:color="000000"/>
              <w:bottom w:val="single" w:sz="6" w:space="0" w:color="000000"/>
              <w:right w:val="nil" w:sz="6" w:space="0" w:color="auto"/>
            </w:tcBorders>
          </w:tcPr>
          <w:p>
            <w:pPr/>
          </w:p>
        </w:tc>
      </w:tr>
      <w:tr>
        <w:trPr>
          <w:trHeight w:val="744" w:hRule="exact"/>
        </w:trPr>
        <w:tc>
          <w:tcPr>
            <w:tcW w:w="1260" w:type="dxa"/>
            <w:tcBorders>
              <w:top w:val="single" w:sz="6" w:space="0" w:color="000000"/>
              <w:left w:val="nil" w:sz="6" w:space="0" w:color="auto"/>
              <w:bottom w:val="single" w:sz="12" w:space="0" w:color="000000"/>
              <w:right w:val="single" w:sz="6" w:space="0" w:color="000000"/>
            </w:tcBorders>
          </w:tcPr>
          <w:p>
            <w:pPr>
              <w:pStyle w:val="TableParagraph"/>
              <w:spacing w:line="240" w:lineRule="exact" w:before="2"/>
              <w:ind w:left="122" w:right="72"/>
              <w:jc w:val="both"/>
              <w:rPr>
                <w:rFonts w:ascii="宋体" w:hAnsi="宋体" w:cs="宋体" w:eastAsia="宋体" w:hint="default"/>
                <w:sz w:val="18"/>
                <w:szCs w:val="18"/>
              </w:rPr>
            </w:pPr>
            <w:r>
              <w:rPr>
                <w:rFonts w:ascii="宋体" w:hAnsi="宋体" w:cs="宋体" w:eastAsia="宋体" w:hint="default"/>
                <w:spacing w:val="24"/>
                <w:sz w:val="18"/>
                <w:szCs w:val="18"/>
              </w:rPr>
              <w:t>浙江华立电</w:t>
            </w:r>
            <w:r>
              <w:rPr>
                <w:rFonts w:ascii="宋体" w:hAnsi="宋体" w:cs="宋体" w:eastAsia="宋体" w:hint="default"/>
                <w:spacing w:val="-86"/>
                <w:sz w:val="18"/>
                <w:szCs w:val="18"/>
              </w:rPr>
              <w:t> </w:t>
            </w:r>
            <w:r>
              <w:rPr>
                <w:rFonts w:ascii="宋体" w:hAnsi="宋体" w:cs="宋体" w:eastAsia="宋体" w:hint="default"/>
                <w:spacing w:val="24"/>
                <w:sz w:val="18"/>
                <w:szCs w:val="18"/>
              </w:rPr>
              <w:t>子技术有限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中外合作</w:t>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71256007-3</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01" w:right="0"/>
              <w:jc w:val="left"/>
              <w:rPr>
                <w:rFonts w:ascii="Arial" w:hAnsi="Arial" w:cs="Arial" w:eastAsia="Arial" w:hint="default"/>
                <w:sz w:val="18"/>
                <w:szCs w:val="18"/>
              </w:rPr>
            </w:pPr>
            <w:r>
              <w:rPr>
                <w:rFonts w:ascii="Arial"/>
                <w:sz w:val="18"/>
              </w:rPr>
              <w:t>6,233,582.32</w:t>
            </w:r>
          </w:p>
        </w:tc>
        <w:tc>
          <w:tcPr>
            <w:tcW w:w="1241" w:type="dxa"/>
            <w:tcBorders>
              <w:top w:val="single" w:sz="6" w:space="0" w:color="000000"/>
              <w:left w:val="single" w:sz="6" w:space="0" w:color="000000"/>
              <w:bottom w:val="single" w:sz="12" w:space="0" w:color="000000"/>
              <w:right w:val="single" w:sz="6" w:space="0" w:color="000000"/>
            </w:tcBorders>
          </w:tcPr>
          <w:p>
            <w:pPr/>
          </w:p>
        </w:tc>
        <w:tc>
          <w:tcPr>
            <w:tcW w:w="2453" w:type="dxa"/>
            <w:gridSpan w:val="2"/>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600" w:right="1428"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9"/>
          <w:sz w:val="21"/>
          <w:szCs w:val="21"/>
        </w:rPr>
        <w:t> </w:t>
      </w:r>
      <w:r>
        <w:rPr>
          <w:rFonts w:ascii="宋体" w:hAnsi="宋体" w:cs="宋体" w:eastAsia="宋体" w:hint="default"/>
          <w:b/>
          <w:bCs/>
          <w:sz w:val="21"/>
          <w:szCs w:val="21"/>
        </w:rPr>
        <w:t>非同一控制下的企业合并取得的子公司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1013" w:top="1140" w:bottom="1200" w:left="1260" w:right="0"/>
        </w:sectPr>
      </w:pPr>
    </w:p>
    <w:p>
      <w:pPr>
        <w:spacing w:line="240" w:lineRule="auto" w:before="10"/>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580"/>
        <w:gridCol w:w="1335"/>
        <w:gridCol w:w="1270"/>
        <w:gridCol w:w="1428"/>
        <w:gridCol w:w="1517"/>
        <w:gridCol w:w="819"/>
        <w:gridCol w:w="1158"/>
      </w:tblGrid>
      <w:tr>
        <w:trPr>
          <w:trHeight w:val="838" w:hRule="exact"/>
        </w:trPr>
        <w:tc>
          <w:tcPr>
            <w:tcW w:w="158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47"/>
              <w:ind w:left="365"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5"/>
              <w:ind w:left="45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2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2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1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19" w:type="dxa"/>
            <w:tcBorders>
              <w:top w:val="single" w:sz="17" w:space="0" w:color="000000"/>
              <w:left w:val="single" w:sz="6" w:space="0" w:color="000000"/>
              <w:bottom w:val="single" w:sz="6" w:space="0" w:color="000000"/>
              <w:right w:val="single" w:sz="6" w:space="0" w:color="000000"/>
            </w:tcBorders>
          </w:tcPr>
          <w:p>
            <w:pPr>
              <w:pStyle w:val="TableParagraph"/>
              <w:spacing w:line="244" w:lineRule="auto" w:before="147"/>
              <w:ind w:left="312" w:right="130" w:hanging="181"/>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15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737"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61"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60"/>
              <w:jc w:val="both"/>
              <w:rPr>
                <w:rFonts w:ascii="宋体" w:hAnsi="宋体" w:cs="宋体" w:eastAsia="宋体" w:hint="default"/>
                <w:sz w:val="18"/>
                <w:szCs w:val="18"/>
              </w:rPr>
            </w:pPr>
            <w:r>
              <w:rPr>
                <w:rFonts w:ascii="宋体" w:hAnsi="宋体" w:cs="宋体" w:eastAsia="宋体" w:hint="default"/>
                <w:spacing w:val="30"/>
                <w:sz w:val="18"/>
                <w:szCs w:val="18"/>
              </w:rPr>
              <w:t>重庆市江北</w:t>
            </w:r>
            <w:r>
              <w:rPr>
                <w:rFonts w:ascii="宋体" w:hAnsi="宋体" w:cs="宋体" w:eastAsia="宋体" w:hint="default"/>
                <w:spacing w:val="-52"/>
                <w:sz w:val="18"/>
                <w:szCs w:val="18"/>
              </w:rPr>
              <w:t> </w:t>
            </w:r>
            <w:r>
              <w:rPr>
                <w:rFonts w:ascii="宋体" w:hAnsi="宋体" w:cs="宋体" w:eastAsia="宋体" w:hint="default"/>
                <w:spacing w:val="30"/>
                <w:sz w:val="18"/>
                <w:szCs w:val="18"/>
              </w:rPr>
              <w:t>区大石坝南</w:t>
            </w:r>
            <w:r>
              <w:rPr>
                <w:rFonts w:ascii="宋体" w:hAnsi="宋体" w:cs="宋体" w:eastAsia="宋体" w:hint="default"/>
                <w:spacing w:val="-52"/>
                <w:sz w:val="18"/>
                <w:szCs w:val="18"/>
              </w:rPr>
              <w:t> </w:t>
            </w:r>
            <w:r>
              <w:rPr>
                <w:rFonts w:ascii="宋体" w:hAnsi="宋体" w:cs="宋体" w:eastAsia="宋体" w:hint="default"/>
                <w:sz w:val="18"/>
                <w:szCs w:val="18"/>
              </w:rPr>
              <w:t>桥寺</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00" w:right="0"/>
              <w:jc w:val="left"/>
              <w:rPr>
                <w:rFonts w:ascii="Arial" w:hAnsi="Arial" w:cs="Arial" w:eastAsia="Arial" w:hint="default"/>
                <w:sz w:val="18"/>
                <w:szCs w:val="18"/>
              </w:rPr>
            </w:pPr>
            <w:r>
              <w:rPr>
                <w:rFonts w:ascii="Arial"/>
                <w:sz w:val="18"/>
              </w:rPr>
              <w:t>3,000.00</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104"/>
              <w:ind w:left="100" w:right="42"/>
              <w:jc w:val="left"/>
              <w:rPr>
                <w:rFonts w:ascii="宋体" w:hAnsi="宋体" w:cs="宋体" w:eastAsia="宋体" w:hint="default"/>
                <w:sz w:val="18"/>
                <w:szCs w:val="18"/>
              </w:rPr>
            </w:pPr>
            <w:r>
              <w:rPr>
                <w:rFonts w:ascii="宋体" w:hAnsi="宋体" w:cs="宋体" w:eastAsia="宋体" w:hint="default"/>
                <w:spacing w:val="-13"/>
                <w:sz w:val="18"/>
                <w:szCs w:val="18"/>
              </w:rPr>
              <w:t>研制、生产、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销售原料药</w:t>
            </w:r>
          </w:p>
        </w:tc>
      </w:tr>
      <w:tr>
        <w:trPr>
          <w:trHeight w:val="1152"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4" w:lineRule="auto"/>
              <w:ind w:left="161" w:right="97"/>
              <w:jc w:val="both"/>
              <w:rPr>
                <w:rFonts w:ascii="宋体" w:hAnsi="宋体" w:cs="宋体" w:eastAsia="宋体" w:hint="default"/>
                <w:sz w:val="18"/>
                <w:szCs w:val="18"/>
              </w:rPr>
            </w:pPr>
            <w:r>
              <w:rPr>
                <w:rFonts w:ascii="宋体" w:hAnsi="宋体" w:cs="宋体" w:eastAsia="宋体" w:hint="default"/>
                <w:spacing w:val="7"/>
                <w:sz w:val="18"/>
                <w:szCs w:val="18"/>
              </w:rPr>
              <w:t>洪雅美联曼地亚</w:t>
            </w:r>
            <w:r>
              <w:rPr>
                <w:rFonts w:ascii="宋体" w:hAnsi="宋体" w:cs="宋体" w:eastAsia="宋体" w:hint="default"/>
                <w:sz w:val="18"/>
                <w:szCs w:val="18"/>
              </w:rPr>
              <w:t> </w:t>
            </w: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4" w:lineRule="auto"/>
              <w:ind w:left="100" w:right="60"/>
              <w:jc w:val="left"/>
              <w:rPr>
                <w:rFonts w:ascii="宋体" w:hAnsi="宋体" w:cs="宋体" w:eastAsia="宋体" w:hint="default"/>
                <w:sz w:val="18"/>
                <w:szCs w:val="18"/>
              </w:rPr>
            </w:pPr>
            <w:r>
              <w:rPr>
                <w:rFonts w:ascii="宋体" w:hAnsi="宋体" w:cs="宋体" w:eastAsia="宋体" w:hint="default"/>
                <w:spacing w:val="30"/>
                <w:sz w:val="18"/>
                <w:szCs w:val="18"/>
              </w:rPr>
              <w:t>四川省洪雅</w:t>
            </w:r>
            <w:r>
              <w:rPr>
                <w:rFonts w:ascii="宋体" w:hAnsi="宋体" w:cs="宋体" w:eastAsia="宋体" w:hint="default"/>
                <w:spacing w:val="-52"/>
                <w:sz w:val="18"/>
                <w:szCs w:val="18"/>
              </w:rPr>
              <w:t> </w:t>
            </w:r>
            <w:r>
              <w:rPr>
                <w:rFonts w:ascii="宋体" w:hAnsi="宋体" w:cs="宋体" w:eastAsia="宋体" w:hint="default"/>
                <w:sz w:val="18"/>
                <w:szCs w:val="18"/>
              </w:rPr>
              <w:t>县柳江镇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种植业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75" w:right="0"/>
              <w:jc w:val="left"/>
              <w:rPr>
                <w:rFonts w:ascii="Arial" w:hAnsi="Arial" w:cs="Arial" w:eastAsia="Arial" w:hint="default"/>
                <w:sz w:val="18"/>
                <w:szCs w:val="18"/>
              </w:rPr>
            </w:pPr>
            <w:r>
              <w:rPr>
                <w:rFonts w:ascii="Arial"/>
                <w:sz w:val="18"/>
              </w:rPr>
              <w:t>150.00</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4" w:lineRule="auto"/>
              <w:ind w:left="100" w:right="68"/>
              <w:jc w:val="both"/>
              <w:rPr>
                <w:rFonts w:ascii="宋体" w:hAnsi="宋体" w:cs="宋体" w:eastAsia="宋体" w:hint="default"/>
                <w:sz w:val="18"/>
                <w:szCs w:val="18"/>
              </w:rPr>
            </w:pPr>
            <w:r>
              <w:rPr>
                <w:rFonts w:ascii="宋体" w:hAnsi="宋体" w:cs="宋体" w:eastAsia="宋体" w:hint="default"/>
                <w:spacing w:val="48"/>
                <w:sz w:val="18"/>
                <w:szCs w:val="18"/>
              </w:rPr>
              <w:t>红豆杉种</w:t>
            </w:r>
            <w:r>
              <w:rPr>
                <w:rFonts w:ascii="宋体" w:hAnsi="宋体" w:cs="宋体" w:eastAsia="宋体" w:hint="default"/>
                <w:spacing w:val="-26"/>
                <w:sz w:val="18"/>
                <w:szCs w:val="18"/>
              </w:rPr>
              <w:t> </w:t>
            </w:r>
            <w:r>
              <w:rPr>
                <w:rFonts w:ascii="宋体" w:hAnsi="宋体" w:cs="宋体" w:eastAsia="宋体" w:hint="default"/>
                <w:spacing w:val="4"/>
                <w:sz w:val="18"/>
                <w:szCs w:val="18"/>
              </w:rPr>
              <w:t>植、成品苗</w:t>
            </w:r>
            <w:r>
              <w:rPr>
                <w:rFonts w:ascii="宋体" w:hAnsi="宋体" w:cs="宋体" w:eastAsia="宋体" w:hint="default"/>
                <w:spacing w:val="4"/>
                <w:sz w:val="18"/>
                <w:szCs w:val="18"/>
              </w:rPr>
              <w:t> </w:t>
            </w:r>
            <w:r>
              <w:rPr>
                <w:rFonts w:ascii="宋体" w:hAnsi="宋体" w:cs="宋体" w:eastAsia="宋体" w:hint="default"/>
                <w:sz w:val="18"/>
                <w:szCs w:val="18"/>
              </w:rPr>
              <w:t>木加工销售</w:t>
            </w:r>
          </w:p>
        </w:tc>
      </w:tr>
      <w:tr>
        <w:trPr>
          <w:trHeight w:val="73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61"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388" w:right="122"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0"/>
              <w:jc w:val="both"/>
              <w:rPr>
                <w:rFonts w:ascii="宋体" w:hAnsi="宋体" w:cs="宋体" w:eastAsia="宋体" w:hint="default"/>
                <w:sz w:val="18"/>
                <w:szCs w:val="18"/>
              </w:rPr>
            </w:pPr>
            <w:r>
              <w:rPr>
                <w:rFonts w:ascii="宋体" w:hAnsi="宋体" w:cs="宋体" w:eastAsia="宋体" w:hint="default"/>
                <w:spacing w:val="30"/>
                <w:sz w:val="18"/>
                <w:szCs w:val="18"/>
              </w:rPr>
              <w:t>四川省洪雅</w:t>
            </w:r>
            <w:r>
              <w:rPr>
                <w:rFonts w:ascii="宋体" w:hAnsi="宋体" w:cs="宋体" w:eastAsia="宋体" w:hint="default"/>
                <w:spacing w:val="-52"/>
                <w:sz w:val="18"/>
                <w:szCs w:val="18"/>
              </w:rPr>
              <w:t> </w:t>
            </w:r>
            <w:r>
              <w:rPr>
                <w:rFonts w:ascii="宋体" w:hAnsi="宋体" w:cs="宋体" w:eastAsia="宋体" w:hint="default"/>
                <w:spacing w:val="30"/>
                <w:sz w:val="18"/>
                <w:szCs w:val="18"/>
              </w:rPr>
              <w:t>县柳江镇场</w:t>
            </w:r>
            <w:r>
              <w:rPr>
                <w:rFonts w:ascii="宋体" w:hAnsi="宋体" w:cs="宋体" w:eastAsia="宋体" w:hint="default"/>
                <w:spacing w:val="-52"/>
                <w:sz w:val="18"/>
                <w:szCs w:val="18"/>
              </w:rPr>
              <w:t> </w:t>
            </w:r>
            <w:r>
              <w:rPr>
                <w:rFonts w:ascii="宋体" w:hAnsi="宋体" w:cs="宋体" w:eastAsia="宋体" w:hint="default"/>
                <w:sz w:val="18"/>
                <w:szCs w:val="18"/>
              </w:rPr>
              <w:t>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50.00</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123"/>
              <w:jc w:val="both"/>
              <w:rPr>
                <w:rFonts w:ascii="宋体" w:hAnsi="宋体" w:cs="宋体" w:eastAsia="宋体" w:hint="default"/>
                <w:sz w:val="18"/>
                <w:szCs w:val="18"/>
              </w:rPr>
            </w:pPr>
            <w:r>
              <w:rPr>
                <w:rFonts w:ascii="宋体" w:hAnsi="宋体" w:cs="宋体" w:eastAsia="宋体" w:hint="default"/>
                <w:spacing w:val="4"/>
                <w:sz w:val="18"/>
                <w:szCs w:val="18"/>
              </w:rPr>
              <w:t>人工种植、 红豆杉加工 </w:t>
            </w:r>
            <w:r>
              <w:rPr>
                <w:rFonts w:ascii="宋体" w:hAnsi="宋体" w:cs="宋体" w:eastAsia="宋体" w:hint="default"/>
                <w:sz w:val="18"/>
                <w:szCs w:val="18"/>
              </w:rPr>
              <w:t>及销售</w:t>
            </w:r>
          </w:p>
        </w:tc>
      </w:tr>
      <w:tr>
        <w:trPr>
          <w:trHeight w:val="925"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06" w:lineRule="auto" w:before="25"/>
              <w:ind w:left="161"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40" w:lineRule="auto"/>
              <w:ind w:left="161"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4" w:lineRule="auto"/>
              <w:ind w:left="388" w:right="122"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4" w:lineRule="auto"/>
              <w:ind w:left="100" w:right="60"/>
              <w:jc w:val="left"/>
              <w:rPr>
                <w:rFonts w:ascii="宋体" w:hAnsi="宋体" w:cs="宋体" w:eastAsia="宋体" w:hint="default"/>
                <w:sz w:val="18"/>
                <w:szCs w:val="18"/>
              </w:rPr>
            </w:pPr>
            <w:r>
              <w:rPr>
                <w:rFonts w:ascii="宋体" w:hAnsi="宋体" w:cs="宋体" w:eastAsia="宋体" w:hint="default"/>
                <w:spacing w:val="30"/>
                <w:sz w:val="18"/>
                <w:szCs w:val="18"/>
              </w:rPr>
              <w:t>美国加利福</w:t>
            </w:r>
            <w:r>
              <w:rPr>
                <w:rFonts w:ascii="宋体" w:hAnsi="宋体" w:cs="宋体" w:eastAsia="宋体" w:hint="default"/>
                <w:spacing w:val="-52"/>
                <w:sz w:val="18"/>
                <w:szCs w:val="18"/>
              </w:rPr>
              <w:t> </w:t>
            </w:r>
            <w:r>
              <w:rPr>
                <w:rFonts w:ascii="宋体" w:hAnsi="宋体" w:cs="宋体" w:eastAsia="宋体" w:hint="default"/>
                <w:sz w:val="18"/>
                <w:szCs w:val="18"/>
              </w:rPr>
              <w:t>尼亚州</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35" w:right="0"/>
              <w:jc w:val="left"/>
              <w:rPr>
                <w:rFonts w:ascii="Arial" w:hAnsi="Arial" w:cs="Arial" w:eastAsia="Arial" w:hint="default"/>
                <w:sz w:val="18"/>
                <w:szCs w:val="18"/>
              </w:rPr>
            </w:pPr>
            <w:r>
              <w:rPr>
                <w:rFonts w:ascii="Arial"/>
                <w:sz w:val="18"/>
              </w:rPr>
              <w:t>USD29.87</w:t>
            </w:r>
          </w:p>
        </w:tc>
        <w:tc>
          <w:tcPr>
            <w:tcW w:w="819"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药品贸易</w:t>
            </w:r>
          </w:p>
        </w:tc>
      </w:tr>
      <w:tr>
        <w:trPr>
          <w:trHeight w:val="706"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365"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45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pacing w:val="-5"/>
                <w:sz w:val="18"/>
                <w:szCs w:val="18"/>
              </w:rPr>
              <w:t>持股比例（</w:t>
            </w:r>
            <w:r>
              <w:rPr>
                <w:rFonts w:ascii="Arial" w:hAnsi="Arial" w:cs="Arial" w:eastAsia="Arial" w:hint="default"/>
                <w:spacing w:val="-5"/>
                <w:sz w:val="18"/>
                <w:szCs w:val="18"/>
              </w:rPr>
              <w:t>%</w:t>
            </w:r>
            <w:r>
              <w:rPr>
                <w:rFonts w:ascii="宋体" w:hAnsi="宋体" w:cs="宋体" w:eastAsia="宋体" w:hint="default"/>
                <w:spacing w:val="-5"/>
                <w:sz w:val="18"/>
                <w:szCs w:val="18"/>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616" w:right="166" w:hanging="452"/>
              <w:jc w:val="left"/>
              <w:rPr>
                <w:rFonts w:ascii="宋体" w:hAnsi="宋体" w:cs="宋体" w:eastAsia="宋体" w:hint="default"/>
                <w:sz w:val="18"/>
                <w:szCs w:val="18"/>
              </w:rPr>
            </w:pPr>
            <w:r>
              <w:rPr>
                <w:rFonts w:ascii="宋体" w:hAnsi="宋体" w:cs="宋体" w:eastAsia="宋体" w:hint="default"/>
                <w:sz w:val="18"/>
                <w:szCs w:val="18"/>
              </w:rPr>
              <w:t>年末实际出资 额</w:t>
            </w:r>
          </w:p>
        </w:tc>
        <w:tc>
          <w:tcPr>
            <w:tcW w:w="23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439" w:right="170" w:hanging="269"/>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87"/>
              <w:ind w:left="379" w:right="409"/>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61"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z w:val="18"/>
              </w:rPr>
              <w:t>70.00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70.00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2,100.00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3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61" w:right="97"/>
              <w:jc w:val="both"/>
              <w:rPr>
                <w:rFonts w:ascii="宋体" w:hAnsi="宋体" w:cs="宋体" w:eastAsia="宋体" w:hint="default"/>
                <w:sz w:val="18"/>
                <w:szCs w:val="18"/>
              </w:rPr>
            </w:pPr>
            <w:r>
              <w:rPr>
                <w:rFonts w:ascii="宋体" w:hAnsi="宋体" w:cs="宋体" w:eastAsia="宋体" w:hint="default"/>
                <w:spacing w:val="7"/>
                <w:sz w:val="18"/>
                <w:szCs w:val="18"/>
              </w:rPr>
              <w:t>洪雅美联曼地亚</w:t>
            </w:r>
            <w:r>
              <w:rPr>
                <w:rFonts w:ascii="宋体" w:hAnsi="宋体" w:cs="宋体" w:eastAsia="宋体" w:hint="default"/>
                <w:sz w:val="18"/>
                <w:szCs w:val="18"/>
              </w:rPr>
              <w:t> </w:t>
            </w: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
              <w:jc w:val="center"/>
              <w:rPr>
                <w:rFonts w:ascii="Arial" w:hAnsi="Arial" w:cs="Arial" w:eastAsia="Arial" w:hint="default"/>
                <w:sz w:val="18"/>
                <w:szCs w:val="18"/>
              </w:rPr>
            </w:pPr>
            <w:r>
              <w:rPr>
                <w:rFonts w:ascii="Arial"/>
                <w:sz w:val="18"/>
              </w:rPr>
              <w:t>80.00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 w:right="0"/>
              <w:jc w:val="center"/>
              <w:rPr>
                <w:rFonts w:ascii="Arial" w:hAnsi="Arial" w:cs="Arial" w:eastAsia="Arial" w:hint="default"/>
                <w:sz w:val="18"/>
                <w:szCs w:val="18"/>
              </w:rPr>
            </w:pPr>
            <w:r>
              <w:rPr>
                <w:rFonts w:ascii="Arial"/>
                <w:sz w:val="18"/>
              </w:rPr>
              <w:t>80.00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120.00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61"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80.00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 w:right="0"/>
              <w:jc w:val="center"/>
              <w:rPr>
                <w:rFonts w:ascii="Arial" w:hAnsi="Arial" w:cs="Arial" w:eastAsia="Arial" w:hint="default"/>
                <w:sz w:val="18"/>
                <w:szCs w:val="18"/>
              </w:rPr>
            </w:pPr>
            <w:r>
              <w:rPr>
                <w:rFonts w:ascii="Arial"/>
                <w:sz w:val="18"/>
              </w:rPr>
              <w:t>80.00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45.00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3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22"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06" w:lineRule="auto" w:before="23"/>
              <w:ind w:left="161"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36" w:lineRule="exact" w:before="11"/>
              <w:ind w:left="161"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2"/>
              <w:jc w:val="center"/>
              <w:rPr>
                <w:rFonts w:ascii="Arial" w:hAnsi="Arial" w:cs="Arial" w:eastAsia="Arial" w:hint="default"/>
                <w:sz w:val="18"/>
                <w:szCs w:val="18"/>
              </w:rPr>
            </w:pPr>
            <w:r>
              <w:rPr>
                <w:rFonts w:ascii="Arial"/>
                <w:sz w:val="18"/>
              </w:rPr>
              <w:t>70.00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3" w:right="0"/>
              <w:jc w:val="center"/>
              <w:rPr>
                <w:rFonts w:ascii="Arial" w:hAnsi="Arial" w:cs="Arial" w:eastAsia="Arial" w:hint="default"/>
                <w:sz w:val="18"/>
                <w:szCs w:val="18"/>
              </w:rPr>
            </w:pPr>
            <w:r>
              <w:rPr>
                <w:rFonts w:ascii="Arial"/>
                <w:sz w:val="18"/>
              </w:rPr>
              <w:t>70.00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1"/>
              <w:jc w:val="center"/>
              <w:rPr>
                <w:rFonts w:ascii="Arial" w:hAnsi="Arial" w:cs="Arial" w:eastAsia="Arial" w:hint="default"/>
                <w:sz w:val="18"/>
                <w:szCs w:val="18"/>
              </w:rPr>
            </w:pPr>
            <w:r>
              <w:rPr>
                <w:rFonts w:ascii="Arial"/>
                <w:sz w:val="18"/>
              </w:rPr>
              <w:t>USD29.87</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7"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365"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45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537" w:right="175"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20" w:right="120"/>
              <w:jc w:val="both"/>
              <w:rPr>
                <w:rFonts w:ascii="宋体" w:hAnsi="宋体" w:cs="宋体" w:eastAsia="宋体" w:hint="default"/>
                <w:sz w:val="18"/>
                <w:szCs w:val="18"/>
              </w:rPr>
            </w:pPr>
            <w:r>
              <w:rPr>
                <w:rFonts w:ascii="宋体" w:hAnsi="宋体" w:cs="宋体" w:eastAsia="宋体" w:hint="default"/>
                <w:sz w:val="18"/>
                <w:szCs w:val="18"/>
              </w:rPr>
              <w:t>少数股东权益中 用于冲减少数股 东损益的金额</w:t>
            </w:r>
          </w:p>
        </w:tc>
        <w:tc>
          <w:tcPr>
            <w:tcW w:w="197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61"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62191024-2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-14,458,845.67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-10,967,469.92</w:t>
            </w:r>
          </w:p>
        </w:tc>
        <w:tc>
          <w:tcPr>
            <w:tcW w:w="1977" w:type="dxa"/>
            <w:gridSpan w:val="2"/>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61" w:right="97"/>
              <w:jc w:val="both"/>
              <w:rPr>
                <w:rFonts w:ascii="宋体" w:hAnsi="宋体" w:cs="宋体" w:eastAsia="宋体" w:hint="default"/>
                <w:sz w:val="18"/>
                <w:szCs w:val="18"/>
              </w:rPr>
            </w:pPr>
            <w:r>
              <w:rPr>
                <w:rFonts w:ascii="宋体" w:hAnsi="宋体" w:cs="宋体" w:eastAsia="宋体" w:hint="default"/>
                <w:spacing w:val="7"/>
                <w:sz w:val="18"/>
                <w:szCs w:val="18"/>
              </w:rPr>
              <w:t>洪雅美联曼地亚</w:t>
            </w:r>
            <w:r>
              <w:rPr>
                <w:rFonts w:ascii="宋体" w:hAnsi="宋体" w:cs="宋体" w:eastAsia="宋体" w:hint="default"/>
                <w:sz w:val="18"/>
                <w:szCs w:val="18"/>
              </w:rPr>
              <w:t> </w:t>
            </w: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4" w:right="0"/>
              <w:jc w:val="center"/>
              <w:rPr>
                <w:rFonts w:ascii="Arial" w:hAnsi="Arial" w:cs="Arial" w:eastAsia="Arial" w:hint="default"/>
                <w:sz w:val="18"/>
                <w:szCs w:val="18"/>
              </w:rPr>
            </w:pPr>
            <w:r>
              <w:rPr>
                <w:rFonts w:ascii="Arial"/>
                <w:sz w:val="18"/>
              </w:rPr>
              <w:t>73834614-7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15" w:right="0"/>
              <w:jc w:val="center"/>
              <w:rPr>
                <w:rFonts w:ascii="Arial" w:hAnsi="Arial" w:cs="Arial" w:eastAsia="Arial" w:hint="default"/>
                <w:sz w:val="18"/>
                <w:szCs w:val="18"/>
              </w:rPr>
            </w:pPr>
            <w:r>
              <w:rPr>
                <w:rFonts w:ascii="Arial"/>
                <w:sz w:val="18"/>
              </w:rPr>
              <w:t>-2,677,011.72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-2,323,489.91</w:t>
            </w:r>
          </w:p>
        </w:tc>
        <w:tc>
          <w:tcPr>
            <w:tcW w:w="1977"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5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61"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74466509-9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1" w:right="0"/>
              <w:jc w:val="center"/>
              <w:rPr>
                <w:rFonts w:ascii="Arial" w:hAnsi="Arial" w:cs="Arial" w:eastAsia="Arial" w:hint="default"/>
                <w:sz w:val="18"/>
                <w:szCs w:val="18"/>
              </w:rPr>
            </w:pPr>
            <w:r>
              <w:rPr>
                <w:rFonts w:ascii="Arial"/>
                <w:sz w:val="18"/>
              </w:rPr>
              <w:t>-1,951,052.31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-1,326,906.97</w:t>
            </w:r>
          </w:p>
        </w:tc>
        <w:tc>
          <w:tcPr>
            <w:tcW w:w="1977" w:type="dxa"/>
            <w:gridSpan w:val="2"/>
            <w:tcBorders>
              <w:top w:val="single" w:sz="6" w:space="0" w:color="000000"/>
              <w:left w:val="single" w:sz="6" w:space="0" w:color="000000"/>
              <w:bottom w:val="single" w:sz="6" w:space="0" w:color="000000"/>
              <w:right w:val="nil" w:sz="6" w:space="0" w:color="auto"/>
            </w:tcBorders>
          </w:tcPr>
          <w:p>
            <w:pPr/>
          </w:p>
        </w:tc>
      </w:tr>
      <w:tr>
        <w:trPr>
          <w:trHeight w:val="984" w:hRule="exact"/>
        </w:trPr>
        <w:tc>
          <w:tcPr>
            <w:tcW w:w="1580" w:type="dxa"/>
            <w:tcBorders>
              <w:top w:val="single" w:sz="6" w:space="0" w:color="000000"/>
              <w:left w:val="nil" w:sz="6" w:space="0" w:color="auto"/>
              <w:bottom w:val="single" w:sz="12" w:space="0" w:color="000000"/>
              <w:right w:val="single" w:sz="6" w:space="0" w:color="000000"/>
            </w:tcBorders>
          </w:tcPr>
          <w:p>
            <w:pPr>
              <w:pStyle w:val="TableParagraph"/>
              <w:spacing w:line="240" w:lineRule="exact" w:before="2"/>
              <w:ind w:left="161"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40" w:lineRule="exact"/>
              <w:ind w:left="161"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single" w:sz="6" w:space="0" w:color="000000"/>
            </w:tcBorders>
          </w:tcPr>
          <w:p>
            <w:pPr/>
          </w:p>
        </w:tc>
        <w:tc>
          <w:tcPr>
            <w:tcW w:w="1517" w:type="dxa"/>
            <w:tcBorders>
              <w:top w:val="single" w:sz="6" w:space="0" w:color="000000"/>
              <w:left w:val="single" w:sz="6" w:space="0" w:color="000000"/>
              <w:bottom w:val="single" w:sz="12" w:space="0" w:color="000000"/>
              <w:right w:val="single" w:sz="6" w:space="0" w:color="000000"/>
            </w:tcBorders>
          </w:tcPr>
          <w:p>
            <w:pPr/>
          </w:p>
        </w:tc>
        <w:tc>
          <w:tcPr>
            <w:tcW w:w="1977" w:type="dxa"/>
            <w:gridSpan w:val="2"/>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8"/>
          <w:szCs w:val="8"/>
        </w:rPr>
      </w:pPr>
    </w:p>
    <w:p>
      <w:pPr>
        <w:spacing w:before="36"/>
        <w:ind w:left="580" w:right="1326"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16"/>
          <w:sz w:val="21"/>
          <w:szCs w:val="21"/>
        </w:rPr>
        <w:t> </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338" w:lineRule="auto" w:before="180"/>
        <w:ind w:left="160" w:right="1326" w:firstLine="420"/>
        <w:jc w:val="left"/>
      </w:pPr>
      <w:r>
        <w:rPr/>
        <w:t>子公司美联制药拥有华立美联</w:t>
      </w:r>
      <w:r>
        <w:rPr>
          <w:spacing w:val="-24"/>
        </w:rPr>
        <w:t> </w:t>
      </w:r>
      <w:r>
        <w:rPr>
          <w:rFonts w:ascii="Arial" w:hAnsi="Arial" w:cs="Arial" w:eastAsia="Arial" w:hint="default"/>
          <w:spacing w:val="-3"/>
        </w:rPr>
        <w:t>100.00%</w:t>
      </w:r>
      <w:r>
        <w:rPr>
          <w:spacing w:val="-3"/>
        </w:rPr>
        <w:t>表决权但未纳入合并财务报表范围，其原因是公司对其</w:t>
      </w:r>
      <w:r>
        <w:rPr>
          <w:w w:val="100"/>
        </w:rPr>
        <w:t> </w:t>
      </w:r>
      <w:r>
        <w:rPr/>
        <w:t>不具有实质控制权。公司董事会已审议通过注销华立美联，但目前尚未完善注销手续。</w:t>
      </w:r>
    </w:p>
    <w:p>
      <w:pPr>
        <w:pStyle w:val="Heading4"/>
        <w:spacing w:line="240" w:lineRule="auto" w:before="109"/>
        <w:ind w:left="580" w:right="1326"/>
        <w:jc w:val="left"/>
        <w:rPr>
          <w:b w:val="0"/>
          <w:bCs w:val="0"/>
        </w:rPr>
      </w:pPr>
      <w:r>
        <w:rPr/>
        <w:t>（二）</w:t>
      </w:r>
      <w:r>
        <w:rPr>
          <w:spacing w:val="-84"/>
        </w:rPr>
        <w:t> </w:t>
      </w:r>
      <w:r>
        <w:rPr/>
        <w:t>合并范围发生变更的说明</w:t>
      </w:r>
      <w:r>
        <w:rPr>
          <w:b w:val="0"/>
          <w:bCs w:val="0"/>
        </w:rPr>
      </w:r>
    </w:p>
    <w:p>
      <w:pPr>
        <w:spacing w:line="240" w:lineRule="auto" w:before="12"/>
        <w:rPr>
          <w:rFonts w:ascii="宋体" w:hAnsi="宋体" w:cs="宋体" w:eastAsia="宋体" w:hint="default"/>
          <w:b/>
          <w:bCs/>
          <w:sz w:val="14"/>
          <w:szCs w:val="14"/>
        </w:rPr>
      </w:pPr>
    </w:p>
    <w:p>
      <w:pPr>
        <w:pStyle w:val="BodyText"/>
        <w:spacing w:line="355" w:lineRule="auto"/>
        <w:ind w:left="580" w:right="1326"/>
        <w:jc w:val="left"/>
      </w:pPr>
      <w:r>
        <w:rPr/>
        <w:t>本年新纳入合并范围的公司为浙江华意电子有限公司、浙江华立能源技术有限公司。</w:t>
      </w:r>
      <w:r>
        <w:rPr>
          <w:w w:val="100"/>
        </w:rPr>
        <w:t> </w:t>
      </w:r>
      <w:r>
        <w:rPr>
          <w:spacing w:val="-2"/>
        </w:rPr>
        <w:t>年末不再纳入合并范围的公司为重庆华立武陵山制药有限公司、湘西华立制药有限公司、云南</w:t>
      </w:r>
    </w:p>
    <w:p>
      <w:pPr>
        <w:pStyle w:val="BodyText"/>
        <w:spacing w:line="240" w:lineRule="auto" w:before="34"/>
        <w:ind w:left="160" w:right="1326"/>
        <w:jc w:val="left"/>
      </w:pPr>
      <w:r>
        <w:rPr/>
        <w:t>工业大麻股份有限公司、云南汉普健康产品有限公司、泉州云麻新资源高分子材料研究中心有限公</w:t>
      </w:r>
    </w:p>
    <w:p>
      <w:pPr>
        <w:spacing w:after="0" w:line="240" w:lineRule="auto"/>
        <w:jc w:val="left"/>
        <w:sectPr>
          <w:pgSz w:w="11910" w:h="16840"/>
          <w:pgMar w:header="884" w:footer="1013" w:top="1080" w:bottom="1200" w:left="1280" w:right="0"/>
        </w:sectPr>
      </w:pPr>
    </w:p>
    <w:p>
      <w:pPr>
        <w:pStyle w:val="BodyText"/>
        <w:spacing w:line="348" w:lineRule="auto" w:before="30"/>
        <w:ind w:left="200" w:right="1433"/>
        <w:jc w:val="both"/>
      </w:pPr>
      <w:r>
        <w:rPr/>
        <w:pict>
          <v:group style="position:absolute;margin-left:70.584pt;margin-top:2.843696pt;width:436.3pt;height:.1pt;mso-position-horizontal-relative:page;mso-position-vertical-relative:paragraph;z-index:-636064" coordorigin="1412,57" coordsize="8726,2">
            <v:shape style="position:absolute;left:1412;top:57;width:8726;height:2" coordorigin="1412,57" coordsize="8726,0" path="m1412,57l10137,57e" filled="false" stroked="true" strokeweight=".72pt" strokecolor="#000000">
              <v:path arrowok="t"/>
            </v:shape>
            <w10:wrap type="none"/>
          </v:group>
        </w:pict>
      </w:r>
      <w:r>
        <w:rPr>
          <w:spacing w:val="-2"/>
        </w:rPr>
        <w:t>司、北京华立科泰医药有限责任公司、浙江华立南湖制药有限公司、重庆市华阳自然资源开发有限</w:t>
      </w:r>
      <w:r>
        <w:rPr>
          <w:spacing w:val="-34"/>
        </w:rPr>
        <w:t> </w:t>
      </w:r>
      <w:r>
        <w:rPr>
          <w:spacing w:val="-34"/>
        </w:rPr>
      </w:r>
      <w:r>
        <w:rPr/>
        <w:t>责任公司、北京比力必利文化传播有限公司、</w:t>
      </w:r>
      <w:r>
        <w:rPr>
          <w:rFonts w:ascii="Arial" w:hAnsi="Arial" w:cs="Arial" w:eastAsia="Arial" w:hint="default"/>
        </w:rPr>
        <w:t>HOLLEYPHARMA </w:t>
      </w:r>
      <w:r>
        <w:rPr>
          <w:rFonts w:ascii="Arial" w:hAnsi="Arial" w:cs="Arial" w:eastAsia="Arial" w:hint="default"/>
          <w:spacing w:val="-4"/>
        </w:rPr>
        <w:t>TANZANIA </w:t>
      </w:r>
      <w:r>
        <w:rPr>
          <w:rFonts w:ascii="Arial" w:hAnsi="Arial" w:cs="Arial" w:eastAsia="Arial" w:hint="default"/>
          <w:spacing w:val="-6"/>
        </w:rPr>
        <w:t>LTD</w:t>
      </w:r>
      <w:r>
        <w:rPr>
          <w:rFonts w:ascii="Arial" w:hAnsi="Arial" w:cs="Arial" w:eastAsia="Arial" w:hint="default"/>
          <w:spacing w:val="2"/>
        </w:rPr>
        <w:t> </w:t>
      </w:r>
      <w:r>
        <w:rPr/>
        <w:t>华立药业坦桑尼</w:t>
      </w:r>
      <w:r>
        <w:rPr>
          <w:w w:val="100"/>
        </w:rPr>
        <w:t> </w:t>
      </w:r>
      <w:r>
        <w:rPr/>
        <w:t>亚有限公司、上海珐迩玛实业有限公司、广州市华立健药业有限公司。</w:t>
      </w:r>
    </w:p>
    <w:p>
      <w:pPr>
        <w:pStyle w:val="Heading4"/>
        <w:spacing w:line="240" w:lineRule="auto" w:before="101"/>
        <w:ind w:left="620" w:right="1329"/>
        <w:jc w:val="left"/>
        <w:rPr>
          <w:b w:val="0"/>
          <w:bCs w:val="0"/>
        </w:rPr>
      </w:pPr>
      <w:r>
        <w:rPr/>
        <w:t>（三）</w:t>
      </w:r>
      <w:r>
        <w:rPr>
          <w:spacing w:val="-44"/>
        </w:rPr>
        <w:t> </w:t>
      </w:r>
      <w:r>
        <w:rPr>
          <w:spacing w:val="-2"/>
        </w:rPr>
        <w:t>本年新纳入合并范围的主体和本年不再纳入合并范围的主体</w:t>
      </w:r>
      <w:r>
        <w:rPr>
          <w:b w:val="0"/>
          <w:bCs w:val="0"/>
          <w:spacing w:val="-2"/>
        </w:rPr>
      </w:r>
    </w:p>
    <w:p>
      <w:pPr>
        <w:spacing w:line="240" w:lineRule="auto" w:before="5"/>
        <w:rPr>
          <w:rFonts w:ascii="宋体" w:hAnsi="宋体" w:cs="宋体" w:eastAsia="宋体" w:hint="default"/>
          <w:b/>
          <w:bCs/>
          <w:sz w:val="19"/>
          <w:szCs w:val="19"/>
        </w:rPr>
      </w:pPr>
    </w:p>
    <w:p>
      <w:pPr>
        <w:spacing w:before="0"/>
        <w:ind w:left="620" w:right="1329"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0"/>
          <w:sz w:val="21"/>
          <w:szCs w:val="21"/>
        </w:rPr>
        <w:t> </w:t>
      </w:r>
      <w:r>
        <w:rPr>
          <w:rFonts w:ascii="宋体" w:hAnsi="宋体" w:cs="宋体" w:eastAsia="宋体" w:hint="default"/>
          <w:b/>
          <w:bCs/>
          <w:sz w:val="21"/>
          <w:szCs w:val="21"/>
        </w:rPr>
        <w:t>本年新纳入合并范围的子公司</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255" w:type="dxa"/>
        <w:tblLayout w:type="fixed"/>
        <w:tblCellMar>
          <w:top w:w="0" w:type="dxa"/>
          <w:left w:w="0" w:type="dxa"/>
          <w:bottom w:w="0" w:type="dxa"/>
          <w:right w:w="0" w:type="dxa"/>
        </w:tblCellMar>
        <w:tblLook w:val="01E0"/>
      </w:tblPr>
      <w:tblGrid>
        <w:gridCol w:w="3389"/>
        <w:gridCol w:w="1337"/>
        <w:gridCol w:w="2074"/>
        <w:gridCol w:w="2072"/>
      </w:tblGrid>
      <w:tr>
        <w:trPr>
          <w:trHeight w:val="362" w:hRule="exact"/>
        </w:trPr>
        <w:tc>
          <w:tcPr>
            <w:tcW w:w="33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2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78"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20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78"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55" w:hRule="exact"/>
        </w:trPr>
        <w:tc>
          <w:tcPr>
            <w:tcW w:w="3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浙江华意电子有限公司</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49,871,077.00</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-128,923.00</w:t>
            </w:r>
          </w:p>
        </w:tc>
      </w:tr>
      <w:tr>
        <w:trPr>
          <w:trHeight w:val="365" w:hRule="exact"/>
        </w:trPr>
        <w:tc>
          <w:tcPr>
            <w:tcW w:w="33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浙江华立能源技术有限公司</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19,979,257.79</w:t>
            </w:r>
          </w:p>
        </w:tc>
        <w:tc>
          <w:tcPr>
            <w:tcW w:w="20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-20,742.21</w:t>
            </w:r>
          </w:p>
        </w:tc>
      </w:tr>
    </w:tbl>
    <w:p>
      <w:pPr>
        <w:spacing w:line="240" w:lineRule="auto" w:before="5"/>
        <w:rPr>
          <w:rFonts w:ascii="宋体" w:hAnsi="宋体" w:cs="宋体" w:eastAsia="宋体" w:hint="default"/>
          <w:b/>
          <w:bCs/>
          <w:sz w:val="8"/>
          <w:szCs w:val="8"/>
        </w:rPr>
      </w:pPr>
    </w:p>
    <w:p>
      <w:pPr>
        <w:spacing w:before="36"/>
        <w:ind w:left="620" w:right="1329"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1"/>
          <w:sz w:val="21"/>
          <w:szCs w:val="21"/>
        </w:rPr>
        <w:t> </w:t>
      </w:r>
      <w:r>
        <w:rPr>
          <w:rFonts w:ascii="宋体" w:hAnsi="宋体" w:cs="宋体" w:eastAsia="宋体" w:hint="default"/>
          <w:b/>
          <w:bCs/>
          <w:sz w:val="21"/>
          <w:szCs w:val="21"/>
        </w:rPr>
        <w:t>本年不再纳入合并范围的子公司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57" w:type="dxa"/>
        <w:tblLayout w:type="fixed"/>
        <w:tblCellMar>
          <w:top w:w="0" w:type="dxa"/>
          <w:left w:w="0" w:type="dxa"/>
          <w:bottom w:w="0" w:type="dxa"/>
          <w:right w:w="0" w:type="dxa"/>
        </w:tblCellMar>
        <w:tblLook w:val="01E0"/>
      </w:tblPr>
      <w:tblGrid>
        <w:gridCol w:w="3320"/>
        <w:gridCol w:w="1478"/>
        <w:gridCol w:w="2134"/>
        <w:gridCol w:w="2139"/>
      </w:tblGrid>
      <w:tr>
        <w:trPr>
          <w:trHeight w:val="363" w:hRule="exact"/>
        </w:trPr>
        <w:tc>
          <w:tcPr>
            <w:tcW w:w="33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2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521"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13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249"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-847,353.04</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38,316,235.36</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湘西华立制药有限公司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218,321.41</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-13,387,182.55</w:t>
            </w:r>
          </w:p>
        </w:tc>
      </w:tr>
      <w:tr>
        <w:trPr>
          <w:trHeight w:val="494"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z w:val="18"/>
                <w:szCs w:val="18"/>
              </w:rPr>
              <w:t>云南工业大麻股份有限公司（简称：云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南大麻）</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-872,422.46</w:t>
            </w:r>
            <w:r>
              <w:rPr>
                <w:rFonts w:ascii="Arial"/>
                <w:sz w:val="18"/>
              </w:rPr>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7"/>
              <w:jc w:val="right"/>
              <w:rPr>
                <w:rFonts w:ascii="Arial" w:hAnsi="Arial" w:cs="Arial" w:eastAsia="Arial" w:hint="default"/>
                <w:sz w:val="18"/>
                <w:szCs w:val="18"/>
              </w:rPr>
            </w:pPr>
            <w:r>
              <w:rPr>
                <w:rFonts w:ascii="Arial"/>
                <w:spacing w:val="-1"/>
                <w:sz w:val="18"/>
              </w:rPr>
              <w:t>6,806,493.55</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云南汉普健康产品有限公司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-5,069.31</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1,553,649.33</w:t>
            </w:r>
          </w:p>
        </w:tc>
      </w:tr>
      <w:tr>
        <w:trPr>
          <w:trHeight w:val="497"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0"/>
              <w:jc w:val="left"/>
              <w:rPr>
                <w:rFonts w:ascii="宋体" w:hAnsi="宋体" w:cs="宋体" w:eastAsia="宋体" w:hint="default"/>
                <w:sz w:val="18"/>
                <w:szCs w:val="18"/>
              </w:rPr>
            </w:pPr>
            <w:r>
              <w:rPr>
                <w:rFonts w:ascii="宋体" w:hAnsi="宋体" w:cs="宋体" w:eastAsia="宋体" w:hint="default"/>
                <w:sz w:val="18"/>
                <w:szCs w:val="18"/>
              </w:rPr>
              <w:t>泉州云麻新资源高分子材料研究中心有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Arial" w:hAnsi="Arial" w:cs="Arial" w:eastAsia="Arial" w:hint="default"/>
                <w:sz w:val="18"/>
                <w:szCs w:val="18"/>
              </w:rPr>
            </w:pPr>
            <w:r>
              <w:rPr>
                <w:rFonts w:ascii="Arial"/>
                <w:spacing w:val="-1"/>
                <w:sz w:val="18"/>
              </w:rPr>
              <w:t>-568.74</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7"/>
              <w:jc w:val="right"/>
              <w:rPr>
                <w:rFonts w:ascii="Arial" w:hAnsi="Arial" w:cs="Arial" w:eastAsia="Arial" w:hint="default"/>
                <w:sz w:val="18"/>
                <w:szCs w:val="18"/>
              </w:rPr>
            </w:pPr>
            <w:r>
              <w:rPr>
                <w:rFonts w:ascii="Arial"/>
                <w:spacing w:val="-1"/>
                <w:sz w:val="18"/>
              </w:rPr>
              <w:t>-124,320.82</w:t>
            </w:r>
          </w:p>
        </w:tc>
      </w:tr>
      <w:tr>
        <w:trPr>
          <w:trHeight w:val="494"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
              <w:jc w:val="left"/>
              <w:rPr>
                <w:rFonts w:ascii="宋体" w:hAnsi="宋体" w:cs="宋体" w:eastAsia="宋体" w:hint="default"/>
                <w:sz w:val="18"/>
                <w:szCs w:val="18"/>
              </w:rPr>
            </w:pPr>
            <w:r>
              <w:rPr>
                <w:rFonts w:ascii="宋体" w:hAnsi="宋体" w:cs="宋体" w:eastAsia="宋体" w:hint="default"/>
                <w:spacing w:val="-4"/>
                <w:sz w:val="18"/>
                <w:szCs w:val="18"/>
              </w:rPr>
              <w:t>北京华立科泰医药有限责任公司（简称：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华立科泰）</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-34,256,208.21</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7"/>
              <w:jc w:val="right"/>
              <w:rPr>
                <w:rFonts w:ascii="Arial" w:hAnsi="Arial" w:cs="Arial" w:eastAsia="Arial" w:hint="default"/>
                <w:sz w:val="18"/>
                <w:szCs w:val="18"/>
              </w:rPr>
            </w:pPr>
            <w:r>
              <w:rPr>
                <w:rFonts w:ascii="Arial"/>
                <w:spacing w:val="-1"/>
                <w:sz w:val="18"/>
              </w:rPr>
              <w:t>165,990,816.67</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-10,460,270.98</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-18,971,291.78</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重庆市华阳自然资源开发有限责任公司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-8,258,102.67</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-10,359,368.76</w:t>
            </w:r>
          </w:p>
        </w:tc>
      </w:tr>
      <w:tr>
        <w:trPr>
          <w:trHeight w:val="356"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北京比力必利文化传播有限公司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Arial" w:hAnsi="Arial" w:cs="Arial" w:eastAsia="Arial" w:hint="default"/>
                <w:sz w:val="18"/>
                <w:szCs w:val="18"/>
              </w:rPr>
            </w:pPr>
            <w:r>
              <w:rPr>
                <w:rFonts w:ascii="Arial"/>
                <w:spacing w:val="-1"/>
                <w:sz w:val="18"/>
              </w:rPr>
              <w:t>-94,202.09</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Arial" w:hAnsi="Arial" w:cs="Arial" w:eastAsia="Arial" w:hint="default"/>
                <w:sz w:val="18"/>
                <w:szCs w:val="18"/>
              </w:rPr>
            </w:pPr>
            <w:r>
              <w:rPr>
                <w:rFonts w:ascii="Arial"/>
                <w:spacing w:val="-1"/>
                <w:sz w:val="18"/>
              </w:rPr>
              <w:t>-10,061,498.86</w:t>
            </w:r>
          </w:p>
        </w:tc>
      </w:tr>
      <w:tr>
        <w:trPr>
          <w:trHeight w:val="494"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26" w:lineRule="exact"/>
              <w:ind w:left="122" w:right="0"/>
              <w:jc w:val="left"/>
              <w:rPr>
                <w:rFonts w:ascii="宋体" w:hAnsi="宋体" w:cs="宋体" w:eastAsia="宋体" w:hint="default"/>
                <w:sz w:val="18"/>
                <w:szCs w:val="18"/>
              </w:rPr>
            </w:pPr>
            <w:r>
              <w:rPr>
                <w:rFonts w:ascii="Arial" w:hAnsi="Arial" w:cs="Arial" w:eastAsia="Arial" w:hint="default"/>
                <w:sz w:val="18"/>
                <w:szCs w:val="18"/>
              </w:rPr>
              <w:t>HOLLEYPHARMA TANZANIA </w:t>
            </w:r>
            <w:r>
              <w:rPr>
                <w:rFonts w:ascii="Arial" w:hAnsi="Arial" w:cs="Arial" w:eastAsia="Arial" w:hint="default"/>
                <w:spacing w:val="-6"/>
                <w:sz w:val="18"/>
                <w:szCs w:val="18"/>
              </w:rPr>
              <w:t>LTD </w:t>
            </w:r>
            <w:r>
              <w:rPr>
                <w:rFonts w:ascii="Arial" w:hAnsi="Arial" w:cs="Arial" w:eastAsia="Arial" w:hint="default"/>
                <w:spacing w:val="13"/>
                <w:sz w:val="18"/>
                <w:szCs w:val="18"/>
              </w:rPr>
              <w:t> </w:t>
            </w:r>
            <w:r>
              <w:rPr>
                <w:rFonts w:ascii="宋体" w:hAnsi="宋体" w:cs="宋体" w:eastAsia="宋体" w:hint="default"/>
                <w:sz w:val="18"/>
                <w:szCs w:val="18"/>
              </w:rPr>
              <w:t>华</w:t>
            </w:r>
          </w:p>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立药业坦桑尼亚有限公司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2"/>
                <w:sz w:val="18"/>
              </w:rPr>
              <w:t>899,900.11</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7"/>
              <w:jc w:val="right"/>
              <w:rPr>
                <w:rFonts w:ascii="Arial" w:hAnsi="Arial" w:cs="Arial" w:eastAsia="Arial" w:hint="default"/>
                <w:sz w:val="18"/>
                <w:szCs w:val="18"/>
              </w:rPr>
            </w:pPr>
            <w:r>
              <w:rPr>
                <w:rFonts w:ascii="Arial"/>
                <w:spacing w:val="-1"/>
                <w:sz w:val="18"/>
              </w:rPr>
              <w:t>3,294,170.94</w:t>
            </w:r>
          </w:p>
        </w:tc>
      </w:tr>
      <w:tr>
        <w:trPr>
          <w:trHeight w:val="355" w:hRule="exact"/>
        </w:trPr>
        <w:tc>
          <w:tcPr>
            <w:tcW w:w="3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上海珐迩玛实业有限公司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-1,846,131.74</w:t>
            </w:r>
          </w:p>
        </w:tc>
        <w:tc>
          <w:tcPr>
            <w:tcW w:w="21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-776,972.77</w:t>
            </w:r>
          </w:p>
        </w:tc>
      </w:tr>
      <w:tr>
        <w:trPr>
          <w:trHeight w:val="362" w:hRule="exact"/>
        </w:trPr>
        <w:tc>
          <w:tcPr>
            <w:tcW w:w="33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-12,339,617.90</w:t>
            </w:r>
          </w:p>
        </w:tc>
        <w:tc>
          <w:tcPr>
            <w:tcW w:w="21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-3,898,231.60</w:t>
            </w:r>
          </w:p>
        </w:tc>
      </w:tr>
    </w:tbl>
    <w:p>
      <w:pPr>
        <w:spacing w:before="86"/>
        <w:ind w:left="0" w:right="7678" w:firstLine="0"/>
        <w:jc w:val="center"/>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54"/>
          <w:sz w:val="21"/>
          <w:szCs w:val="21"/>
        </w:rPr>
        <w:t> </w:t>
      </w:r>
      <w:r>
        <w:rPr>
          <w:rFonts w:ascii="宋体" w:hAnsi="宋体" w:cs="宋体" w:eastAsia="宋体" w:hint="default"/>
          <w:b/>
          <w:bCs/>
          <w:sz w:val="21"/>
          <w:szCs w:val="21"/>
        </w:rPr>
        <w:t>合并财务报表项目注释</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tabs>
          <w:tab w:pos="854" w:val="left" w:leader="none"/>
        </w:tabs>
        <w:spacing w:before="0"/>
        <w:ind w:left="0" w:right="7726" w:firstLine="0"/>
        <w:jc w:val="center"/>
        <w:rPr>
          <w:rFonts w:ascii="宋体" w:hAnsi="宋体" w:cs="宋体" w:eastAsia="宋体" w:hint="default"/>
          <w:sz w:val="21"/>
          <w:szCs w:val="21"/>
        </w:rPr>
      </w:pPr>
      <w:r>
        <w:rPr>
          <w:rFonts w:ascii="宋体" w:hAnsi="宋体" w:cs="宋体" w:eastAsia="宋体" w:hint="default"/>
          <w:b/>
          <w:bCs/>
          <w:sz w:val="21"/>
          <w:szCs w:val="21"/>
        </w:rPr>
        <w:t>（一）</w:t>
        <w:tab/>
        <w:t>货币资金</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1728"/>
        <w:gridCol w:w="1215"/>
        <w:gridCol w:w="782"/>
        <w:gridCol w:w="1532"/>
        <w:gridCol w:w="1498"/>
        <w:gridCol w:w="841"/>
        <w:gridCol w:w="1555"/>
      </w:tblGrid>
      <w:tr>
        <w:trPr>
          <w:trHeight w:val="365" w:hRule="exact"/>
        </w:trPr>
        <w:tc>
          <w:tcPr>
            <w:tcW w:w="172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tabs>
                <w:tab w:pos="1053" w:val="left" w:leader="none"/>
              </w:tabs>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2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89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3" w:hRule="exact"/>
        </w:trPr>
        <w:tc>
          <w:tcPr>
            <w:tcW w:w="1728" w:type="dxa"/>
            <w:vMerge/>
            <w:tcBorders>
              <w:left w:val="nil" w:sz="6" w:space="0" w:color="auto"/>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原币</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0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56"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129,411.30</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931,640.23</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坦先令</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35,444,221.79</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5" w:right="0"/>
              <w:jc w:val="center"/>
              <w:rPr>
                <w:rFonts w:ascii="Arial" w:hAnsi="Arial" w:cs="Arial" w:eastAsia="Arial" w:hint="default"/>
                <w:sz w:val="18"/>
                <w:szCs w:val="18"/>
              </w:rPr>
            </w:pPr>
            <w:r>
              <w:rPr>
                <w:rFonts w:ascii="Arial"/>
                <w:sz w:val="18"/>
              </w:rPr>
              <w:t>0.0052</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184,284.83</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129,411.30</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2"/>
                <w:sz w:val="18"/>
              </w:rPr>
              <w:t>1,115,925.06</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二、银行存款</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243,785,490.82</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370,109,886.60</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3" w:right="0"/>
              <w:jc w:val="center"/>
              <w:rPr>
                <w:rFonts w:ascii="Arial" w:hAnsi="Arial" w:cs="Arial" w:eastAsia="Arial" w:hint="default"/>
                <w:sz w:val="18"/>
                <w:szCs w:val="18"/>
              </w:rPr>
            </w:pPr>
            <w:r>
              <w:rPr>
                <w:rFonts w:ascii="Arial"/>
                <w:sz w:val="18"/>
              </w:rPr>
              <w:t>918,156.49</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2" w:right="0"/>
              <w:jc w:val="center"/>
              <w:rPr>
                <w:rFonts w:ascii="Arial" w:hAnsi="Arial" w:cs="Arial" w:eastAsia="Arial" w:hint="default"/>
                <w:sz w:val="18"/>
                <w:szCs w:val="18"/>
              </w:rPr>
            </w:pPr>
            <w:r>
              <w:rPr>
                <w:rFonts w:ascii="Arial"/>
                <w:sz w:val="18"/>
              </w:rPr>
              <w:t>6.6227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6,080,674.99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95,019.61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5" w:right="0"/>
              <w:jc w:val="center"/>
              <w:rPr>
                <w:rFonts w:ascii="Arial" w:hAnsi="Arial" w:cs="Arial" w:eastAsia="Arial" w:hint="default"/>
                <w:sz w:val="18"/>
                <w:szCs w:val="18"/>
              </w:rPr>
            </w:pPr>
            <w:r>
              <w:rPr>
                <w:rFonts w:ascii="Arial"/>
                <w:sz w:val="18"/>
              </w:rPr>
              <w:t>6.8282</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648,812.93</w:t>
            </w:r>
          </w:p>
        </w:tc>
      </w:tr>
      <w:tr>
        <w:trPr>
          <w:trHeight w:val="362" w:hRule="exact"/>
        </w:trPr>
        <w:tc>
          <w:tcPr>
            <w:tcW w:w="17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坦先令</w:t>
            </w:r>
          </w:p>
        </w:tc>
        <w:tc>
          <w:tcPr>
            <w:tcW w:w="1215" w:type="dxa"/>
            <w:tcBorders>
              <w:top w:val="single" w:sz="6" w:space="0" w:color="000000"/>
              <w:left w:val="single" w:sz="6" w:space="0" w:color="000000"/>
              <w:bottom w:val="single" w:sz="12" w:space="0" w:color="000000"/>
              <w:right w:val="single" w:sz="6" w:space="0" w:color="000000"/>
            </w:tcBorders>
          </w:tcPr>
          <w:p>
            <w:pPr/>
          </w:p>
        </w:tc>
        <w:tc>
          <w:tcPr>
            <w:tcW w:w="782"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232,862,683.86</w:t>
            </w:r>
          </w:p>
        </w:tc>
        <w:tc>
          <w:tcPr>
            <w:tcW w:w="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75" w:right="0"/>
              <w:jc w:val="center"/>
              <w:rPr>
                <w:rFonts w:ascii="Arial" w:hAnsi="Arial" w:cs="Arial" w:eastAsia="Arial" w:hint="default"/>
                <w:sz w:val="18"/>
                <w:szCs w:val="18"/>
              </w:rPr>
            </w:pPr>
            <w:r>
              <w:rPr>
                <w:rFonts w:ascii="Arial"/>
                <w:sz w:val="18"/>
              </w:rPr>
              <w:t>0.0052</w:t>
            </w:r>
          </w:p>
        </w:tc>
        <w:tc>
          <w:tcPr>
            <w:tcW w:w="15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1,210,720.90</w:t>
            </w:r>
          </w:p>
        </w:tc>
      </w:tr>
    </w:tbl>
    <w:p>
      <w:pPr>
        <w:spacing w:after="0" w:line="240" w:lineRule="auto"/>
        <w:jc w:val="right"/>
        <w:rPr>
          <w:rFonts w:ascii="Arial" w:hAnsi="Arial" w:cs="Arial" w:eastAsia="Arial" w:hint="default"/>
          <w:sz w:val="18"/>
          <w:szCs w:val="18"/>
        </w:rPr>
        <w:sectPr>
          <w:pgSz w:w="11910" w:h="16840"/>
          <w:pgMar w:header="884" w:footer="1013" w:top="1080" w:bottom="1200" w:left="1240" w:right="0"/>
        </w:sectPr>
      </w:pPr>
    </w:p>
    <w:p>
      <w:pPr>
        <w:spacing w:line="240" w:lineRule="auto" w:before="10"/>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1728"/>
        <w:gridCol w:w="1215"/>
        <w:gridCol w:w="782"/>
        <w:gridCol w:w="1532"/>
        <w:gridCol w:w="1498"/>
        <w:gridCol w:w="841"/>
        <w:gridCol w:w="1555"/>
      </w:tblGrid>
      <w:tr>
        <w:trPr>
          <w:trHeight w:val="370" w:hRule="exact"/>
        </w:trPr>
        <w:tc>
          <w:tcPr>
            <w:tcW w:w="1728" w:type="dxa"/>
            <w:vMerge w:val="restart"/>
            <w:tcBorders>
              <w:top w:val="single" w:sz="17"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tabs>
                <w:tab w:pos="1053" w:val="left" w:leader="none"/>
              </w:tabs>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29" w:type="dxa"/>
            <w:gridSpan w:val="3"/>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89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6" w:hRule="exact"/>
        </w:trPr>
        <w:tc>
          <w:tcPr>
            <w:tcW w:w="1728" w:type="dxa"/>
            <w:vMerge/>
            <w:tcBorders>
              <w:left w:val="nil" w:sz="6" w:space="0" w:color="auto"/>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原币</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0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95" w:right="0"/>
              <w:jc w:val="left"/>
              <w:rPr>
                <w:rFonts w:ascii="Arial" w:hAnsi="Arial" w:cs="Arial" w:eastAsia="Arial" w:hint="default"/>
                <w:sz w:val="18"/>
                <w:szCs w:val="18"/>
              </w:rPr>
            </w:pPr>
            <w:r>
              <w:rPr>
                <w:rFonts w:ascii="Arial"/>
                <w:sz w:val="18"/>
              </w:rPr>
              <w:t>13,291.91</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2" w:right="0"/>
              <w:jc w:val="center"/>
              <w:rPr>
                <w:rFonts w:ascii="Arial" w:hAnsi="Arial" w:cs="Arial" w:eastAsia="Arial" w:hint="default"/>
                <w:sz w:val="18"/>
                <w:szCs w:val="18"/>
              </w:rPr>
            </w:pPr>
            <w:r>
              <w:rPr>
                <w:rFonts w:ascii="Arial"/>
                <w:sz w:val="18"/>
              </w:rPr>
              <w:t>8.8065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117,055.21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681" w:right="0"/>
              <w:jc w:val="left"/>
              <w:rPr>
                <w:rFonts w:ascii="Arial" w:hAnsi="Arial" w:cs="Arial" w:eastAsia="Arial" w:hint="default"/>
                <w:sz w:val="18"/>
                <w:szCs w:val="18"/>
              </w:rPr>
            </w:pPr>
            <w:r>
              <w:rPr>
                <w:rFonts w:ascii="Arial"/>
                <w:sz w:val="18"/>
              </w:rPr>
              <w:t>1,489.97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5" w:right="0"/>
              <w:jc w:val="center"/>
              <w:rPr>
                <w:rFonts w:ascii="Arial" w:hAnsi="Arial" w:cs="Arial" w:eastAsia="Arial" w:hint="default"/>
                <w:sz w:val="18"/>
                <w:szCs w:val="18"/>
              </w:rPr>
            </w:pPr>
            <w:r>
              <w:rPr>
                <w:rFonts w:ascii="Arial"/>
                <w:sz w:val="18"/>
              </w:rPr>
              <w:t>9.7971</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14,597.39</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银行存款小计</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249,983,221.02</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371,984,017.82</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三、其他货币资金</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4,873,500.00</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61,478,945.89</w:t>
            </w:r>
          </w:p>
        </w:tc>
      </w:tr>
      <w:tr>
        <w:trPr>
          <w:trHeight w:val="355"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其他货币资金小计</w:t>
            </w:r>
          </w:p>
        </w:tc>
        <w:tc>
          <w:tcPr>
            <w:tcW w:w="121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4,873,500.00</w:t>
            </w:r>
          </w:p>
        </w:tc>
        <w:tc>
          <w:tcPr>
            <w:tcW w:w="1498"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61,478,945.89</w:t>
            </w:r>
          </w:p>
        </w:tc>
      </w:tr>
      <w:tr>
        <w:trPr>
          <w:trHeight w:val="362" w:hRule="exact"/>
        </w:trPr>
        <w:tc>
          <w:tcPr>
            <w:tcW w:w="1728"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15" w:type="dxa"/>
            <w:tcBorders>
              <w:top w:val="single" w:sz="6" w:space="0" w:color="000000"/>
              <w:left w:val="single" w:sz="6" w:space="0" w:color="000000"/>
              <w:bottom w:val="single" w:sz="12" w:space="0" w:color="000000"/>
              <w:right w:val="single" w:sz="6" w:space="0" w:color="000000"/>
            </w:tcBorders>
          </w:tcPr>
          <w:p>
            <w:pPr/>
          </w:p>
        </w:tc>
        <w:tc>
          <w:tcPr>
            <w:tcW w:w="782"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254,986,132.32</w:t>
            </w:r>
            <w:r>
              <w:rPr>
                <w:rFonts w:ascii="Arial"/>
                <w:b/>
                <w:spacing w:val="-1"/>
                <w:sz w:val="18"/>
              </w:rPr>
            </w:r>
            <w:r>
              <w:rPr>
                <w:rFonts w:ascii="Arial"/>
                <w:spacing w:val="-1"/>
                <w:sz w:val="18"/>
              </w:rPr>
            </w:r>
          </w:p>
        </w:tc>
        <w:tc>
          <w:tcPr>
            <w:tcW w:w="1498" w:type="dxa"/>
            <w:tcBorders>
              <w:top w:val="single" w:sz="6" w:space="0" w:color="000000"/>
              <w:left w:val="single" w:sz="6" w:space="0" w:color="000000"/>
              <w:bottom w:val="single" w:sz="12" w:space="0" w:color="000000"/>
              <w:right w:val="single" w:sz="6" w:space="0" w:color="000000"/>
            </w:tcBorders>
          </w:tcPr>
          <w:p>
            <w:pPr/>
          </w:p>
        </w:tc>
        <w:tc>
          <w:tcPr>
            <w:tcW w:w="841" w:type="dxa"/>
            <w:tcBorders>
              <w:top w:val="single" w:sz="6" w:space="0" w:color="000000"/>
              <w:left w:val="single" w:sz="6" w:space="0" w:color="000000"/>
              <w:bottom w:val="single" w:sz="12" w:space="0" w:color="000000"/>
              <w:right w:val="single" w:sz="6" w:space="0" w:color="000000"/>
            </w:tcBorders>
          </w:tcPr>
          <w:p>
            <w:pPr/>
          </w:p>
        </w:tc>
        <w:tc>
          <w:tcPr>
            <w:tcW w:w="15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434,578,888.77</w:t>
            </w:r>
            <w:r>
              <w:rPr>
                <w:rFonts w:ascii="Arial"/>
                <w:b/>
                <w:spacing w:val="-1"/>
                <w:sz w:val="18"/>
              </w:rPr>
            </w:r>
            <w:r>
              <w:rPr>
                <w:rFonts w:ascii="Arial"/>
                <w:spacing w:val="-1"/>
                <w:sz w:val="18"/>
              </w:rPr>
            </w:r>
          </w:p>
        </w:tc>
      </w:tr>
    </w:tbl>
    <w:p>
      <w:pPr>
        <w:pStyle w:val="BodyText"/>
        <w:spacing w:line="240" w:lineRule="auto" w:before="86"/>
        <w:ind w:left="620" w:right="1329"/>
        <w:jc w:val="left"/>
      </w:pPr>
      <w:r>
        <w:rPr/>
        <w:t>截至</w:t>
      </w:r>
      <w:r>
        <w:rPr>
          <w:spacing w:val="-50"/>
        </w:rPr>
        <w:t> </w:t>
      </w:r>
      <w:r>
        <w:rPr>
          <w:rFonts w:ascii="Arial" w:hAnsi="Arial" w:cs="Arial" w:eastAsia="Arial" w:hint="default"/>
        </w:rPr>
        <w:t>2010</w:t>
      </w:r>
      <w:r>
        <w:rPr>
          <w:rFonts w:ascii="Arial" w:hAnsi="Arial" w:cs="Arial" w:eastAsia="Arial" w:hint="default"/>
          <w:spacing w:val="-3"/>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0"/>
        </w:rPr>
        <w:t> </w:t>
      </w:r>
      <w:r>
        <w:rPr>
          <w:rFonts w:ascii="Arial" w:hAnsi="Arial" w:cs="Arial" w:eastAsia="Arial" w:hint="default"/>
        </w:rPr>
        <w:t>31</w:t>
      </w:r>
      <w:r>
        <w:rPr>
          <w:rFonts w:ascii="Arial" w:hAnsi="Arial" w:cs="Arial" w:eastAsia="Arial" w:hint="default"/>
          <w:spacing w:val="-5"/>
        </w:rPr>
        <w:t> </w:t>
      </w:r>
      <w:r>
        <w:rPr/>
        <w:t>日止，银行存款中质押的定期银行存款</w:t>
      </w:r>
      <w:r>
        <w:rPr>
          <w:spacing w:val="-50"/>
        </w:rPr>
        <w:t> </w:t>
      </w:r>
      <w:r>
        <w:rPr>
          <w:rFonts w:ascii="Arial" w:hAnsi="Arial" w:cs="Arial" w:eastAsia="Arial" w:hint="default"/>
        </w:rPr>
        <w:t>59,085,550.00</w:t>
      </w:r>
      <w:r>
        <w:rPr>
          <w:rFonts w:ascii="Arial" w:hAnsi="Arial" w:cs="Arial" w:eastAsia="Arial" w:hint="default"/>
          <w:spacing w:val="-3"/>
        </w:rPr>
        <w:t> </w:t>
      </w:r>
      <w:r>
        <w:rPr/>
        <w:t>元，其他货币资</w:t>
      </w:r>
    </w:p>
    <w:p>
      <w:pPr>
        <w:pStyle w:val="BodyText"/>
        <w:spacing w:line="338" w:lineRule="auto" w:before="120"/>
        <w:ind w:left="200" w:right="1329"/>
        <w:jc w:val="left"/>
      </w:pPr>
      <w:r>
        <w:rPr/>
        <w:t>金中银行承兑汇票保证金</w:t>
      </w:r>
      <w:r>
        <w:rPr>
          <w:spacing w:val="-50"/>
        </w:rPr>
        <w:t> </w:t>
      </w:r>
      <w:r>
        <w:rPr>
          <w:rFonts w:ascii="Arial" w:hAnsi="Arial" w:cs="Arial" w:eastAsia="Arial" w:hint="default"/>
        </w:rPr>
        <w:t>3,886,000.00</w:t>
      </w:r>
      <w:r>
        <w:rPr>
          <w:rFonts w:ascii="Arial" w:hAnsi="Arial" w:cs="Arial" w:eastAsia="Arial" w:hint="default"/>
          <w:spacing w:val="-3"/>
        </w:rPr>
        <w:t> </w:t>
      </w:r>
      <w:r>
        <w:rPr>
          <w:spacing w:val="-7"/>
        </w:rPr>
        <w:t>元，保函保证金</w:t>
      </w:r>
      <w:r>
        <w:rPr>
          <w:spacing w:val="-46"/>
        </w:rPr>
        <w:t> </w:t>
      </w:r>
      <w:r>
        <w:rPr>
          <w:rFonts w:ascii="Arial" w:hAnsi="Arial" w:cs="Arial" w:eastAsia="Arial" w:hint="default"/>
        </w:rPr>
        <w:t>987,500.00</w:t>
      </w:r>
      <w:r>
        <w:rPr>
          <w:rFonts w:ascii="Arial" w:hAnsi="Arial" w:cs="Arial" w:eastAsia="Arial" w:hint="default"/>
          <w:spacing w:val="-3"/>
        </w:rPr>
        <w:t> </w:t>
      </w:r>
      <w:r>
        <w:rPr>
          <w:spacing w:val="-4"/>
        </w:rPr>
        <w:t>元。公司在编制现金流量表时，</w:t>
      </w:r>
      <w:r>
        <w:rPr>
          <w:spacing w:val="-103"/>
        </w:rPr>
        <w:t> </w:t>
      </w:r>
      <w:r>
        <w:rPr>
          <w:spacing w:val="-103"/>
        </w:rPr>
      </w:r>
      <w:r>
        <w:rPr/>
        <w:t>对以上不符合现金及现金等价物的项目已从现金流量表中剔除。</w:t>
      </w:r>
    </w:p>
    <w:p>
      <w:pPr>
        <w:tabs>
          <w:tab w:pos="1474" w:val="left" w:leader="none"/>
        </w:tabs>
        <w:spacing w:line="408" w:lineRule="auto" w:before="110"/>
        <w:ind w:left="831" w:right="7518" w:hanging="212"/>
        <w:jc w:val="left"/>
        <w:rPr>
          <w:rFonts w:ascii="宋体" w:hAnsi="宋体" w:cs="宋体" w:eastAsia="宋体" w:hint="default"/>
          <w:sz w:val="21"/>
          <w:szCs w:val="21"/>
        </w:rPr>
      </w:pPr>
      <w:r>
        <w:rPr>
          <w:rFonts w:ascii="宋体" w:hAnsi="宋体" w:cs="宋体" w:eastAsia="宋体" w:hint="default"/>
          <w:b/>
          <w:bCs/>
          <w:sz w:val="21"/>
          <w:szCs w:val="21"/>
        </w:rPr>
        <w:t>（二）</w:t>
        <w:tab/>
        <w:t>应收票据</w:t>
      </w:r>
      <w:r>
        <w:rPr>
          <w:rFonts w:ascii="宋体" w:hAnsi="宋体" w:cs="宋体" w:eastAsia="宋体" w:hint="default"/>
          <w:b/>
          <w:bCs/>
          <w:w w:val="100"/>
          <w:sz w:val="21"/>
          <w:szCs w:val="21"/>
        </w:rPr>
        <w:t> </w:t>
      </w:r>
      <w:r>
        <w:rPr>
          <w:rFonts w:ascii="宋体" w:hAnsi="宋体" w:cs="宋体" w:eastAsia="宋体" w:hint="default"/>
          <w:spacing w:val="-2"/>
          <w:sz w:val="21"/>
          <w:szCs w:val="21"/>
        </w:rPr>
        <w:t>应收票据分类列示如下：</w:t>
      </w:r>
    </w:p>
    <w:p>
      <w:pPr>
        <w:spacing w:line="240" w:lineRule="auto" w:before="12"/>
        <w:rPr>
          <w:rFonts w:ascii="宋体" w:hAnsi="宋体" w:cs="宋体" w:eastAsia="宋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2962"/>
        <w:gridCol w:w="2950"/>
        <w:gridCol w:w="2948"/>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3"/>
              <w:jc w:val="right"/>
              <w:rPr>
                <w:rFonts w:ascii="Arial" w:hAnsi="Arial" w:cs="Arial" w:eastAsia="Arial" w:hint="default"/>
                <w:sz w:val="18"/>
                <w:szCs w:val="18"/>
              </w:rPr>
            </w:pPr>
            <w:r>
              <w:rPr>
                <w:rFonts w:ascii="Arial"/>
                <w:spacing w:val="-1"/>
                <w:sz w:val="18"/>
              </w:rPr>
              <w:t>16,897,428.00</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07"/>
              <w:jc w:val="right"/>
              <w:rPr>
                <w:rFonts w:ascii="Arial" w:hAnsi="Arial" w:cs="Arial" w:eastAsia="Arial" w:hint="default"/>
                <w:sz w:val="18"/>
                <w:szCs w:val="18"/>
              </w:rPr>
            </w:pPr>
            <w:r>
              <w:rPr>
                <w:rFonts w:ascii="Arial"/>
                <w:spacing w:val="-1"/>
                <w:sz w:val="18"/>
              </w:rPr>
              <w:t>12,309,650.40</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2"/>
              <w:jc w:val="right"/>
              <w:rPr>
                <w:rFonts w:ascii="Arial" w:hAnsi="Arial" w:cs="Arial" w:eastAsia="Arial" w:hint="default"/>
                <w:sz w:val="18"/>
                <w:szCs w:val="18"/>
              </w:rPr>
            </w:pPr>
            <w:r>
              <w:rPr>
                <w:rFonts w:ascii="Arial"/>
                <w:spacing w:val="-1"/>
                <w:sz w:val="18"/>
              </w:rPr>
              <w:t>15,000.00</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107"/>
              <w:jc w:val="right"/>
              <w:rPr>
                <w:rFonts w:ascii="Arial" w:hAnsi="Arial" w:cs="Arial" w:eastAsia="Arial" w:hint="default"/>
                <w:sz w:val="18"/>
                <w:szCs w:val="18"/>
              </w:rPr>
            </w:pPr>
            <w:r>
              <w:rPr>
                <w:rFonts w:ascii="Arial"/>
                <w:spacing w:val="-1"/>
                <w:sz w:val="18"/>
              </w:rPr>
              <w:t>18,400.00</w:t>
            </w:r>
          </w:p>
        </w:tc>
      </w:tr>
      <w:tr>
        <w:trPr>
          <w:trHeight w:val="365"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119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0" w:type="dxa"/>
            <w:tcBorders>
              <w:top w:val="single" w:sz="6" w:space="0" w:color="000000"/>
              <w:left w:val="single" w:sz="6" w:space="0" w:color="000000"/>
              <w:bottom w:val="single" w:sz="22" w:space="0" w:color="000000"/>
              <w:right w:val="single" w:sz="6"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b/>
                <w:spacing w:val="-1"/>
                <w:sz w:val="18"/>
              </w:rPr>
              <w:t>16,912,428.00</w:t>
            </w:r>
            <w:r>
              <w:rPr>
                <w:rFonts w:ascii="Arial"/>
                <w:spacing w:val="-1"/>
                <w:sz w:val="18"/>
              </w:rPr>
            </w:r>
          </w:p>
        </w:tc>
        <w:tc>
          <w:tcPr>
            <w:tcW w:w="2948" w:type="dxa"/>
            <w:tcBorders>
              <w:top w:val="single" w:sz="6" w:space="0" w:color="000000"/>
              <w:left w:val="single" w:sz="6" w:space="0" w:color="000000"/>
              <w:bottom w:val="single" w:sz="12" w:space="0" w:color="000000"/>
              <w:right w:val="nil" w:sz="6" w:space="0" w:color="auto"/>
            </w:tcBorders>
          </w:tcPr>
          <w:p>
            <w:pPr>
              <w:pStyle w:val="TableParagraph"/>
              <w:spacing w:line="201" w:lineRule="exact"/>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12,328,050.40</w:t>
            </w:r>
            <w:r>
              <w:rPr>
                <w:rFonts w:ascii="Arial"/>
                <w:b/>
                <w:spacing w:val="-1"/>
                <w:sz w:val="18"/>
              </w:rPr>
            </w:r>
            <w:r>
              <w:rPr>
                <w:rFonts w:ascii="Arial"/>
                <w:spacing w:val="-1"/>
                <w:sz w:val="18"/>
              </w:rPr>
            </w:r>
          </w:p>
        </w:tc>
      </w:tr>
    </w:tbl>
    <w:p>
      <w:pPr>
        <w:pStyle w:val="Heading4"/>
        <w:tabs>
          <w:tab w:pos="1474" w:val="left" w:leader="none"/>
        </w:tabs>
        <w:spacing w:line="240" w:lineRule="auto" w:before="72"/>
        <w:ind w:left="620" w:right="1329"/>
        <w:jc w:val="left"/>
        <w:rPr>
          <w:b w:val="0"/>
          <w:bCs w:val="0"/>
        </w:rPr>
      </w:pPr>
      <w:r>
        <w:rPr/>
        <w:t>（三）</w:t>
        <w:tab/>
        <w:t>应收账款</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left="620" w:right="1329"/>
        <w:jc w:val="left"/>
      </w:pPr>
      <w:r>
        <w:rPr/>
        <w:t>（</w:t>
      </w:r>
      <w:r>
        <w:rPr>
          <w:rFonts w:ascii="Arial" w:hAnsi="Arial" w:cs="Arial" w:eastAsia="Arial" w:hint="default"/>
        </w:rPr>
        <w:t>1</w:t>
      </w:r>
      <w:r>
        <w:rPr/>
        <w:t>）应收账款按种类列示如下：</w:t>
      </w:r>
    </w:p>
    <w:p>
      <w:pPr>
        <w:spacing w:line="240" w:lineRule="auto" w:before="0"/>
        <w:rPr>
          <w:rFonts w:ascii="宋体" w:hAnsi="宋体" w:cs="宋体" w:eastAsia="宋体" w:hint="default"/>
          <w:sz w:val="21"/>
          <w:szCs w:val="21"/>
        </w:rPr>
      </w:pPr>
    </w:p>
    <w:tbl>
      <w:tblPr>
        <w:tblW w:w="0" w:type="auto"/>
        <w:jc w:val="left"/>
        <w:tblInd w:w="262" w:type="dxa"/>
        <w:tblLayout w:type="fixed"/>
        <w:tblCellMar>
          <w:top w:w="0" w:type="dxa"/>
          <w:left w:w="0" w:type="dxa"/>
          <w:bottom w:w="0" w:type="dxa"/>
          <w:right w:w="0" w:type="dxa"/>
        </w:tblCellMar>
        <w:tblLook w:val="01E0"/>
      </w:tblPr>
      <w:tblGrid>
        <w:gridCol w:w="2150"/>
        <w:gridCol w:w="1676"/>
        <w:gridCol w:w="859"/>
        <w:gridCol w:w="1565"/>
        <w:gridCol w:w="934"/>
        <w:gridCol w:w="1676"/>
      </w:tblGrid>
      <w:tr>
        <w:trPr>
          <w:trHeight w:val="362" w:hRule="exact"/>
        </w:trPr>
        <w:tc>
          <w:tcPr>
            <w:tcW w:w="215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0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150" w:type="dxa"/>
            <w:vMerge/>
            <w:tcBorders>
              <w:left w:val="nil" w:sz="6" w:space="0" w:color="auto"/>
              <w:right w:val="single" w:sz="6" w:space="0" w:color="000000"/>
            </w:tcBorders>
          </w:tcPr>
          <w:p>
            <w:pPr/>
          </w:p>
        </w:tc>
        <w:tc>
          <w:tcPr>
            <w:tcW w:w="2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2150"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76" w:type="dxa"/>
            <w:vMerge/>
            <w:tcBorders>
              <w:left w:val="single" w:sz="6" w:space="0" w:color="000000"/>
              <w:bottom w:val="single" w:sz="6" w:space="0" w:color="000000"/>
              <w:right w:val="nil" w:sz="6" w:space="0" w:color="auto"/>
            </w:tcBorders>
          </w:tcPr>
          <w:p>
            <w:pPr/>
          </w:p>
        </w:tc>
      </w:tr>
      <w:tr>
        <w:trPr>
          <w:trHeight w:val="494"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提坏账准备的应收账款</w:t>
            </w:r>
          </w:p>
        </w:tc>
        <w:tc>
          <w:tcPr>
            <w:tcW w:w="167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7"/>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67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：销售货款</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379,244,857.82</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100.00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28,890,933.59</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7.62</w:t>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350,353,924.23</w:t>
            </w:r>
          </w:p>
        </w:tc>
      </w:tr>
      <w:tr>
        <w:trPr>
          <w:trHeight w:val="353"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379,244,857.82</w:t>
            </w:r>
            <w:r>
              <w:rPr>
                <w:rFonts w:ascii="Arial"/>
                <w:b/>
                <w:spacing w:val="-1"/>
                <w:sz w:val="18"/>
              </w:rPr>
            </w:r>
            <w:r>
              <w:rPr>
                <w:rFonts w:ascii="Arial"/>
                <w:spacing w:val="-1"/>
                <w:sz w:val="18"/>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3"/>
              <w:jc w:val="right"/>
              <w:rPr>
                <w:rFonts w:ascii="Arial" w:hAnsi="Arial" w:cs="Arial" w:eastAsia="Arial" w:hint="default"/>
                <w:sz w:val="18"/>
                <w:szCs w:val="18"/>
              </w:rPr>
            </w:pPr>
            <w:r>
              <w:rPr>
                <w:rFonts w:ascii="Arial"/>
                <w:b/>
                <w:w w:val="99"/>
                <w:sz w:val="18"/>
              </w:rPr>
            </w:r>
            <w:r>
              <w:rPr>
                <w:rFonts w:ascii="Arial"/>
                <w:b/>
                <w:spacing w:val="-1"/>
                <w:sz w:val="18"/>
                <w:u w:val="single" w:color="000000"/>
              </w:rPr>
              <w:t>28,890,933.59</w:t>
            </w:r>
            <w:r>
              <w:rPr>
                <w:rFonts w:ascii="Arial"/>
                <w:b/>
                <w:spacing w:val="-1"/>
                <w:sz w:val="18"/>
              </w:rPr>
            </w:r>
            <w:r>
              <w:rPr>
                <w:rFonts w:ascii="Arial"/>
                <w:spacing w:val="-1"/>
                <w:sz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7.62</w:t>
            </w:r>
            <w:r>
              <w:rPr>
                <w:rFonts w:ascii="Arial"/>
                <w:b/>
                <w:w w:val="95"/>
                <w:sz w:val="18"/>
              </w:rPr>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350,353,924.23</w:t>
            </w:r>
            <w:r>
              <w:rPr>
                <w:rFonts w:ascii="Arial"/>
                <w:b/>
                <w:spacing w:val="-1"/>
                <w:sz w:val="18"/>
              </w:rPr>
            </w:r>
            <w:r>
              <w:rPr>
                <w:rFonts w:ascii="Arial"/>
                <w:spacing w:val="-1"/>
                <w:sz w:val="18"/>
              </w:rPr>
            </w:r>
          </w:p>
        </w:tc>
      </w:tr>
      <w:tr>
        <w:trPr>
          <w:trHeight w:val="355" w:hRule="exact"/>
        </w:trPr>
        <w:tc>
          <w:tcPr>
            <w:tcW w:w="215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0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6" w:hRule="exact"/>
        </w:trPr>
        <w:tc>
          <w:tcPr>
            <w:tcW w:w="2150" w:type="dxa"/>
            <w:vMerge/>
            <w:tcBorders>
              <w:left w:val="nil" w:sz="6" w:space="0" w:color="auto"/>
              <w:right w:val="single" w:sz="6" w:space="0" w:color="000000"/>
            </w:tcBorders>
          </w:tcPr>
          <w:p>
            <w:pPr/>
          </w:p>
        </w:tc>
        <w:tc>
          <w:tcPr>
            <w:tcW w:w="2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6"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5" w:hRule="exact"/>
        </w:trPr>
        <w:tc>
          <w:tcPr>
            <w:tcW w:w="2150"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76" w:type="dxa"/>
            <w:vMerge/>
            <w:tcBorders>
              <w:left w:val="single" w:sz="6" w:space="0" w:color="000000"/>
              <w:bottom w:val="single" w:sz="6" w:space="0" w:color="000000"/>
              <w:right w:val="nil" w:sz="6" w:space="0" w:color="auto"/>
            </w:tcBorders>
          </w:tcPr>
          <w:p>
            <w:pPr/>
          </w:p>
        </w:tc>
      </w:tr>
      <w:tr>
        <w:trPr>
          <w:trHeight w:val="494"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提坏账准备的应收账款</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8,864,283.95</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2.20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spacing w:val="-1"/>
                <w:sz w:val="18"/>
              </w:rPr>
              <w:t>4,979,686.95</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56.18</w:t>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3,884,597.00</w:t>
            </w:r>
          </w:p>
        </w:tc>
      </w:tr>
      <w:tr>
        <w:trPr>
          <w:trHeight w:val="494"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67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：销售货款</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394,158,205.79</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97.80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31,599,042.76</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8.02</w:t>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1"/>
                <w:sz w:val="18"/>
              </w:rPr>
              <w:t>362,559,163.03</w:t>
            </w:r>
          </w:p>
        </w:tc>
      </w:tr>
      <w:tr>
        <w:trPr>
          <w:trHeight w:val="362" w:hRule="exact"/>
        </w:trPr>
        <w:tc>
          <w:tcPr>
            <w:tcW w:w="21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403,022,489.74</w:t>
            </w:r>
            <w:r>
              <w:rPr>
                <w:rFonts w:ascii="Arial"/>
                <w:b/>
                <w:spacing w:val="-1"/>
                <w:sz w:val="18"/>
              </w:rPr>
            </w:r>
            <w:r>
              <w:rPr>
                <w:rFonts w:ascii="Arial"/>
                <w:spacing w:val="-1"/>
                <w:sz w:val="18"/>
              </w:rPr>
            </w:r>
          </w:p>
        </w:tc>
        <w:tc>
          <w:tcPr>
            <w:tcW w:w="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36,578,729.71</w:t>
            </w:r>
            <w:r>
              <w:rPr>
                <w:rFonts w:ascii="Arial"/>
                <w:b/>
                <w:spacing w:val="-1"/>
                <w:sz w:val="18"/>
              </w:rPr>
            </w:r>
            <w:r>
              <w:rPr>
                <w:rFonts w:ascii="Arial"/>
                <w:spacing w:val="-1"/>
                <w:sz w:val="18"/>
              </w:rPr>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9.08</w:t>
            </w:r>
            <w:r>
              <w:rPr>
                <w:rFonts w:ascii="Arial"/>
                <w:b/>
                <w:w w:val="95"/>
                <w:sz w:val="18"/>
              </w:rPr>
            </w:r>
            <w:r>
              <w:rPr>
                <w:rFonts w:ascii="Arial"/>
                <w:sz w:val="18"/>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366,443,760.03</w:t>
            </w:r>
            <w:r>
              <w:rPr>
                <w:rFonts w:ascii="Arial"/>
                <w:b/>
                <w:spacing w:val="-1"/>
                <w:sz w:val="18"/>
              </w:rPr>
            </w:r>
            <w:r>
              <w:rPr>
                <w:rFonts w:ascii="Arial"/>
                <w:spacing w:val="-1"/>
                <w:sz w:val="18"/>
              </w:rPr>
            </w:r>
          </w:p>
        </w:tc>
      </w:tr>
    </w:tbl>
    <w:p>
      <w:pPr>
        <w:pStyle w:val="BodyText"/>
        <w:spacing w:line="240" w:lineRule="auto" w:before="86"/>
        <w:ind w:left="620" w:right="1329"/>
        <w:jc w:val="left"/>
      </w:pPr>
      <w:r>
        <w:rPr/>
        <w:t>组合中，按账龄分析法计提坏账准备的应收账款：</w:t>
      </w:r>
    </w:p>
    <w:p>
      <w:pPr>
        <w:spacing w:after="0" w:line="240" w:lineRule="auto"/>
        <w:jc w:val="left"/>
        <w:sectPr>
          <w:pgSz w:w="11910" w:h="16840"/>
          <w:pgMar w:header="884" w:footer="1013" w:top="1080" w:bottom="1200" w:left="124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191"/>
        <w:gridCol w:w="1961"/>
        <w:gridCol w:w="1071"/>
        <w:gridCol w:w="1781"/>
        <w:gridCol w:w="1961"/>
      </w:tblGrid>
      <w:tr>
        <w:trPr>
          <w:trHeight w:val="370" w:hRule="exact"/>
        </w:trPr>
        <w:tc>
          <w:tcPr>
            <w:tcW w:w="2191" w:type="dxa"/>
            <w:vMerge w:val="restart"/>
            <w:tcBorders>
              <w:top w:val="single" w:sz="17"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2191"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2"/>
              <w:jc w:val="righ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285,709,032.87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75.34</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14,285,451.64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271,423,581.23</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58,168,832.68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15.34</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5,816,883.27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52,351,949.41</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12,143,326.71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3.20</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1,821,499.01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10,321,827.70</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23,223,665.56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6.12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6,967,099.67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16,256,565.89</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379,244,857.82</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28,890,933.59</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350,353,924.23</w:t>
            </w:r>
            <w:r>
              <w:rPr>
                <w:rFonts w:ascii="Arial"/>
                <w:b/>
                <w:spacing w:val="-1"/>
                <w:sz w:val="18"/>
              </w:rPr>
            </w:r>
            <w:r>
              <w:rPr>
                <w:rFonts w:ascii="Arial"/>
                <w:spacing w:val="-1"/>
                <w:sz w:val="18"/>
              </w:rPr>
            </w:r>
          </w:p>
        </w:tc>
      </w:tr>
      <w:tr>
        <w:trPr>
          <w:trHeight w:val="353" w:hRule="exact"/>
        </w:trPr>
        <w:tc>
          <w:tcPr>
            <w:tcW w:w="2191"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191"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2"/>
              <w:jc w:val="righ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278,843,477.55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70.74</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12,868,909.71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265,974,567.84</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75,752,632.53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19.22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8,905,127.24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66,847,505.29</w:t>
            </w:r>
          </w:p>
        </w:tc>
      </w:tr>
      <w:tr>
        <w:trPr>
          <w:trHeight w:val="356"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17,066,288.65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4.33</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2,981,767.12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14,084,521.53</w:t>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22,495,807.06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5.71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6,843,238.69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15,652,568.37</w:t>
            </w:r>
          </w:p>
        </w:tc>
      </w:tr>
      <w:tr>
        <w:trPr>
          <w:trHeight w:val="362" w:hRule="exact"/>
        </w:trPr>
        <w:tc>
          <w:tcPr>
            <w:tcW w:w="219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394,158,205.79</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31,599,042.76</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362,559,163.03</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2</w:t>
      </w:r>
      <w:r>
        <w:rPr/>
        <w:t>）本年实际核销的应收账款情况</w:t>
      </w:r>
    </w:p>
    <w:p>
      <w:pPr>
        <w:spacing w:line="240" w:lineRule="auto" w:before="3"/>
        <w:rPr>
          <w:rFonts w:ascii="宋体" w:hAnsi="宋体" w:cs="宋体" w:eastAsia="宋体" w:hint="default"/>
          <w:sz w:val="22"/>
          <w:szCs w:val="22"/>
        </w:rPr>
      </w:pPr>
    </w:p>
    <w:p>
      <w:pPr>
        <w:pStyle w:val="BodyText"/>
        <w:spacing w:line="240" w:lineRule="auto"/>
        <w:ind w:left="774" w:right="1326"/>
        <w:jc w:val="left"/>
      </w:pPr>
      <w:r>
        <w:rPr>
          <w:w w:val="100"/>
        </w:rPr>
        <w:t>子公司华</w:t>
      </w:r>
      <w:r>
        <w:rPr>
          <w:spacing w:val="-3"/>
          <w:w w:val="100"/>
        </w:rPr>
        <w:t>立</w:t>
      </w:r>
      <w:r>
        <w:rPr>
          <w:w w:val="100"/>
        </w:rPr>
        <w:t>仪</w:t>
      </w:r>
      <w:r>
        <w:rPr>
          <w:spacing w:val="-3"/>
          <w:w w:val="100"/>
        </w:rPr>
        <w:t>表</w:t>
      </w:r>
      <w:r>
        <w:rPr>
          <w:w w:val="100"/>
        </w:rPr>
        <w:t>集</w:t>
      </w:r>
      <w:r>
        <w:rPr>
          <w:spacing w:val="-3"/>
          <w:w w:val="100"/>
        </w:rPr>
        <w:t>团</w:t>
      </w:r>
      <w:r>
        <w:rPr>
          <w:w w:val="100"/>
        </w:rPr>
        <w:t>股份</w:t>
      </w:r>
      <w:r>
        <w:rPr>
          <w:spacing w:val="-3"/>
          <w:w w:val="100"/>
        </w:rPr>
        <w:t>有</w:t>
      </w:r>
      <w:r>
        <w:rPr>
          <w:w w:val="100"/>
        </w:rPr>
        <w:t>限</w:t>
      </w:r>
      <w:r>
        <w:rPr>
          <w:spacing w:val="-3"/>
          <w:w w:val="100"/>
        </w:rPr>
        <w:t>公</w:t>
      </w:r>
      <w:r>
        <w:rPr>
          <w:w w:val="100"/>
        </w:rPr>
        <w:t>司</w:t>
      </w:r>
      <w:r>
        <w:rPr>
          <w:spacing w:val="-3"/>
          <w:w w:val="100"/>
        </w:rPr>
        <w:t>本</w:t>
      </w:r>
      <w:r>
        <w:rPr>
          <w:w w:val="100"/>
        </w:rPr>
        <w:t>年</w:t>
      </w:r>
      <w:r>
        <w:rPr>
          <w:spacing w:val="-3"/>
          <w:w w:val="100"/>
        </w:rPr>
        <w:t>核</w:t>
      </w:r>
      <w:r>
        <w:rPr>
          <w:w w:val="100"/>
        </w:rPr>
        <w:t>销</w:t>
      </w:r>
      <w:r>
        <w:rPr>
          <w:spacing w:val="-3"/>
          <w:w w:val="100"/>
        </w:rPr>
        <w:t>无</w:t>
      </w:r>
      <w:r>
        <w:rPr>
          <w:w w:val="100"/>
        </w:rPr>
        <w:t>法收</w:t>
      </w:r>
      <w:r>
        <w:rPr>
          <w:spacing w:val="-3"/>
          <w:w w:val="100"/>
        </w:rPr>
        <w:t>回</w:t>
      </w:r>
      <w:r>
        <w:rPr>
          <w:w w:val="100"/>
        </w:rPr>
        <w:t>的</w:t>
      </w:r>
      <w:r>
        <w:rPr>
          <w:spacing w:val="-3"/>
          <w:w w:val="100"/>
        </w:rPr>
        <w:t>应</w:t>
      </w:r>
      <w:r>
        <w:rPr>
          <w:w w:val="100"/>
        </w:rPr>
        <w:t>收</w:t>
      </w:r>
      <w:r>
        <w:rPr>
          <w:spacing w:val="-3"/>
          <w:w w:val="100"/>
        </w:rPr>
        <w:t>账</w:t>
      </w:r>
      <w:r>
        <w:rPr>
          <w:w w:val="100"/>
        </w:rPr>
        <w:t>款</w:t>
      </w:r>
      <w:r>
        <w:rPr>
          <w:spacing w:val="-53"/>
        </w:rPr>
        <w:t> </w:t>
      </w:r>
      <w:r>
        <w:rPr>
          <w:rFonts w:ascii="Arial" w:hAnsi="Arial" w:cs="Arial" w:eastAsia="Arial" w:hint="default"/>
          <w:spacing w:val="-3"/>
          <w:w w:val="100"/>
        </w:rPr>
        <w:t>2</w:t>
      </w:r>
      <w:r>
        <w:rPr>
          <w:rFonts w:ascii="Arial" w:hAnsi="Arial" w:cs="Arial" w:eastAsia="Arial" w:hint="default"/>
          <w:w w:val="100"/>
        </w:rPr>
        <w:t>10</w:t>
      </w:r>
      <w:r>
        <w:rPr>
          <w:rFonts w:ascii="Arial" w:hAnsi="Arial" w:cs="Arial" w:eastAsia="Arial" w:hint="default"/>
          <w:spacing w:val="-1"/>
          <w:w w:val="100"/>
        </w:rPr>
        <w:t>,</w:t>
      </w:r>
      <w:r>
        <w:rPr>
          <w:rFonts w:ascii="Arial" w:hAnsi="Arial" w:cs="Arial" w:eastAsia="Arial" w:hint="default"/>
          <w:w w:val="100"/>
        </w:rPr>
        <w:t>9</w:t>
      </w:r>
      <w:r>
        <w:rPr>
          <w:rFonts w:ascii="Arial" w:hAnsi="Arial" w:cs="Arial" w:eastAsia="Arial" w:hint="default"/>
          <w:spacing w:val="-3"/>
          <w:w w:val="100"/>
        </w:rPr>
        <w:t>3</w:t>
      </w:r>
      <w:r>
        <w:rPr>
          <w:rFonts w:ascii="Arial" w:hAnsi="Arial" w:cs="Arial" w:eastAsia="Arial" w:hint="default"/>
          <w:w w:val="100"/>
        </w:rPr>
        <w:t>9</w:t>
      </w:r>
      <w:r>
        <w:rPr>
          <w:rFonts w:ascii="Arial" w:hAnsi="Arial" w:cs="Arial" w:eastAsia="Arial" w:hint="default"/>
          <w:spacing w:val="-2"/>
          <w:w w:val="100"/>
        </w:rPr>
        <w:t>.</w:t>
      </w:r>
      <w:r>
        <w:rPr>
          <w:rFonts w:ascii="Arial" w:hAnsi="Arial" w:cs="Arial" w:eastAsia="Arial" w:hint="default"/>
          <w:w w:val="100"/>
        </w:rPr>
        <w:t>05</w:t>
      </w:r>
      <w:r>
        <w:rPr>
          <w:rFonts w:ascii="Arial" w:hAnsi="Arial" w:cs="Arial" w:eastAsia="Arial" w:hint="default"/>
          <w:spacing w:val="-5"/>
        </w:rPr>
        <w:t> </w:t>
      </w:r>
      <w:r>
        <w:rPr>
          <w:spacing w:val="-3"/>
          <w:w w:val="100"/>
        </w:rPr>
        <w:t>元</w:t>
      </w:r>
      <w:r>
        <w:rPr>
          <w:spacing w:val="-99"/>
          <w:w w:val="100"/>
        </w:rPr>
        <w:t>，</w:t>
      </w:r>
      <w:r>
        <w:rPr>
          <w:spacing w:val="-3"/>
          <w:w w:val="100"/>
        </w:rPr>
        <w:t>子</w:t>
      </w:r>
      <w:r>
        <w:rPr>
          <w:w w:val="100"/>
        </w:rPr>
        <w:t>公</w:t>
      </w:r>
      <w:r>
        <w:rPr>
          <w:spacing w:val="-3"/>
          <w:w w:val="100"/>
        </w:rPr>
        <w:t>司</w:t>
      </w:r>
      <w:r>
        <w:rPr>
          <w:w w:val="100"/>
        </w:rPr>
        <w:t>北京</w:t>
      </w:r>
    </w:p>
    <w:p>
      <w:pPr>
        <w:pStyle w:val="BodyText"/>
        <w:spacing w:line="240" w:lineRule="auto" w:before="120"/>
        <w:ind w:left="160" w:right="1326"/>
        <w:jc w:val="left"/>
      </w:pPr>
      <w:r>
        <w:rPr/>
        <w:t>华立科泰医药有限责任公司本年核销无法收回的应收账款</w:t>
      </w:r>
      <w:r>
        <w:rPr>
          <w:spacing w:val="-55"/>
        </w:rPr>
        <w:t> </w:t>
      </w:r>
      <w:r>
        <w:rPr>
          <w:rFonts w:ascii="Arial" w:hAnsi="Arial" w:cs="Arial" w:eastAsia="Arial" w:hint="default"/>
        </w:rPr>
        <w:t>30,679.25</w:t>
      </w:r>
      <w:r>
        <w:rPr>
          <w:rFonts w:ascii="Arial" w:hAnsi="Arial" w:cs="Arial" w:eastAsia="Arial" w:hint="default"/>
          <w:spacing w:val="-8"/>
        </w:rPr>
        <w:t> </w:t>
      </w:r>
      <w:r>
        <w:rPr/>
        <w:t>元。</w:t>
      </w:r>
    </w:p>
    <w:p>
      <w:pPr>
        <w:spacing w:line="240" w:lineRule="auto" w:before="1"/>
        <w:rPr>
          <w:rFonts w:ascii="宋体" w:hAnsi="宋体" w:cs="宋体" w:eastAsia="宋体" w:hint="default"/>
          <w:sz w:val="22"/>
          <w:szCs w:val="22"/>
        </w:rPr>
      </w:pPr>
    </w:p>
    <w:p>
      <w:pPr>
        <w:pStyle w:val="BodyText"/>
        <w:spacing w:line="240" w:lineRule="auto"/>
        <w:ind w:left="580" w:right="1326"/>
        <w:jc w:val="left"/>
      </w:pPr>
      <w:r>
        <w:rPr/>
        <w:t>（</w:t>
      </w:r>
      <w:r>
        <w:rPr>
          <w:rFonts w:ascii="Arial" w:hAnsi="Arial" w:cs="Arial" w:eastAsia="Arial" w:hint="default"/>
        </w:rPr>
        <w:t>3</w:t>
      </w:r>
      <w:r>
        <w:rPr/>
        <w:t>）本报告期应收账款中无应收持有本公司</w:t>
      </w:r>
      <w:r>
        <w:rPr>
          <w:spacing w:val="-59"/>
        </w:rPr>
        <w:t> </w:t>
      </w:r>
      <w:r>
        <w:rPr>
          <w:rFonts w:ascii="Arial" w:hAnsi="Arial" w:cs="Arial" w:eastAsia="Arial" w:hint="default"/>
        </w:rPr>
        <w:t>5%</w:t>
      </w:r>
      <w:r>
        <w:rPr/>
        <w:t>（含</w:t>
      </w:r>
      <w:r>
        <w:rPr>
          <w:spacing w:val="-59"/>
        </w:rPr>
        <w:t> </w:t>
      </w:r>
      <w:r>
        <w:rPr>
          <w:rFonts w:ascii="Arial" w:hAnsi="Arial" w:cs="Arial" w:eastAsia="Arial" w:hint="default"/>
        </w:rPr>
        <w:t>5%</w:t>
      </w:r>
      <w:r>
        <w:rPr/>
        <w:t>）以上表决权股份的股东单位欠款。</w:t>
      </w:r>
    </w:p>
    <w:p>
      <w:pPr>
        <w:spacing w:line="240" w:lineRule="auto" w:before="3"/>
        <w:rPr>
          <w:rFonts w:ascii="宋体" w:hAnsi="宋体" w:cs="宋体" w:eastAsia="宋体" w:hint="default"/>
          <w:sz w:val="22"/>
          <w:szCs w:val="22"/>
        </w:rPr>
      </w:pPr>
    </w:p>
    <w:p>
      <w:pPr>
        <w:pStyle w:val="BodyText"/>
        <w:spacing w:line="240" w:lineRule="auto"/>
        <w:ind w:left="580" w:right="1326"/>
        <w:jc w:val="left"/>
      </w:pPr>
      <w:r>
        <w:rPr/>
        <w:t>（</w:t>
      </w:r>
      <w:r>
        <w:rPr>
          <w:rFonts w:ascii="Arial" w:hAnsi="Arial" w:cs="Arial" w:eastAsia="Arial" w:hint="default"/>
        </w:rPr>
        <w:t>4</w:t>
      </w:r>
      <w:r>
        <w:rPr/>
        <w:t>）年末应收账款前五名单位列示如下：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068"/>
        <w:gridCol w:w="1104"/>
        <w:gridCol w:w="2086"/>
        <w:gridCol w:w="1121"/>
        <w:gridCol w:w="1481"/>
      </w:tblGrid>
      <w:tr>
        <w:trPr>
          <w:trHeight w:val="504" w:hRule="exact"/>
        </w:trPr>
        <w:tc>
          <w:tcPr>
            <w:tcW w:w="3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2"/>
              <w:ind w:left="364" w:right="18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0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674"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481"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201" w:right="108" w:hanging="99"/>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94"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182"/>
              <w:jc w:val="left"/>
              <w:rPr>
                <w:rFonts w:ascii="宋体" w:hAnsi="宋体" w:cs="宋体" w:eastAsia="宋体" w:hint="default"/>
                <w:sz w:val="18"/>
                <w:szCs w:val="18"/>
              </w:rPr>
            </w:pPr>
            <w:r>
              <w:rPr>
                <w:rFonts w:ascii="宋体" w:hAnsi="宋体" w:cs="宋体" w:eastAsia="宋体" w:hint="default"/>
                <w:sz w:val="18"/>
                <w:szCs w:val="18"/>
              </w:rPr>
              <w:t>同受华立 集团控制</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20,002,633.52</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4"/>
              <w:jc w:val="right"/>
              <w:rPr>
                <w:rFonts w:ascii="Arial" w:hAnsi="Arial" w:cs="Arial" w:eastAsia="Arial" w:hint="default"/>
                <w:sz w:val="18"/>
                <w:szCs w:val="18"/>
              </w:rPr>
            </w:pPr>
            <w:r>
              <w:rPr>
                <w:rFonts w:ascii="Arial"/>
                <w:w w:val="95"/>
                <w:sz w:val="18"/>
              </w:rPr>
              <w:t>5.27</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厦门集力电力物资公司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1,130,450.000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0.30</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佛山市东普电器有限公司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1"/>
                <w:sz w:val="18"/>
              </w:rPr>
              <w:t>5,895,254.00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1.55</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辽宁省电力有限公司沈阳供电公司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8,030,912.51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2.12</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交城县乡镇电力管理总站</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4,859,400.00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1.28</w:t>
            </w:r>
            <w:r>
              <w:rPr>
                <w:rFonts w:ascii="Arial"/>
                <w:sz w:val="18"/>
              </w:rPr>
            </w:r>
          </w:p>
        </w:tc>
      </w:tr>
      <w:tr>
        <w:trPr>
          <w:trHeight w:val="362" w:hRule="exact"/>
        </w:trPr>
        <w:tc>
          <w:tcPr>
            <w:tcW w:w="30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04" w:type="dxa"/>
            <w:tcBorders>
              <w:top w:val="single" w:sz="6" w:space="0" w:color="000000"/>
              <w:left w:val="single" w:sz="6" w:space="0" w:color="000000"/>
              <w:bottom w:val="single" w:sz="12" w:space="0" w:color="000000"/>
              <w:right w:val="single" w:sz="6" w:space="0" w:color="000000"/>
            </w:tcBorders>
          </w:tcPr>
          <w:p>
            <w:pPr/>
          </w:p>
        </w:tc>
        <w:tc>
          <w:tcPr>
            <w:tcW w:w="2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39,918,650.03</w:t>
            </w:r>
            <w:r>
              <w:rPr>
                <w:rFonts w:ascii="Arial"/>
                <w:b/>
                <w:spacing w:val="-1"/>
                <w:sz w:val="18"/>
              </w:rPr>
            </w:r>
            <w:r>
              <w:rPr>
                <w:rFonts w:ascii="Arial"/>
                <w:spacing w:val="-1"/>
                <w:sz w:val="18"/>
              </w:rPr>
            </w:r>
          </w:p>
        </w:tc>
        <w:tc>
          <w:tcPr>
            <w:tcW w:w="1121" w:type="dxa"/>
            <w:tcBorders>
              <w:top w:val="single" w:sz="6" w:space="0" w:color="000000"/>
              <w:left w:val="single" w:sz="6" w:space="0" w:color="000000"/>
              <w:bottom w:val="single" w:sz="12" w:space="0" w:color="000000"/>
              <w:right w:val="single" w:sz="6" w:space="0" w:color="000000"/>
            </w:tcBorders>
          </w:tcPr>
          <w:p>
            <w:pPr/>
          </w:p>
        </w:tc>
        <w:tc>
          <w:tcPr>
            <w:tcW w:w="14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b/>
                <w:w w:val="99"/>
                <w:sz w:val="18"/>
              </w:rPr>
            </w:r>
            <w:r>
              <w:rPr>
                <w:rFonts w:ascii="Arial"/>
                <w:b/>
                <w:w w:val="95"/>
                <w:sz w:val="18"/>
                <w:u w:val="single" w:color="000000"/>
              </w:rPr>
              <w:t>10.52</w:t>
            </w:r>
            <w:r>
              <w:rPr>
                <w:rFonts w:ascii="Arial"/>
                <w:b/>
                <w:w w:val="95"/>
                <w:sz w:val="18"/>
              </w:rPr>
            </w:r>
            <w:r>
              <w:rPr>
                <w:rFonts w:ascii="Arial"/>
                <w:sz w:val="18"/>
              </w:rPr>
            </w:r>
          </w:p>
        </w:tc>
      </w:tr>
    </w:tbl>
    <w:p>
      <w:pPr>
        <w:pStyle w:val="BodyText"/>
        <w:spacing w:line="240" w:lineRule="auto" w:before="86"/>
        <w:ind w:left="580" w:right="1326"/>
        <w:jc w:val="left"/>
      </w:pPr>
      <w:r>
        <w:rPr/>
        <w:t>（</w:t>
      </w:r>
      <w:r>
        <w:rPr>
          <w:rFonts w:ascii="Arial" w:hAnsi="Arial" w:cs="Arial" w:eastAsia="Arial" w:hint="default"/>
        </w:rPr>
        <w:t>5</w:t>
      </w:r>
      <w:r>
        <w:rPr/>
        <w:t>）应收关联方账款情况</w:t>
      </w:r>
    </w:p>
    <w:p>
      <w:pPr>
        <w:spacing w:line="240" w:lineRule="auto" w:before="13"/>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2453"/>
        <w:gridCol w:w="2158"/>
        <w:gridCol w:w="2273"/>
        <w:gridCol w:w="1947"/>
      </w:tblGrid>
      <w:tr>
        <w:trPr>
          <w:trHeight w:val="502" w:hRule="exact"/>
        </w:trPr>
        <w:tc>
          <w:tcPr>
            <w:tcW w:w="24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947"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614" w:right="164" w:hanging="462"/>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39"/>
              <w:jc w:val="center"/>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20,002,633.52</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6"/>
              <w:jc w:val="right"/>
              <w:rPr>
                <w:rFonts w:ascii="Arial" w:hAnsi="Arial" w:cs="Arial" w:eastAsia="Arial" w:hint="default"/>
                <w:sz w:val="18"/>
                <w:szCs w:val="18"/>
              </w:rPr>
            </w:pPr>
            <w:r>
              <w:rPr>
                <w:rFonts w:ascii="Arial"/>
                <w:w w:val="95"/>
                <w:sz w:val="18"/>
              </w:rPr>
              <w:t>5.27</w:t>
            </w:r>
            <w:r>
              <w:rPr>
                <w:rFonts w:ascii="Arial"/>
                <w:sz w:val="18"/>
              </w:rPr>
            </w:r>
          </w:p>
        </w:tc>
      </w:tr>
      <w:tr>
        <w:trPr>
          <w:trHeight w:val="362" w:hRule="exact"/>
        </w:trPr>
        <w:tc>
          <w:tcPr>
            <w:tcW w:w="24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8" w:type="dxa"/>
            <w:tcBorders>
              <w:top w:val="single" w:sz="6" w:space="0" w:color="000000"/>
              <w:left w:val="single" w:sz="6" w:space="0" w:color="000000"/>
              <w:bottom w:val="single" w:sz="12" w:space="0" w:color="000000"/>
              <w:right w:val="single" w:sz="6" w:space="0" w:color="000000"/>
            </w:tcBorders>
          </w:tcPr>
          <w:p>
            <w:pP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20,002,633.52</w:t>
            </w:r>
            <w:r>
              <w:rPr>
                <w:rFonts w:ascii="Arial"/>
                <w:b/>
                <w:spacing w:val="-1"/>
                <w:sz w:val="18"/>
              </w:rPr>
            </w:r>
            <w:r>
              <w:rPr>
                <w:rFonts w:ascii="Arial"/>
                <w:spacing w:val="-1"/>
                <w:sz w:val="18"/>
              </w:rPr>
            </w:r>
          </w:p>
        </w:tc>
        <w:tc>
          <w:tcPr>
            <w:tcW w:w="1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6"/>
              <w:jc w:val="right"/>
              <w:rPr>
                <w:rFonts w:ascii="Arial" w:hAnsi="Arial" w:cs="Arial" w:eastAsia="Arial" w:hint="default"/>
                <w:sz w:val="18"/>
                <w:szCs w:val="18"/>
              </w:rPr>
            </w:pPr>
            <w:r>
              <w:rPr>
                <w:rFonts w:ascii="Arial"/>
                <w:b/>
                <w:w w:val="99"/>
                <w:sz w:val="18"/>
              </w:rPr>
            </w:r>
            <w:r>
              <w:rPr>
                <w:rFonts w:ascii="Arial"/>
                <w:b/>
                <w:w w:val="95"/>
                <w:sz w:val="18"/>
                <w:u w:val="single" w:color="000000"/>
              </w:rPr>
              <w:t>5.27</w:t>
            </w:r>
            <w:r>
              <w:rPr>
                <w:rFonts w:ascii="Arial"/>
                <w:b/>
                <w:w w:val="95"/>
                <w:sz w:val="18"/>
              </w:rPr>
            </w:r>
            <w:r>
              <w:rPr>
                <w:rFonts w:ascii="Arial"/>
                <w:sz w:val="18"/>
              </w:rPr>
            </w:r>
          </w:p>
        </w:tc>
      </w:tr>
    </w:tbl>
    <w:p>
      <w:pPr>
        <w:pStyle w:val="Heading4"/>
        <w:tabs>
          <w:tab w:pos="1434" w:val="left" w:leader="none"/>
        </w:tabs>
        <w:spacing w:line="240" w:lineRule="auto" w:before="86"/>
        <w:ind w:left="580" w:right="1326"/>
        <w:jc w:val="left"/>
        <w:rPr>
          <w:b w:val="0"/>
          <w:bCs w:val="0"/>
        </w:rPr>
      </w:pPr>
      <w:r>
        <w:rPr/>
        <w:t>（四）</w:t>
        <w:tab/>
        <w:t>其他应收款</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）其他应收款按种类列示如下：</w:t>
      </w:r>
    </w:p>
    <w:p>
      <w:pPr>
        <w:spacing w:line="240" w:lineRule="auto" w:before="13"/>
        <w:rPr>
          <w:rFonts w:ascii="宋体" w:hAnsi="宋体" w:cs="宋体" w:eastAsia="宋体" w:hint="default"/>
          <w:sz w:val="20"/>
          <w:szCs w:val="20"/>
        </w:rPr>
      </w:pPr>
    </w:p>
    <w:tbl>
      <w:tblPr>
        <w:tblW w:w="0" w:type="auto"/>
        <w:jc w:val="left"/>
        <w:tblInd w:w="251" w:type="dxa"/>
        <w:tblLayout w:type="fixed"/>
        <w:tblCellMar>
          <w:top w:w="0" w:type="dxa"/>
          <w:left w:w="0" w:type="dxa"/>
          <w:bottom w:w="0" w:type="dxa"/>
          <w:right w:w="0" w:type="dxa"/>
        </w:tblCellMar>
        <w:tblLook w:val="01E0"/>
      </w:tblPr>
      <w:tblGrid>
        <w:gridCol w:w="2521"/>
        <w:gridCol w:w="2451"/>
        <w:gridCol w:w="2415"/>
        <w:gridCol w:w="1459"/>
      </w:tblGrid>
      <w:tr>
        <w:trPr>
          <w:trHeight w:val="362" w:hRule="exact"/>
        </w:trPr>
        <w:tc>
          <w:tcPr>
            <w:tcW w:w="2521"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2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2" w:hRule="exact"/>
        </w:trPr>
        <w:tc>
          <w:tcPr>
            <w:tcW w:w="2521" w:type="dxa"/>
            <w:vMerge/>
            <w:tcBorders>
              <w:left w:val="nil" w:sz="6" w:space="0" w:color="auto"/>
              <w:bottom w:val="single" w:sz="12" w:space="0" w:color="000000"/>
              <w:right w:val="single" w:sz="6" w:space="0" w:color="000000"/>
            </w:tcBorders>
          </w:tcPr>
          <w:p>
            <w:pPr/>
          </w:p>
        </w:tc>
        <w:tc>
          <w:tcPr>
            <w:tcW w:w="2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净额</w:t>
            </w:r>
          </w:p>
        </w:tc>
      </w:tr>
    </w:tbl>
    <w:p>
      <w:pPr>
        <w:spacing w:after="0" w:line="240" w:lineRule="auto"/>
        <w:jc w:val="center"/>
        <w:rPr>
          <w:rFonts w:ascii="宋体" w:hAnsi="宋体" w:cs="宋体" w:eastAsia="宋体"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641"/>
        <w:gridCol w:w="1529"/>
        <w:gridCol w:w="922"/>
        <w:gridCol w:w="1498"/>
        <w:gridCol w:w="917"/>
        <w:gridCol w:w="1459"/>
      </w:tblGrid>
      <w:tr>
        <w:trPr>
          <w:trHeight w:val="509" w:hRule="exact"/>
        </w:trPr>
        <w:tc>
          <w:tcPr>
            <w:tcW w:w="2641" w:type="dxa"/>
            <w:tcBorders>
              <w:top w:val="single" w:sz="17" w:space="0" w:color="000000"/>
              <w:left w:val="nil" w:sz="6" w:space="0" w:color="auto"/>
              <w:bottom w:val="single" w:sz="6" w:space="0" w:color="000000"/>
              <w:right w:val="single" w:sz="6" w:space="0" w:color="000000"/>
            </w:tcBorders>
          </w:tcPr>
          <w:p>
            <w:pPr/>
          </w:p>
        </w:tc>
        <w:tc>
          <w:tcPr>
            <w:tcW w:w="152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Arial" w:hAnsi="Arial" w:cs="Arial" w:eastAsia="Arial" w:hint="default"/>
                <w:spacing w:val="1"/>
                <w:w w:val="99"/>
                <w:sz w:val="18"/>
                <w:szCs w:val="18"/>
              </w:rPr>
              <w:t>%</w:t>
            </w:r>
            <w:r>
              <w:rPr>
                <w:rFonts w:ascii="宋体" w:hAnsi="宋体" w:cs="宋体" w:eastAsia="宋体" w:hint="default"/>
                <w:sz w:val="18"/>
                <w:szCs w:val="18"/>
              </w:rPr>
              <w:t>）</w:t>
            </w:r>
          </w:p>
        </w:tc>
        <w:tc>
          <w:tcPr>
            <w:tcW w:w="149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17" w:space="0" w:color="000000"/>
              <w:left w:val="single" w:sz="6" w:space="0" w:color="000000"/>
              <w:bottom w:val="single" w:sz="6" w:space="0" w:color="000000"/>
              <w:right w:val="single" w:sz="6" w:space="0" w:color="000000"/>
            </w:tcBorders>
          </w:tcPr>
          <w:p>
            <w:pPr>
              <w:pStyle w:val="TableParagraph"/>
              <w:spacing w:line="217" w:lineRule="exact"/>
              <w:ind w:left="6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59" w:type="dxa"/>
            <w:tcBorders>
              <w:top w:val="single" w:sz="17" w:space="0" w:color="000000"/>
              <w:left w:val="single" w:sz="6" w:space="0" w:color="000000"/>
              <w:bottom w:val="single" w:sz="6" w:space="0" w:color="000000"/>
              <w:right w:val="nil" w:sz="6" w:space="0" w:color="auto"/>
            </w:tcBorders>
          </w:tcPr>
          <w:p>
            <w:pPr/>
          </w:p>
        </w:tc>
      </w:tr>
      <w:tr>
        <w:trPr>
          <w:trHeight w:val="497"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w:t>
            </w:r>
            <w:r>
              <w:rPr>
                <w:rFonts w:ascii="宋体" w:hAnsi="宋体" w:cs="宋体" w:eastAsia="宋体" w:hint="default"/>
                <w:sz w:val="18"/>
                <w:szCs w:val="18"/>
              </w:rPr>
              <w:t> 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53,640,538.54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52" w:right="0"/>
              <w:jc w:val="left"/>
              <w:rPr>
                <w:rFonts w:ascii="Arial" w:hAnsi="Arial" w:cs="Arial" w:eastAsia="Arial" w:hint="default"/>
                <w:sz w:val="18"/>
                <w:szCs w:val="18"/>
              </w:rPr>
            </w:pPr>
            <w:r>
              <w:rPr>
                <w:rFonts w:ascii="Arial"/>
                <w:sz w:val="18"/>
              </w:rPr>
              <w:t>59.01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53,640,538.54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5"/>
              <w:jc w:val="right"/>
              <w:rPr>
                <w:rFonts w:ascii="Arial" w:hAnsi="Arial" w:cs="Arial" w:eastAsia="Arial" w:hint="default"/>
                <w:sz w:val="18"/>
                <w:szCs w:val="18"/>
              </w:rPr>
            </w:pPr>
            <w:r>
              <w:rPr>
                <w:rFonts w:ascii="Arial"/>
                <w:spacing w:val="-1"/>
                <w:sz w:val="18"/>
              </w:rPr>
              <w:t>100.00</w:t>
            </w:r>
          </w:p>
        </w:tc>
        <w:tc>
          <w:tcPr>
            <w:tcW w:w="145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w:t>
            </w:r>
            <w:r>
              <w:rPr>
                <w:rFonts w:ascii="宋体" w:hAnsi="宋体" w:cs="宋体" w:eastAsia="宋体" w:hint="default"/>
                <w:sz w:val="18"/>
                <w:szCs w:val="18"/>
              </w:rPr>
              <w:t> 提坏账准备的其他应收款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3,456,491.16</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w w:val="95"/>
                <w:sz w:val="18"/>
              </w:rPr>
              <w:t>3.80</w:t>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3,456,491.16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100.00</w:t>
            </w:r>
          </w:p>
        </w:tc>
        <w:tc>
          <w:tcPr>
            <w:tcW w:w="145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按组合计提坏账准备的其他</w:t>
            </w:r>
            <w:r>
              <w:rPr>
                <w:rFonts w:ascii="宋体" w:hAnsi="宋体" w:cs="宋体" w:eastAsia="宋体" w:hint="default"/>
                <w:sz w:val="18"/>
                <w:szCs w:val="18"/>
              </w:rPr>
              <w:t> 应收款：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98"/>
              <w:jc w:val="righ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33,809,754.00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2" w:right="0"/>
              <w:jc w:val="left"/>
              <w:rPr>
                <w:rFonts w:ascii="Arial" w:hAnsi="Arial" w:cs="Arial" w:eastAsia="Arial" w:hint="default"/>
                <w:sz w:val="18"/>
                <w:szCs w:val="18"/>
              </w:rPr>
            </w:pPr>
            <w:r>
              <w:rPr>
                <w:rFonts w:ascii="Arial"/>
                <w:sz w:val="18"/>
              </w:rPr>
              <w:t>37.19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4,127,114.59</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w w:val="95"/>
                <w:sz w:val="18"/>
              </w:rPr>
              <w:t>12.21</w:t>
            </w:r>
            <w:r>
              <w:rPr>
                <w:rFonts w:ascii="Arial"/>
                <w:sz w:val="18"/>
              </w:rPr>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spacing w:val="-1"/>
                <w:sz w:val="18"/>
              </w:rPr>
              <w:t>29,682,639.41</w:t>
            </w: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8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90,906,783.70</w:t>
            </w:r>
            <w:r>
              <w:rPr>
                <w:rFonts w:ascii="Arial"/>
                <w:b/>
                <w:spacing w:val="-1"/>
                <w:sz w:val="18"/>
              </w:rPr>
            </w:r>
            <w:r>
              <w:rPr>
                <w:rFonts w:ascii="Arial"/>
                <w:spacing w:val="-1"/>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4" w:right="0"/>
              <w:jc w:val="left"/>
              <w:rPr>
                <w:rFonts w:ascii="Arial" w:hAnsi="Arial" w:cs="Arial" w:eastAsia="Arial" w:hint="default"/>
                <w:sz w:val="18"/>
                <w:szCs w:val="18"/>
              </w:rPr>
            </w:pPr>
            <w:r>
              <w:rPr>
                <w:rFonts w:ascii="Arial"/>
                <w:b/>
                <w:w w:val="99"/>
                <w:sz w:val="18"/>
              </w:rPr>
            </w:r>
            <w:r>
              <w:rPr>
                <w:rFonts w:ascii="Arial"/>
                <w:b/>
                <w:sz w:val="18"/>
                <w:u w:val="single" w:color="000000"/>
              </w:rPr>
              <w:t>100.00</w:t>
            </w:r>
            <w:r>
              <w:rPr>
                <w:rFonts w:ascii="Arial"/>
                <w:b/>
                <w:sz w:val="18"/>
              </w:rPr>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61,224,144.29</w:t>
            </w:r>
            <w:r>
              <w:rPr>
                <w:rFonts w:ascii="Arial"/>
                <w:b/>
                <w:spacing w:val="-1"/>
                <w:sz w:val="18"/>
              </w:rPr>
            </w:r>
            <w:r>
              <w:rPr>
                <w:rFonts w:ascii="Arial"/>
                <w:spacing w:val="-1"/>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w w:val="95"/>
                <w:sz w:val="18"/>
                <w:u w:val="single" w:color="000000"/>
              </w:rPr>
              <w:t>67.35</w:t>
            </w:r>
            <w:r>
              <w:rPr>
                <w:rFonts w:ascii="Arial"/>
                <w:b/>
                <w:w w:val="95"/>
                <w:sz w:val="18"/>
              </w:rPr>
            </w:r>
            <w:r>
              <w:rPr>
                <w:rFonts w:ascii="Arial"/>
                <w:sz w:val="18"/>
              </w:rPr>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29,682,639.41</w:t>
            </w:r>
            <w:r>
              <w:rPr>
                <w:rFonts w:ascii="Arial"/>
                <w:b/>
                <w:spacing w:val="-1"/>
                <w:sz w:val="18"/>
              </w:rPr>
            </w:r>
            <w:r>
              <w:rPr>
                <w:rFonts w:ascii="Arial"/>
                <w:spacing w:val="-1"/>
                <w:sz w:val="18"/>
              </w:rPr>
            </w:r>
          </w:p>
        </w:tc>
      </w:tr>
      <w:tr>
        <w:trPr>
          <w:trHeight w:val="355" w:hRule="exact"/>
        </w:trPr>
        <w:tc>
          <w:tcPr>
            <w:tcW w:w="264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2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641" w:type="dxa"/>
            <w:vMerge/>
            <w:tcBorders>
              <w:left w:val="nil" w:sz="6" w:space="0" w:color="auto"/>
              <w:right w:val="single" w:sz="6" w:space="0" w:color="000000"/>
            </w:tcBorders>
          </w:tcPr>
          <w:p>
            <w:pPr/>
          </w:p>
        </w:tc>
        <w:tc>
          <w:tcPr>
            <w:tcW w:w="24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vMerge w:val="restart"/>
            <w:tcBorders>
              <w:top w:val="single" w:sz="6"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4" w:hRule="exact"/>
        </w:trPr>
        <w:tc>
          <w:tcPr>
            <w:tcW w:w="2641" w:type="dxa"/>
            <w:vMerge/>
            <w:tcBorders>
              <w:left w:val="nil" w:sz="6" w:space="0" w:color="auto"/>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Arial" w:hAnsi="Arial" w:cs="Arial" w:eastAsia="Arial" w:hint="default"/>
                <w:spacing w:val="1"/>
                <w:w w:val="99"/>
                <w:sz w:val="18"/>
                <w:szCs w:val="18"/>
              </w:rPr>
              <w:t>%</w:t>
            </w:r>
            <w:r>
              <w:rPr>
                <w:rFonts w:ascii="宋体" w:hAnsi="宋体" w:cs="宋体" w:eastAsia="宋体" w:hint="default"/>
                <w:sz w:val="18"/>
                <w:szCs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6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59" w:type="dxa"/>
            <w:vMerge/>
            <w:tcBorders>
              <w:left w:val="single" w:sz="6" w:space="0" w:color="000000"/>
              <w:bottom w:val="single" w:sz="6" w:space="0" w:color="000000"/>
              <w:right w:val="nil" w:sz="6" w:space="0" w:color="auto"/>
            </w:tcBorders>
          </w:tcPr>
          <w:p>
            <w:pPr/>
          </w:p>
        </w:tc>
      </w:tr>
      <w:tr>
        <w:trPr>
          <w:trHeight w:val="49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227"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w:t>
            </w:r>
          </w:p>
          <w:p>
            <w:pPr>
              <w:pStyle w:val="TableParagraph"/>
              <w:spacing w:line="240" w:lineRule="auto" w:before="5"/>
              <w:ind w:left="227"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44,028,961.40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52" w:right="0"/>
              <w:jc w:val="left"/>
              <w:rPr>
                <w:rFonts w:ascii="Arial" w:hAnsi="Arial" w:cs="Arial" w:eastAsia="Arial" w:hint="default"/>
                <w:sz w:val="18"/>
                <w:szCs w:val="18"/>
              </w:rPr>
            </w:pPr>
            <w:r>
              <w:rPr>
                <w:rFonts w:ascii="Arial"/>
                <w:sz w:val="18"/>
              </w:rPr>
              <w:t>24.61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41,500,000.00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w w:val="95"/>
                <w:sz w:val="18"/>
              </w:rPr>
              <w:t>94.26</w:t>
            </w:r>
            <w:r>
              <w:rPr>
                <w:rFonts w:ascii="Arial"/>
                <w:sz w:val="18"/>
              </w:rPr>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2,528,961.40</w:t>
            </w:r>
          </w:p>
        </w:tc>
      </w:tr>
      <w:tr>
        <w:trPr>
          <w:trHeight w:val="497"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w:t>
            </w:r>
            <w:r>
              <w:rPr>
                <w:rFonts w:ascii="宋体" w:hAnsi="宋体" w:cs="宋体" w:eastAsia="宋体" w:hint="default"/>
                <w:sz w:val="18"/>
                <w:szCs w:val="18"/>
              </w:rPr>
              <w:t> 提坏账准备的其他应收款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4,794,519.41</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Arial" w:hAnsi="Arial" w:cs="Arial" w:eastAsia="Arial" w:hint="default"/>
                <w:sz w:val="18"/>
                <w:szCs w:val="18"/>
              </w:rPr>
            </w:pPr>
            <w:r>
              <w:rPr>
                <w:rFonts w:ascii="Arial"/>
                <w:w w:val="95"/>
                <w:sz w:val="18"/>
              </w:rPr>
              <w:t>2.68</w:t>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2"/>
                <w:sz w:val="18"/>
              </w:rPr>
              <w:t>4,115,714.60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Arial" w:hAnsi="Arial" w:cs="Arial" w:eastAsia="Arial" w:hint="default"/>
                <w:sz w:val="18"/>
                <w:szCs w:val="18"/>
              </w:rPr>
            </w:pPr>
            <w:r>
              <w:rPr>
                <w:rFonts w:ascii="Arial"/>
                <w:sz w:val="18"/>
              </w:rPr>
              <w:t>85.84</w:t>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678,804.81</w:t>
            </w: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按组合计提坏账准备的其他</w:t>
            </w:r>
            <w:r>
              <w:rPr>
                <w:rFonts w:ascii="宋体" w:hAnsi="宋体" w:cs="宋体" w:eastAsia="宋体" w:hint="default"/>
                <w:sz w:val="18"/>
                <w:szCs w:val="18"/>
              </w:rPr>
              <w:t> 应收款：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98"/>
              <w:jc w:val="righ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130,081,945.49</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2" w:right="0"/>
              <w:jc w:val="left"/>
              <w:rPr>
                <w:rFonts w:ascii="Arial" w:hAnsi="Arial" w:cs="Arial" w:eastAsia="Arial" w:hint="default"/>
                <w:sz w:val="18"/>
                <w:szCs w:val="18"/>
              </w:rPr>
            </w:pPr>
            <w:r>
              <w:rPr>
                <w:rFonts w:ascii="Arial"/>
                <w:sz w:val="18"/>
              </w:rPr>
              <w:t>72.71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14,513,349.02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3"/>
                <w:sz w:val="18"/>
              </w:rPr>
              <w:t>11.16</w:t>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2"/>
                <w:sz w:val="18"/>
              </w:rPr>
              <w:t>115,568,596.47</w:t>
            </w:r>
          </w:p>
        </w:tc>
      </w:tr>
      <w:tr>
        <w:trPr>
          <w:trHeight w:val="362" w:hRule="exact"/>
        </w:trPr>
        <w:tc>
          <w:tcPr>
            <w:tcW w:w="26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right="98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178,905,426.30</w:t>
            </w:r>
            <w:r>
              <w:rPr>
                <w:rFonts w:ascii="Arial"/>
                <w:b/>
                <w:spacing w:val="-1"/>
                <w:sz w:val="18"/>
              </w:rPr>
            </w:r>
            <w:r>
              <w:rPr>
                <w:rFonts w:ascii="Arial"/>
                <w:spacing w:val="-1"/>
                <w:sz w:val="18"/>
              </w:rPr>
            </w:r>
          </w:p>
        </w:tc>
        <w:tc>
          <w:tcPr>
            <w:tcW w:w="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54" w:right="0"/>
              <w:jc w:val="left"/>
              <w:rPr>
                <w:rFonts w:ascii="Arial" w:hAnsi="Arial" w:cs="Arial" w:eastAsia="Arial" w:hint="default"/>
                <w:sz w:val="18"/>
                <w:szCs w:val="18"/>
              </w:rPr>
            </w:pPr>
            <w:r>
              <w:rPr>
                <w:rFonts w:ascii="Arial"/>
                <w:b/>
                <w:w w:val="99"/>
                <w:sz w:val="18"/>
              </w:rPr>
            </w:r>
            <w:r>
              <w:rPr>
                <w:rFonts w:ascii="Arial"/>
                <w:b/>
                <w:sz w:val="18"/>
                <w:u w:val="single" w:color="000000"/>
              </w:rPr>
              <w:t>100.00</w:t>
            </w:r>
            <w:r>
              <w:rPr>
                <w:rFonts w:ascii="Arial"/>
                <w:b/>
                <w:sz w:val="18"/>
              </w:rPr>
            </w:r>
            <w:r>
              <w:rPr>
                <w:rFonts w:ascii="Arial"/>
                <w:sz w:val="18"/>
              </w:rPr>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60,129,063.62</w:t>
            </w:r>
            <w:r>
              <w:rPr>
                <w:rFonts w:ascii="Arial"/>
                <w:b/>
                <w:spacing w:val="-1"/>
                <w:sz w:val="18"/>
              </w:rPr>
            </w:r>
            <w:r>
              <w:rPr>
                <w:rFonts w:ascii="Arial"/>
                <w:spacing w:val="-1"/>
                <w:sz w:val="18"/>
              </w:rPr>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w w:val="95"/>
                <w:sz w:val="18"/>
                <w:u w:val="single" w:color="000000"/>
              </w:rPr>
              <w:t>33.61</w:t>
            </w:r>
            <w:r>
              <w:rPr>
                <w:rFonts w:ascii="Arial"/>
                <w:b/>
                <w:w w:val="95"/>
                <w:sz w:val="18"/>
              </w:rPr>
            </w:r>
            <w:r>
              <w:rPr>
                <w:rFonts w:ascii="Arial"/>
                <w:sz w:val="18"/>
              </w:rPr>
            </w:r>
          </w:p>
        </w:tc>
        <w:tc>
          <w:tcPr>
            <w:tcW w:w="14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2"/>
                <w:sz w:val="18"/>
                <w:u w:val="single" w:color="000000"/>
              </w:rPr>
              <w:t>118,776,362.68</w:t>
            </w:r>
            <w:r>
              <w:rPr>
                <w:rFonts w:ascii="Arial"/>
                <w:b/>
                <w:spacing w:val="-2"/>
                <w:sz w:val="18"/>
              </w:rPr>
            </w:r>
            <w:r>
              <w:rPr>
                <w:rFonts w:ascii="Arial"/>
                <w:spacing w:val="-2"/>
                <w:sz w:val="18"/>
              </w:rPr>
            </w:r>
          </w:p>
        </w:tc>
      </w:tr>
    </w:tbl>
    <w:p>
      <w:pPr>
        <w:pStyle w:val="BodyText"/>
        <w:spacing w:line="240" w:lineRule="auto" w:before="86"/>
        <w:ind w:left="580" w:right="1326"/>
        <w:jc w:val="left"/>
      </w:pPr>
      <w:r>
        <w:rPr/>
        <w:t>组合中，按账龄分析法计提坏账准备的其他应收款：</w:t>
      </w:r>
    </w:p>
    <w:p>
      <w:pPr>
        <w:spacing w:line="240" w:lineRule="auto" w:before="2"/>
        <w:rPr>
          <w:rFonts w:ascii="宋体" w:hAnsi="宋体" w:cs="宋体" w:eastAsia="宋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6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17,440,824.36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51.58</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4"/>
              <w:jc w:val="right"/>
              <w:rPr>
                <w:rFonts w:ascii="Arial" w:hAnsi="Arial" w:cs="Arial" w:eastAsia="Arial" w:hint="default"/>
                <w:sz w:val="18"/>
                <w:szCs w:val="18"/>
              </w:rPr>
            </w:pPr>
            <w:r>
              <w:rPr>
                <w:rFonts w:ascii="Arial"/>
                <w:spacing w:val="-1"/>
                <w:sz w:val="18"/>
              </w:rPr>
              <w:t>872,041.22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16,568,783.14</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3,234,444.52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9.57</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323,444.45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2"/>
                <w:sz w:val="18"/>
              </w:rPr>
              <w:t>2,911,000.07</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6,724,777.41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19.89</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1,008,716.61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5,716,060.80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6,409,707.71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18.96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1,922,912.31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4,486,795.40</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33,809,754.00</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b/>
                <w:w w:val="99"/>
                <w:sz w:val="18"/>
              </w:rPr>
            </w:r>
            <w:r>
              <w:rPr>
                <w:rFonts w:ascii="Arial"/>
                <w:b/>
                <w:spacing w:val="-2"/>
                <w:sz w:val="18"/>
                <w:u w:val="single" w:color="000000"/>
              </w:rPr>
              <w:t>4,127,114.59</w:t>
            </w:r>
            <w:r>
              <w:rPr>
                <w:rFonts w:ascii="Arial"/>
                <w:b/>
                <w:spacing w:val="-2"/>
                <w:sz w:val="18"/>
              </w:rPr>
            </w:r>
            <w:r>
              <w:rPr>
                <w:rFonts w:ascii="Arial"/>
                <w:spacing w:val="-2"/>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29,682,639.41</w:t>
            </w:r>
            <w:r>
              <w:rPr>
                <w:rFonts w:ascii="Arial"/>
                <w:b/>
                <w:spacing w:val="-1"/>
                <w:sz w:val="18"/>
              </w:rPr>
            </w:r>
            <w:r>
              <w:rPr>
                <w:rFonts w:ascii="Arial"/>
                <w:spacing w:val="-1"/>
                <w:sz w:val="18"/>
              </w:rPr>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81,758,853.45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62.85</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3,642,264.14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2"/>
                <w:sz w:val="18"/>
              </w:rPr>
              <w:t>78,116,589.31</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22,802,180.49</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17.53</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3,181,820.28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19,620,360.21</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4,760,583.50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3.66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835,882.84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3,924,700.66</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20,760,328.05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15.96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6,853,381.76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13,906,946.29</w:t>
            </w:r>
          </w:p>
        </w:tc>
      </w:tr>
      <w:tr>
        <w:trPr>
          <w:trHeight w:val="362"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130,081,945.49</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14,513,349.02</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2"/>
                <w:sz w:val="18"/>
                <w:u w:val="single" w:color="000000"/>
              </w:rPr>
              <w:t>115,568,596.47</w:t>
            </w:r>
            <w:r>
              <w:rPr>
                <w:rFonts w:ascii="Arial"/>
                <w:b/>
                <w:spacing w:val="-2"/>
                <w:sz w:val="18"/>
              </w:rPr>
            </w:r>
            <w:r>
              <w:rPr>
                <w:rFonts w:ascii="Arial"/>
                <w:spacing w:val="-2"/>
                <w:sz w:val="18"/>
              </w:rPr>
            </w:r>
          </w:p>
        </w:tc>
      </w:tr>
    </w:tbl>
    <w:p>
      <w:pPr>
        <w:pStyle w:val="BodyText"/>
        <w:spacing w:line="357" w:lineRule="auto" w:before="86"/>
        <w:ind w:left="160" w:right="1326" w:firstLine="420"/>
        <w:jc w:val="left"/>
      </w:pPr>
      <w:r>
        <w:rPr>
          <w:spacing w:val="-2"/>
        </w:rPr>
        <w:t>年末单项金额重大并单项计提坏账准备或单项金额虽不重大但单项计提坏账准备的其他应收</w:t>
      </w:r>
      <w:r>
        <w:rPr>
          <w:w w:val="100"/>
        </w:rPr>
        <w:t> </w:t>
      </w:r>
      <w:r>
        <w:rPr/>
        <w:t>款：</w:t>
      </w:r>
    </w:p>
    <w:p>
      <w:pPr>
        <w:spacing w:line="240" w:lineRule="auto" w:before="4"/>
        <w:rPr>
          <w:rFonts w:ascii="宋体" w:hAnsi="宋体" w:cs="宋体" w:eastAsia="宋体" w:hint="default"/>
          <w:sz w:val="14"/>
          <w:szCs w:val="14"/>
        </w:rPr>
      </w:pPr>
    </w:p>
    <w:tbl>
      <w:tblPr>
        <w:tblW w:w="0" w:type="auto"/>
        <w:jc w:val="left"/>
        <w:tblInd w:w="222" w:type="dxa"/>
        <w:tblLayout w:type="fixed"/>
        <w:tblCellMar>
          <w:top w:w="0" w:type="dxa"/>
          <w:left w:w="0" w:type="dxa"/>
          <w:bottom w:w="0" w:type="dxa"/>
          <w:right w:w="0" w:type="dxa"/>
        </w:tblCellMar>
        <w:tblLook w:val="01E0"/>
      </w:tblPr>
      <w:tblGrid>
        <w:gridCol w:w="2801"/>
        <w:gridCol w:w="1819"/>
        <w:gridCol w:w="1834"/>
        <w:gridCol w:w="1275"/>
        <w:gridCol w:w="1130"/>
      </w:tblGrid>
      <w:tr>
        <w:trPr>
          <w:trHeight w:val="502" w:hRule="exact"/>
        </w:trPr>
        <w:tc>
          <w:tcPr>
            <w:tcW w:w="280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1"/>
              <w:ind w:left="77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18"/>
                <w:szCs w:val="18"/>
              </w:rPr>
            </w:pPr>
            <w:r>
              <w:rPr>
                <w:rFonts w:ascii="宋体" w:hAnsi="宋体" w:cs="宋体" w:eastAsia="宋体" w:hint="default"/>
                <w:sz w:val="18"/>
                <w:szCs w:val="18"/>
              </w:rPr>
              <w:t>年末账面金额</w:t>
            </w:r>
          </w:p>
        </w:tc>
        <w:tc>
          <w:tcPr>
            <w:tcW w:w="1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left="376"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355" w:hRule="exact"/>
        </w:trPr>
        <w:tc>
          <w:tcPr>
            <w:tcW w:w="28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12,528,961.40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12,528,961.40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100</w:t>
            </w:r>
          </w:p>
        </w:tc>
        <w:tc>
          <w:tcPr>
            <w:tcW w:w="11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395"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r>
        <w:trPr>
          <w:trHeight w:val="362" w:hRule="exact"/>
        </w:trPr>
        <w:tc>
          <w:tcPr>
            <w:tcW w:w="280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10,061,577.14</w:t>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10,061,577.14</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100</w:t>
            </w:r>
          </w:p>
        </w:tc>
        <w:tc>
          <w:tcPr>
            <w:tcW w:w="11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left="395"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bl>
    <w:p>
      <w:pPr>
        <w:spacing w:after="0" w:line="240" w:lineRule="auto"/>
        <w:jc w:val="lef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07"/>
        <w:gridCol w:w="1819"/>
        <w:gridCol w:w="1834"/>
        <w:gridCol w:w="1275"/>
        <w:gridCol w:w="1130"/>
      </w:tblGrid>
      <w:tr>
        <w:trPr>
          <w:trHeight w:val="370" w:hRule="exact"/>
        </w:trPr>
        <w:tc>
          <w:tcPr>
            <w:tcW w:w="290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重庆金三角实业总公司</w:t>
            </w:r>
          </w:p>
        </w:tc>
        <w:tc>
          <w:tcPr>
            <w:tcW w:w="181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28,500,000.00</w:t>
            </w:r>
          </w:p>
        </w:tc>
        <w:tc>
          <w:tcPr>
            <w:tcW w:w="183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28,500,000.00</w:t>
            </w:r>
          </w:p>
        </w:tc>
        <w:tc>
          <w:tcPr>
            <w:tcW w:w="12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100</w:t>
            </w:r>
          </w:p>
        </w:tc>
        <w:tc>
          <w:tcPr>
            <w:tcW w:w="113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2"/>
              <w:ind w:right="3"/>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56" w:hRule="exact"/>
        </w:trPr>
        <w:tc>
          <w:tcPr>
            <w:tcW w:w="29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西藏中科生物技术开发有限公司</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Arial" w:hAnsi="Arial" w:cs="Arial" w:eastAsia="Arial" w:hint="default"/>
                <w:sz w:val="18"/>
                <w:szCs w:val="18"/>
              </w:rPr>
            </w:pPr>
            <w:r>
              <w:rPr>
                <w:rFonts w:ascii="Arial"/>
                <w:spacing w:val="-1"/>
                <w:sz w:val="18"/>
              </w:rPr>
              <w:t>2,550,000.00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2,550,000.00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Arial" w:hAnsi="Arial" w:cs="Arial" w:eastAsia="Arial" w:hint="default"/>
                <w:sz w:val="18"/>
                <w:szCs w:val="18"/>
              </w:rPr>
            </w:pPr>
            <w:r>
              <w:rPr>
                <w:rFonts w:ascii="Arial"/>
                <w:sz w:val="18"/>
              </w:rPr>
              <w:t>100</w:t>
            </w:r>
          </w:p>
        </w:tc>
        <w:tc>
          <w:tcPr>
            <w:tcW w:w="11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3"/>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55" w:hRule="exact"/>
        </w:trPr>
        <w:tc>
          <w:tcPr>
            <w:tcW w:w="29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其它单位</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3,456,491.16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3,456,491.16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100</w:t>
            </w:r>
          </w:p>
        </w:tc>
        <w:tc>
          <w:tcPr>
            <w:tcW w:w="11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3"/>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r>
        <w:trPr>
          <w:trHeight w:val="362" w:hRule="exact"/>
        </w:trPr>
        <w:tc>
          <w:tcPr>
            <w:tcW w:w="29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57,097,029.70</w:t>
            </w:r>
            <w:r>
              <w:rPr>
                <w:rFonts w:ascii="Arial"/>
                <w:b/>
                <w:spacing w:val="-1"/>
                <w:sz w:val="18"/>
              </w:rPr>
            </w:r>
            <w:r>
              <w:rPr>
                <w:rFonts w:ascii="Arial"/>
                <w:spacing w:val="-1"/>
                <w:sz w:val="18"/>
              </w:rPr>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57,097,029.70</w:t>
            </w:r>
            <w:r>
              <w:rPr>
                <w:rFonts w:ascii="Arial"/>
                <w:b/>
                <w:spacing w:val="-1"/>
                <w:sz w:val="18"/>
              </w:rPr>
            </w:r>
            <w:r>
              <w:rPr>
                <w:rFonts w:ascii="Arial"/>
                <w:spacing w:val="-1"/>
                <w:sz w:val="18"/>
              </w:rPr>
            </w:r>
          </w:p>
        </w:tc>
        <w:tc>
          <w:tcPr>
            <w:tcW w:w="1275" w:type="dxa"/>
            <w:tcBorders>
              <w:top w:val="single" w:sz="6" w:space="0" w:color="000000"/>
              <w:left w:val="single" w:sz="6" w:space="0" w:color="000000"/>
              <w:bottom w:val="single" w:sz="12" w:space="0" w:color="000000"/>
              <w:right w:val="single" w:sz="6" w:space="0" w:color="000000"/>
            </w:tcBorders>
          </w:tcPr>
          <w:p>
            <w:pPr/>
          </w:p>
        </w:tc>
        <w:tc>
          <w:tcPr>
            <w:tcW w:w="1130" w:type="dxa"/>
            <w:tcBorders>
              <w:top w:val="single" w:sz="6" w:space="0" w:color="000000"/>
              <w:left w:val="single" w:sz="6" w:space="0" w:color="000000"/>
              <w:bottom w:val="single" w:sz="12" w:space="0" w:color="000000"/>
              <w:right w:val="nil" w:sz="6" w:space="0" w:color="auto"/>
            </w:tcBorders>
          </w:tcPr>
          <w:p>
            <w:pPr/>
          </w:p>
        </w:tc>
      </w:tr>
    </w:tbl>
    <w:p>
      <w:pPr>
        <w:pStyle w:val="BodyText"/>
        <w:spacing w:line="340" w:lineRule="auto" w:before="86"/>
        <w:ind w:left="160" w:right="1431" w:firstLine="420"/>
        <w:jc w:val="both"/>
      </w:pPr>
      <w:r>
        <w:rPr/>
        <w:t>注</w:t>
      </w:r>
      <w:r>
        <w:rPr>
          <w:spacing w:val="-33"/>
        </w:rPr>
        <w:t> </w:t>
      </w:r>
      <w:r>
        <w:rPr>
          <w:rFonts w:ascii="Arial" w:hAnsi="Arial" w:cs="Arial" w:eastAsia="Arial" w:hint="default"/>
          <w:spacing w:val="-3"/>
        </w:rPr>
        <w:t>1</w:t>
      </w:r>
      <w:r>
        <w:rPr>
          <w:spacing w:val="-3"/>
        </w:rPr>
        <w:t>：公司上年对应收重庆福瑞制药有限公司欠款</w:t>
      </w:r>
      <w:r>
        <w:rPr>
          <w:spacing w:val="-36"/>
        </w:rPr>
        <w:t> </w:t>
      </w:r>
      <w:r>
        <w:rPr>
          <w:rFonts w:ascii="Arial" w:hAnsi="Arial" w:cs="Arial" w:eastAsia="Arial" w:hint="default"/>
        </w:rPr>
        <w:t>1,252.90</w:t>
      </w:r>
      <w:r>
        <w:rPr>
          <w:rFonts w:ascii="Arial" w:hAnsi="Arial" w:cs="Arial" w:eastAsia="Arial" w:hint="default"/>
          <w:spacing w:val="14"/>
        </w:rPr>
        <w:t> </w:t>
      </w:r>
      <w:r>
        <w:rPr>
          <w:spacing w:val="-4"/>
        </w:rPr>
        <w:t>万元，单独进行减值测试，预计能</w:t>
      </w:r>
      <w:r>
        <w:rPr>
          <w:w w:val="100"/>
        </w:rPr>
        <w:t> </w:t>
      </w:r>
      <w:r>
        <w:rPr/>
        <w:t>收回的金额较少，已按</w:t>
      </w:r>
      <w:r>
        <w:rPr>
          <w:spacing w:val="-33"/>
        </w:rPr>
        <w:t> </w:t>
      </w:r>
      <w:r>
        <w:rPr>
          <w:rFonts w:ascii="Arial" w:hAnsi="Arial" w:cs="Arial" w:eastAsia="Arial" w:hint="default"/>
        </w:rPr>
        <w:t>80%</w:t>
      </w:r>
      <w:r>
        <w:rPr/>
        <w:t>的比例单项计提坏账准备</w:t>
      </w:r>
      <w:r>
        <w:rPr>
          <w:spacing w:val="-31"/>
        </w:rPr>
        <w:t> </w:t>
      </w:r>
      <w:r>
        <w:rPr>
          <w:rFonts w:ascii="Arial" w:hAnsi="Arial" w:cs="Arial" w:eastAsia="Arial" w:hint="default"/>
        </w:rPr>
        <w:t>1,000.00</w:t>
      </w:r>
      <w:r>
        <w:rPr>
          <w:rFonts w:ascii="Arial" w:hAnsi="Arial" w:cs="Arial" w:eastAsia="Arial" w:hint="default"/>
          <w:spacing w:val="14"/>
        </w:rPr>
        <w:t> </w:t>
      </w:r>
      <w:r>
        <w:rPr/>
        <w:t>万元，本年该款项收回的可能性仍</w:t>
      </w:r>
      <w:r>
        <w:rPr>
          <w:w w:val="100"/>
        </w:rPr>
        <w:t> </w:t>
      </w:r>
      <w:r>
        <w:rPr/>
        <w:t>较小，故对剩余</w:t>
      </w:r>
      <w:r>
        <w:rPr>
          <w:spacing w:val="-53"/>
        </w:rPr>
        <w:t> </w:t>
      </w:r>
      <w:r>
        <w:rPr>
          <w:rFonts w:ascii="Arial" w:hAnsi="Arial" w:cs="Arial" w:eastAsia="Arial" w:hint="default"/>
        </w:rPr>
        <w:t>20%</w:t>
      </w:r>
      <w:r>
        <w:rPr/>
        <w:t>款项全额计提坏账准备。</w:t>
      </w:r>
    </w:p>
    <w:p>
      <w:pPr>
        <w:pStyle w:val="BodyText"/>
        <w:spacing w:line="340" w:lineRule="auto" w:before="139"/>
        <w:ind w:left="160" w:right="1433" w:firstLine="420"/>
        <w:jc w:val="both"/>
      </w:pPr>
      <w:r>
        <w:rPr/>
        <w:t>注</w:t>
      </w:r>
      <w:r>
        <w:rPr>
          <w:spacing w:val="-38"/>
        </w:rPr>
        <w:t> </w:t>
      </w:r>
      <w:r>
        <w:rPr>
          <w:rFonts w:ascii="Arial" w:hAnsi="Arial" w:cs="Arial" w:eastAsia="Arial" w:hint="default"/>
          <w:spacing w:val="-3"/>
        </w:rPr>
        <w:t>2</w:t>
      </w:r>
      <w:r>
        <w:rPr>
          <w:spacing w:val="-3"/>
        </w:rPr>
        <w:t>：公司对已支付美国华盛顿大学款项</w:t>
      </w:r>
      <w:r>
        <w:rPr>
          <w:spacing w:val="-38"/>
        </w:rPr>
        <w:t> </w:t>
      </w:r>
      <w:r>
        <w:rPr>
          <w:rFonts w:ascii="Arial" w:hAnsi="Arial" w:cs="Arial" w:eastAsia="Arial" w:hint="default"/>
        </w:rPr>
        <w:t>1,006.16</w:t>
      </w:r>
      <w:r>
        <w:rPr>
          <w:rFonts w:ascii="Arial" w:hAnsi="Arial" w:cs="Arial" w:eastAsia="Arial" w:hint="default"/>
          <w:spacing w:val="7"/>
        </w:rPr>
        <w:t> </w:t>
      </w:r>
      <w:r>
        <w:rPr>
          <w:spacing w:val="-3"/>
        </w:rPr>
        <w:t>万元单独进行减值测试，有证据表明这些款</w:t>
      </w:r>
      <w:r>
        <w:rPr>
          <w:w w:val="100"/>
        </w:rPr>
        <w:t> </w:t>
      </w:r>
      <w:r>
        <w:rPr/>
        <w:t>项已无法收回，本年对其全额计提坏账准备。</w:t>
      </w:r>
    </w:p>
    <w:p>
      <w:pPr>
        <w:pStyle w:val="BodyText"/>
        <w:spacing w:line="340" w:lineRule="auto" w:before="165"/>
        <w:ind w:left="160" w:right="1431" w:firstLine="420"/>
        <w:jc w:val="both"/>
      </w:pPr>
      <w:r>
        <w:rPr/>
        <w:t>注</w:t>
      </w:r>
      <w:r>
        <w:rPr>
          <w:spacing w:val="-39"/>
        </w:rPr>
        <w:t> </w:t>
      </w:r>
      <w:r>
        <w:rPr>
          <w:rFonts w:ascii="Arial" w:hAnsi="Arial" w:cs="Arial" w:eastAsia="Arial" w:hint="default"/>
          <w:spacing w:val="-3"/>
        </w:rPr>
        <w:t>3</w:t>
      </w:r>
      <w:r>
        <w:rPr>
          <w:spacing w:val="-3"/>
        </w:rPr>
        <w:t>：公司对应收重庆金三角实业总公司欠款</w:t>
      </w:r>
      <w:r>
        <w:rPr>
          <w:spacing w:val="-39"/>
        </w:rPr>
        <w:t> </w:t>
      </w:r>
      <w:r>
        <w:rPr>
          <w:rFonts w:ascii="Arial" w:hAnsi="Arial" w:cs="Arial" w:eastAsia="Arial" w:hint="default"/>
        </w:rPr>
        <w:t>2,850.00</w:t>
      </w:r>
      <w:r>
        <w:rPr>
          <w:rFonts w:ascii="Arial" w:hAnsi="Arial" w:cs="Arial" w:eastAsia="Arial" w:hint="default"/>
          <w:spacing w:val="8"/>
        </w:rPr>
        <w:t> </w:t>
      </w:r>
      <w:r>
        <w:rPr>
          <w:spacing w:val="-3"/>
        </w:rPr>
        <w:t>万元，应收西藏中科生物技术开发有限</w:t>
      </w:r>
      <w:r>
        <w:rPr>
          <w:w w:val="100"/>
        </w:rPr>
        <w:t> </w:t>
      </w:r>
      <w:r>
        <w:rPr/>
        <w:t>公司欠款 </w:t>
      </w:r>
      <w:r>
        <w:rPr>
          <w:rFonts w:ascii="Arial" w:hAnsi="Arial" w:cs="Arial" w:eastAsia="Arial" w:hint="default"/>
        </w:rPr>
        <w:t>255.00</w:t>
      </w:r>
      <w:r>
        <w:rPr>
          <w:rFonts w:ascii="Arial" w:hAnsi="Arial" w:cs="Arial" w:eastAsia="Arial" w:hint="default"/>
          <w:spacing w:val="22"/>
        </w:rPr>
        <w:t> </w:t>
      </w:r>
      <w:r>
        <w:rPr/>
        <w:t>万元单独进行减值测试，有证据表明这些款项已无法收回，已于以前年度对其全</w:t>
      </w:r>
      <w:r>
        <w:rPr>
          <w:w w:val="100"/>
        </w:rPr>
        <w:t> </w:t>
      </w:r>
      <w:r>
        <w:rPr/>
        <w:t>额计提坏账准备。</w:t>
      </w:r>
    </w:p>
    <w:p>
      <w:pPr>
        <w:pStyle w:val="BodyText"/>
        <w:spacing w:line="340" w:lineRule="auto" w:before="165"/>
        <w:ind w:left="160" w:right="1431" w:firstLine="420"/>
        <w:jc w:val="both"/>
      </w:pPr>
      <w:r>
        <w:rPr/>
        <w:t>注</w:t>
      </w:r>
      <w:r>
        <w:rPr>
          <w:spacing w:val="-22"/>
        </w:rPr>
        <w:t> </w:t>
      </w:r>
      <w:r>
        <w:rPr>
          <w:rFonts w:ascii="Arial" w:hAnsi="Arial" w:cs="Arial" w:eastAsia="Arial" w:hint="default"/>
        </w:rPr>
        <w:t>4</w:t>
      </w:r>
      <w:r>
        <w:rPr/>
        <w:t>：公司对其它单项金额虽不重大，但单独进行减值测试，可收回性较小的款项计提减值准</w:t>
      </w:r>
      <w:r>
        <w:rPr>
          <w:w w:val="100"/>
        </w:rPr>
        <w:t> </w:t>
      </w:r>
      <w:r>
        <w:rPr/>
        <w:t>备共计</w:t>
      </w:r>
      <w:r>
        <w:rPr>
          <w:spacing w:val="-53"/>
        </w:rPr>
        <w:t> </w:t>
      </w:r>
      <w:r>
        <w:rPr>
          <w:rFonts w:ascii="Arial" w:hAnsi="Arial" w:cs="Arial" w:eastAsia="Arial" w:hint="default"/>
        </w:rPr>
        <w:t>345.65</w:t>
      </w:r>
      <w:r>
        <w:rPr>
          <w:rFonts w:ascii="Arial" w:hAnsi="Arial" w:cs="Arial" w:eastAsia="Arial" w:hint="default"/>
          <w:spacing w:val="-8"/>
        </w:rPr>
        <w:t> </w:t>
      </w:r>
      <w:r>
        <w:rPr/>
        <w:t>万元。</w:t>
      </w:r>
    </w:p>
    <w:p>
      <w:pPr>
        <w:pStyle w:val="BodyText"/>
        <w:spacing w:line="240" w:lineRule="auto" w:before="142"/>
        <w:ind w:left="580" w:right="735"/>
        <w:jc w:val="left"/>
      </w:pPr>
      <w:r>
        <w:rPr>
          <w:spacing w:val="-3"/>
        </w:rPr>
        <w:t>（</w:t>
      </w:r>
      <w:r>
        <w:rPr>
          <w:rFonts w:ascii="Arial" w:hAnsi="Arial" w:cs="Arial" w:eastAsia="Arial" w:hint="default"/>
          <w:spacing w:val="-3"/>
        </w:rPr>
        <w:t>2</w:t>
      </w:r>
      <w:r>
        <w:rPr>
          <w:spacing w:val="-3"/>
        </w:rPr>
        <w:t>）本报告期其他应收款中无应收持有本公司 </w:t>
      </w:r>
      <w:r>
        <w:rPr>
          <w:rFonts w:ascii="Arial" w:hAnsi="Arial" w:cs="Arial" w:eastAsia="Arial" w:hint="default"/>
          <w:spacing w:val="-10"/>
        </w:rPr>
        <w:t>5%</w:t>
      </w:r>
      <w:r>
        <w:rPr>
          <w:spacing w:val="-10"/>
        </w:rPr>
        <w:t>（含</w:t>
      </w:r>
      <w:r>
        <w:rPr>
          <w:spacing w:val="-36"/>
        </w:rPr>
        <w:t> </w:t>
      </w:r>
      <w:r>
        <w:rPr>
          <w:rFonts w:ascii="Arial" w:hAnsi="Arial" w:cs="Arial" w:eastAsia="Arial" w:hint="default"/>
          <w:spacing w:val="-4"/>
        </w:rPr>
        <w:t>5%</w:t>
      </w:r>
      <w:r>
        <w:rPr>
          <w:spacing w:val="-4"/>
        </w:rPr>
        <w:t>）以上表决权股份的股东单位欠款。</w:t>
      </w:r>
    </w:p>
    <w:p>
      <w:pPr>
        <w:spacing w:line="240" w:lineRule="auto" w:before="3"/>
        <w:rPr>
          <w:rFonts w:ascii="宋体" w:hAnsi="宋体" w:cs="宋体" w:eastAsia="宋体" w:hint="default"/>
          <w:sz w:val="18"/>
          <w:szCs w:val="18"/>
        </w:rPr>
      </w:pPr>
    </w:p>
    <w:p>
      <w:pPr>
        <w:pStyle w:val="BodyText"/>
        <w:spacing w:line="240" w:lineRule="auto"/>
        <w:ind w:left="580" w:right="1326"/>
        <w:jc w:val="left"/>
      </w:pPr>
      <w:r>
        <w:rPr/>
        <w:t>（</w:t>
      </w:r>
      <w:r>
        <w:rPr>
          <w:rFonts w:ascii="Arial" w:hAnsi="Arial" w:cs="Arial" w:eastAsia="Arial" w:hint="default"/>
        </w:rPr>
        <w:t>3</w:t>
      </w:r>
      <w:r>
        <w:rPr/>
        <w:t>）年末其他应收款前五名单位列示如下：</w:t>
      </w:r>
    </w:p>
    <w:p>
      <w:pPr>
        <w:spacing w:line="240" w:lineRule="auto" w:before="13"/>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696"/>
        <w:gridCol w:w="1253"/>
        <w:gridCol w:w="1371"/>
        <w:gridCol w:w="1397"/>
        <w:gridCol w:w="1112"/>
        <w:gridCol w:w="1246"/>
      </w:tblGrid>
      <w:tr>
        <w:trPr>
          <w:trHeight w:val="742" w:hRule="exact"/>
        </w:trPr>
        <w:tc>
          <w:tcPr>
            <w:tcW w:w="26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3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1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246"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65" w:right="170"/>
              <w:jc w:val="both"/>
              <w:rPr>
                <w:rFonts w:ascii="宋体" w:hAnsi="宋体" w:cs="宋体" w:eastAsia="宋体" w:hint="default"/>
                <w:sz w:val="18"/>
                <w:szCs w:val="18"/>
              </w:rPr>
            </w:pPr>
            <w:r>
              <w:rPr>
                <w:rFonts w:ascii="宋体" w:hAnsi="宋体" w:cs="宋体" w:eastAsia="宋体" w:hint="default"/>
                <w:sz w:val="18"/>
                <w:szCs w:val="18"/>
              </w:rPr>
              <w:t>占其他应收 款总额的比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重庆金三角实业总公司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28,500,000.00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31.35</w:t>
            </w:r>
            <w:r>
              <w:rPr>
                <w:rFonts w:ascii="Arial"/>
                <w:sz w:val="18"/>
              </w:rPr>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12,528,961.40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13.78</w:t>
            </w:r>
            <w:r>
              <w:rPr>
                <w:rFonts w:ascii="Arial"/>
                <w:sz w:val="18"/>
              </w:rPr>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预付款</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10,061,577.14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3"/>
                <w:sz w:val="18"/>
              </w:rPr>
              <w:t>11.07</w:t>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2"/>
                <w:sz w:val="18"/>
              </w:rPr>
              <w:t>4,011,508.25</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4.41</w:t>
            </w:r>
            <w:r>
              <w:rPr>
                <w:rFonts w:ascii="Arial"/>
                <w:sz w:val="18"/>
              </w:rPr>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中电技国际招标有限责任公司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3,000,000.00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3.30</w:t>
            </w:r>
            <w:r>
              <w:rPr>
                <w:rFonts w:ascii="Arial"/>
                <w:sz w:val="18"/>
              </w:rPr>
            </w:r>
          </w:p>
        </w:tc>
      </w:tr>
      <w:tr>
        <w:trPr>
          <w:trHeight w:val="362" w:hRule="exact"/>
        </w:trPr>
        <w:tc>
          <w:tcPr>
            <w:tcW w:w="26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53" w:type="dxa"/>
            <w:tcBorders>
              <w:top w:val="single" w:sz="6" w:space="0" w:color="000000"/>
              <w:left w:val="single" w:sz="6" w:space="0" w:color="000000"/>
              <w:bottom w:val="single" w:sz="12" w:space="0" w:color="000000"/>
              <w:right w:val="single" w:sz="6" w:space="0" w:color="000000"/>
            </w:tcBorders>
          </w:tcPr>
          <w:p>
            <w:pPr/>
          </w:p>
        </w:tc>
        <w:tc>
          <w:tcPr>
            <w:tcW w:w="1371"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58,102,046.79</w:t>
            </w:r>
            <w:r>
              <w:rPr>
                <w:rFonts w:ascii="Arial"/>
                <w:b/>
                <w:spacing w:val="-1"/>
                <w:sz w:val="18"/>
              </w:rPr>
            </w:r>
            <w:r>
              <w:rPr>
                <w:rFonts w:ascii="Arial"/>
                <w:spacing w:val="-1"/>
                <w:sz w:val="18"/>
              </w:rPr>
            </w:r>
          </w:p>
        </w:tc>
        <w:tc>
          <w:tcPr>
            <w:tcW w:w="1112" w:type="dxa"/>
            <w:tcBorders>
              <w:top w:val="single" w:sz="6" w:space="0" w:color="000000"/>
              <w:left w:val="single" w:sz="6" w:space="0" w:color="000000"/>
              <w:bottom w:val="single" w:sz="12" w:space="0" w:color="000000"/>
              <w:right w:val="single" w:sz="6" w:space="0" w:color="000000"/>
            </w:tcBorders>
          </w:tcPr>
          <w:p>
            <w:pPr/>
          </w:p>
        </w:tc>
        <w:tc>
          <w:tcPr>
            <w:tcW w:w="12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b/>
                <w:w w:val="99"/>
                <w:sz w:val="18"/>
              </w:rPr>
            </w:r>
            <w:r>
              <w:rPr>
                <w:rFonts w:ascii="Arial"/>
                <w:b/>
                <w:w w:val="95"/>
                <w:sz w:val="18"/>
                <w:u w:val="single" w:color="000000"/>
              </w:rPr>
              <w:t>63.91</w:t>
            </w:r>
            <w:r>
              <w:rPr>
                <w:rFonts w:ascii="Arial"/>
                <w:b/>
                <w:w w:val="95"/>
                <w:sz w:val="18"/>
              </w:rPr>
            </w:r>
            <w:r>
              <w:rPr>
                <w:rFonts w:ascii="Arial"/>
                <w:sz w:val="18"/>
              </w:rPr>
            </w:r>
          </w:p>
        </w:tc>
      </w:tr>
    </w:tbl>
    <w:p>
      <w:pPr>
        <w:pStyle w:val="BodyText"/>
        <w:spacing w:line="240" w:lineRule="auto" w:before="86"/>
        <w:ind w:left="580" w:right="1326"/>
        <w:jc w:val="left"/>
      </w:pPr>
      <w:r>
        <w:rPr/>
        <w:t>（</w:t>
      </w:r>
      <w:r>
        <w:rPr>
          <w:rFonts w:ascii="Arial" w:hAnsi="Arial" w:cs="Arial" w:eastAsia="Arial" w:hint="default"/>
        </w:rPr>
        <w:t>4</w:t>
      </w:r>
      <w:r>
        <w:rPr/>
        <w:t>）其他金额较大的其他应收款列示如下：</w:t>
      </w:r>
    </w:p>
    <w:p>
      <w:pPr>
        <w:spacing w:line="240" w:lineRule="auto" w:before="13"/>
        <w:rPr>
          <w:rFonts w:ascii="宋体" w:hAnsi="宋体" w:cs="宋体" w:eastAsia="宋体" w:hint="default"/>
          <w:sz w:val="20"/>
          <w:szCs w:val="20"/>
        </w:rPr>
      </w:pPr>
    </w:p>
    <w:tbl>
      <w:tblPr>
        <w:tblW w:w="0" w:type="auto"/>
        <w:jc w:val="left"/>
        <w:tblInd w:w="208" w:type="dxa"/>
        <w:tblLayout w:type="fixed"/>
        <w:tblCellMar>
          <w:top w:w="0" w:type="dxa"/>
          <w:left w:w="0" w:type="dxa"/>
          <w:bottom w:w="0" w:type="dxa"/>
          <w:right w:w="0" w:type="dxa"/>
        </w:tblCellMar>
        <w:tblLook w:val="01E0"/>
      </w:tblPr>
      <w:tblGrid>
        <w:gridCol w:w="3226"/>
        <w:gridCol w:w="2940"/>
        <w:gridCol w:w="2720"/>
      </w:tblGrid>
      <w:tr>
        <w:trPr>
          <w:trHeight w:val="362" w:hRule="exact"/>
        </w:trPr>
        <w:tc>
          <w:tcPr>
            <w:tcW w:w="32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5" w:hRule="exact"/>
        </w:trPr>
        <w:tc>
          <w:tcPr>
            <w:tcW w:w="32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上海成聚建筑工程有限公司</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left="1773" w:right="0"/>
              <w:jc w:val="left"/>
              <w:rPr>
                <w:rFonts w:ascii="Arial" w:hAnsi="Arial" w:cs="Arial" w:eastAsia="Arial" w:hint="default"/>
                <w:sz w:val="18"/>
                <w:szCs w:val="18"/>
              </w:rPr>
            </w:pPr>
            <w:r>
              <w:rPr>
                <w:rFonts w:ascii="Arial"/>
                <w:sz w:val="18"/>
              </w:rPr>
              <w:t>2,629,000.00</w:t>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bl>
    <w:p>
      <w:pPr>
        <w:pStyle w:val="BodyText"/>
        <w:spacing w:line="240" w:lineRule="auto" w:before="86"/>
        <w:ind w:left="580" w:right="1326"/>
        <w:jc w:val="left"/>
      </w:pPr>
      <w:r>
        <w:rPr/>
        <w:t>（</w:t>
      </w:r>
      <w:r>
        <w:rPr>
          <w:rFonts w:ascii="Arial" w:hAnsi="Arial" w:cs="Arial" w:eastAsia="Arial" w:hint="default"/>
        </w:rPr>
        <w:t>5</w:t>
      </w:r>
      <w:r>
        <w:rPr/>
        <w:t>）应收关联方款项</w:t>
      </w:r>
    </w:p>
    <w:p>
      <w:pPr>
        <w:spacing w:line="240" w:lineRule="auto" w:before="11"/>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2813"/>
        <w:gridCol w:w="2578"/>
        <w:gridCol w:w="1493"/>
        <w:gridCol w:w="1947"/>
      </w:tblGrid>
      <w:tr>
        <w:trPr>
          <w:trHeight w:val="504"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3"/>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379"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947"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523" w:right="164" w:hanging="371"/>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8,007.36</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w w:val="95"/>
                <w:sz w:val="18"/>
              </w:rPr>
              <w:t>0.01</w:t>
            </w:r>
            <w:r>
              <w:rPr>
                <w:rFonts w:ascii="Arial"/>
                <w:sz w:val="18"/>
              </w:rPr>
            </w:r>
          </w:p>
        </w:tc>
      </w:tr>
      <w:tr>
        <w:trPr>
          <w:trHeight w:val="353"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156,987.76</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w w:val="95"/>
                <w:sz w:val="18"/>
              </w:rPr>
              <w:t>0.17</w:t>
            </w:r>
            <w:r>
              <w:rPr>
                <w:rFonts w:ascii="Arial"/>
                <w:sz w:val="18"/>
              </w:rPr>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366,797.32</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w w:val="95"/>
                <w:sz w:val="18"/>
              </w:rPr>
              <w:t>0.40</w:t>
            </w:r>
            <w:r>
              <w:rPr>
                <w:rFonts w:ascii="Arial"/>
                <w:sz w:val="18"/>
              </w:rPr>
            </w:r>
          </w:p>
        </w:tc>
      </w:tr>
      <w:tr>
        <w:trPr>
          <w:trHeight w:val="365"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2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4,650.00</w:t>
            </w:r>
          </w:p>
        </w:tc>
        <w:tc>
          <w:tcPr>
            <w:tcW w:w="1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w w:val="95"/>
                <w:sz w:val="18"/>
              </w:rPr>
              <w:t>0.01</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933"/>
        <w:gridCol w:w="2578"/>
        <w:gridCol w:w="1493"/>
        <w:gridCol w:w="1947"/>
      </w:tblGrid>
      <w:tr>
        <w:trPr>
          <w:trHeight w:val="370" w:hRule="exact"/>
        </w:trPr>
        <w:tc>
          <w:tcPr>
            <w:tcW w:w="293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24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257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left="559" w:right="0"/>
              <w:jc w:val="left"/>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49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1,523.64</w:t>
            </w:r>
          </w:p>
        </w:tc>
        <w:tc>
          <w:tcPr>
            <w:tcW w:w="194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w w:val="95"/>
                <w:sz w:val="18"/>
              </w:rPr>
              <w:t>0.002</w:t>
            </w:r>
            <w:r>
              <w:rPr>
                <w:rFonts w:ascii="Arial"/>
                <w:sz w:val="18"/>
              </w:rPr>
            </w:r>
          </w:p>
        </w:tc>
      </w:tr>
      <w:tr>
        <w:trPr>
          <w:trHeight w:val="363" w:hRule="exact"/>
        </w:trPr>
        <w:tc>
          <w:tcPr>
            <w:tcW w:w="29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4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78" w:type="dxa"/>
            <w:tcBorders>
              <w:top w:val="single" w:sz="6" w:space="0" w:color="000000"/>
              <w:left w:val="single" w:sz="6" w:space="0" w:color="000000"/>
              <w:bottom w:val="single" w:sz="12" w:space="0" w:color="000000"/>
              <w:right w:val="single" w:sz="6" w:space="0" w:color="000000"/>
            </w:tcBorders>
          </w:tcPr>
          <w:p>
            <w:pP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537,966.08</w:t>
            </w:r>
            <w:r>
              <w:rPr>
                <w:rFonts w:ascii="Arial"/>
                <w:b/>
                <w:spacing w:val="-1"/>
                <w:sz w:val="18"/>
              </w:rPr>
            </w:r>
            <w:r>
              <w:rPr>
                <w:rFonts w:ascii="Arial"/>
                <w:spacing w:val="-1"/>
                <w:sz w:val="18"/>
              </w:rPr>
            </w:r>
          </w:p>
        </w:tc>
        <w:tc>
          <w:tcPr>
            <w:tcW w:w="1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107"/>
              <w:jc w:val="right"/>
              <w:rPr>
                <w:rFonts w:ascii="Arial" w:hAnsi="Arial" w:cs="Arial" w:eastAsia="Arial" w:hint="default"/>
                <w:sz w:val="18"/>
                <w:szCs w:val="18"/>
              </w:rPr>
            </w:pPr>
            <w:r>
              <w:rPr>
                <w:rFonts w:ascii="Arial"/>
                <w:b/>
                <w:w w:val="99"/>
                <w:sz w:val="18"/>
              </w:rPr>
            </w:r>
            <w:r>
              <w:rPr>
                <w:rFonts w:ascii="Arial"/>
                <w:b/>
                <w:w w:val="95"/>
                <w:sz w:val="18"/>
                <w:u w:val="single" w:color="000000"/>
              </w:rPr>
              <w:t>0.592</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pStyle w:val="Heading4"/>
        <w:tabs>
          <w:tab w:pos="1454" w:val="left" w:leader="none"/>
        </w:tabs>
        <w:spacing w:line="240" w:lineRule="auto" w:before="36"/>
        <w:ind w:left="600" w:right="1428"/>
        <w:jc w:val="left"/>
        <w:rPr>
          <w:b w:val="0"/>
          <w:bCs w:val="0"/>
        </w:rPr>
      </w:pPr>
      <w:r>
        <w:rPr/>
        <w:t>（五）</w:t>
        <w:tab/>
        <w:t>预付款项</w:t>
      </w:r>
      <w:r>
        <w:rPr>
          <w:b w:val="0"/>
          <w:bCs w:val="0"/>
        </w:rPr>
      </w:r>
    </w:p>
    <w:p>
      <w:pPr>
        <w:spacing w:line="240" w:lineRule="auto" w:before="7"/>
        <w:rPr>
          <w:rFonts w:ascii="宋体" w:hAnsi="宋体" w:cs="宋体" w:eastAsia="宋体" w:hint="default"/>
          <w:b/>
          <w:bCs/>
          <w:sz w:val="19"/>
          <w:szCs w:val="19"/>
        </w:rPr>
      </w:pPr>
    </w:p>
    <w:p>
      <w:pPr>
        <w:pStyle w:val="BodyText"/>
        <w:spacing w:line="240" w:lineRule="auto"/>
        <w:ind w:left="600" w:right="1428"/>
        <w:jc w:val="left"/>
      </w:pPr>
      <w:r>
        <w:rPr/>
        <w:t>（</w:t>
      </w:r>
      <w:r>
        <w:rPr>
          <w:rFonts w:ascii="Arial" w:hAnsi="Arial" w:cs="Arial" w:eastAsia="Arial" w:hint="default"/>
        </w:rPr>
        <w:t>1</w:t>
      </w:r>
      <w:r>
        <w:rPr/>
        <w:t>）预付款项按账龄分析列示如下：</w:t>
      </w:r>
    </w:p>
    <w:p>
      <w:pPr>
        <w:spacing w:line="240" w:lineRule="auto" w:before="13"/>
        <w:rPr>
          <w:rFonts w:ascii="宋体" w:hAnsi="宋体" w:cs="宋体" w:eastAsia="宋体" w:hint="default"/>
          <w:sz w:val="20"/>
          <w:szCs w:val="20"/>
        </w:rPr>
      </w:pPr>
    </w:p>
    <w:tbl>
      <w:tblPr>
        <w:tblW w:w="0" w:type="auto"/>
        <w:jc w:val="left"/>
        <w:tblInd w:w="242" w:type="dxa"/>
        <w:tblLayout w:type="fixed"/>
        <w:tblCellMar>
          <w:top w:w="0" w:type="dxa"/>
          <w:left w:w="0" w:type="dxa"/>
          <w:bottom w:w="0" w:type="dxa"/>
          <w:right w:w="0" w:type="dxa"/>
        </w:tblCellMar>
        <w:tblLook w:val="01E0"/>
      </w:tblPr>
      <w:tblGrid>
        <w:gridCol w:w="1769"/>
        <w:gridCol w:w="2026"/>
        <w:gridCol w:w="1541"/>
        <w:gridCol w:w="2240"/>
        <w:gridCol w:w="1284"/>
      </w:tblGrid>
      <w:tr>
        <w:trPr>
          <w:trHeight w:val="391"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35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2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84" w:hRule="exact"/>
        </w:trPr>
        <w:tc>
          <w:tcPr>
            <w:tcW w:w="1769" w:type="dxa"/>
            <w:vMerge/>
            <w:tcBorders>
              <w:left w:val="nil" w:sz="6" w:space="0" w:color="auto"/>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left="19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59,374,877.20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99.08</w:t>
            </w:r>
            <w:r>
              <w:rPr>
                <w:rFonts w:ascii="Arial"/>
                <w:sz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25,756,129.41</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46.74</w:t>
            </w:r>
            <w:r>
              <w:rPr>
                <w:rFonts w:ascii="Arial"/>
                <w:sz w:val="18"/>
              </w:rPr>
            </w:r>
          </w:p>
        </w:tc>
      </w:tr>
      <w:tr>
        <w:trPr>
          <w:trHeight w:val="384"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241,376.51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0.40</w:t>
            </w:r>
            <w:r>
              <w:rPr>
                <w:rFonts w:ascii="Arial"/>
                <w:sz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14,287,719.06</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25.93</w:t>
            </w:r>
            <w:r>
              <w:rPr>
                <w:rFonts w:ascii="Arial"/>
                <w:sz w:val="18"/>
              </w:rPr>
            </w:r>
          </w:p>
        </w:tc>
      </w:tr>
      <w:tr>
        <w:trPr>
          <w:trHeight w:val="384"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2"/>
                <w:sz w:val="18"/>
              </w:rPr>
              <w:t>62,118.00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0.10</w:t>
            </w:r>
            <w:r>
              <w:rPr>
                <w:rFonts w:ascii="Arial"/>
                <w:sz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2,896,882.76</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5.26</w:t>
            </w:r>
            <w:r>
              <w:rPr>
                <w:rFonts w:ascii="Arial"/>
                <w:sz w:val="18"/>
              </w:rPr>
            </w:r>
          </w:p>
        </w:tc>
      </w:tr>
      <w:tr>
        <w:trPr>
          <w:trHeight w:val="385"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250,236.76</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w w:val="95"/>
                <w:sz w:val="18"/>
              </w:rPr>
              <w:t>0.42</w:t>
            </w:r>
            <w:r>
              <w:rPr>
                <w:rFonts w:ascii="Arial"/>
                <w:sz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12,163,637.30</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4"/>
              <w:jc w:val="right"/>
              <w:rPr>
                <w:rFonts w:ascii="Arial" w:hAnsi="Arial" w:cs="Arial" w:eastAsia="Arial" w:hint="default"/>
                <w:sz w:val="18"/>
                <w:szCs w:val="18"/>
              </w:rPr>
            </w:pPr>
            <w:r>
              <w:rPr>
                <w:rFonts w:ascii="Arial"/>
                <w:w w:val="95"/>
                <w:sz w:val="18"/>
              </w:rPr>
              <w:t>22.07</w:t>
            </w:r>
            <w:r>
              <w:rPr>
                <w:rFonts w:ascii="Arial"/>
                <w:sz w:val="18"/>
              </w:rPr>
            </w:r>
          </w:p>
        </w:tc>
      </w:tr>
      <w:tr>
        <w:trPr>
          <w:trHeight w:val="391"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59,928,608.47</w:t>
            </w:r>
            <w:r>
              <w:rPr>
                <w:rFonts w:ascii="Arial"/>
                <w:b/>
                <w:spacing w:val="-1"/>
                <w:sz w:val="18"/>
              </w:rPr>
            </w:r>
            <w:r>
              <w:rPr>
                <w:rFonts w:ascii="Arial"/>
                <w:spacing w:val="-1"/>
                <w:sz w:val="18"/>
              </w:rPr>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2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55,104,368.53</w:t>
            </w:r>
            <w:r>
              <w:rPr>
                <w:rFonts w:ascii="Arial"/>
                <w:b/>
                <w:spacing w:val="-1"/>
                <w:sz w:val="18"/>
              </w:rPr>
            </w:r>
            <w:r>
              <w:rPr>
                <w:rFonts w:ascii="Arial"/>
                <w:spacing w:val="-1"/>
                <w:sz w:val="18"/>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pStyle w:val="BodyText"/>
        <w:spacing w:line="240" w:lineRule="auto" w:before="36"/>
        <w:ind w:left="600" w:right="1428"/>
        <w:jc w:val="left"/>
      </w:pPr>
      <w:r>
        <w:rPr/>
        <w:t>（</w:t>
      </w:r>
      <w:r>
        <w:rPr>
          <w:rFonts w:ascii="Arial" w:hAnsi="Arial" w:cs="Arial" w:eastAsia="Arial" w:hint="default"/>
        </w:rPr>
        <w:t>2</w:t>
      </w:r>
      <w:r>
        <w:rPr/>
        <w:t>）年末预付款项前五名单位列示如下：</w:t>
      </w:r>
    </w:p>
    <w:p>
      <w:pPr>
        <w:spacing w:line="240" w:lineRule="auto" w:before="13"/>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162"/>
        <w:gridCol w:w="1184"/>
        <w:gridCol w:w="1678"/>
        <w:gridCol w:w="1106"/>
        <w:gridCol w:w="1181"/>
        <w:gridCol w:w="1803"/>
      </w:tblGrid>
      <w:tr>
        <w:trPr>
          <w:trHeight w:val="744" w:hRule="exact"/>
        </w:trPr>
        <w:tc>
          <w:tcPr>
            <w:tcW w:w="21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8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4"/>
              <w:ind w:left="403" w:right="22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2"/>
              <w:ind w:left="105" w:right="103" w:firstLine="79"/>
              <w:jc w:val="both"/>
              <w:rPr>
                <w:rFonts w:ascii="宋体" w:hAnsi="宋体" w:cs="宋体" w:eastAsia="宋体" w:hint="default"/>
                <w:sz w:val="18"/>
                <w:szCs w:val="18"/>
              </w:rPr>
            </w:pPr>
            <w:r>
              <w:rPr>
                <w:rFonts w:ascii="宋体" w:hAnsi="宋体" w:cs="宋体" w:eastAsia="宋体" w:hint="default"/>
                <w:sz w:val="18"/>
                <w:szCs w:val="18"/>
              </w:rPr>
              <w:t>占预付账 款总额的 比例（</w:t>
            </w:r>
            <w:r>
              <w:rPr>
                <w:rFonts w:ascii="Arial" w:hAnsi="Arial" w:cs="Arial" w:eastAsia="Arial" w:hint="default"/>
                <w:sz w:val="18"/>
                <w:szCs w:val="18"/>
              </w:rPr>
              <w:t>%</w:t>
            </w:r>
            <w:r>
              <w:rPr>
                <w:rFonts w:ascii="宋体" w:hAnsi="宋体" w:cs="宋体" w:eastAsia="宋体" w:hint="default"/>
                <w:sz w:val="18"/>
                <w:szCs w:val="18"/>
              </w:rPr>
              <w:t>）</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预付时间</w:t>
            </w:r>
          </w:p>
        </w:tc>
        <w:tc>
          <w:tcPr>
            <w:tcW w:w="18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94"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浙江华立国际发展有限 </w:t>
            </w:r>
            <w:r>
              <w:rPr>
                <w:rFonts w:ascii="宋体" w:hAnsi="宋体" w:cs="宋体" w:eastAsia="宋体" w:hint="default"/>
                <w:sz w:val="18"/>
                <w:szCs w:val="18"/>
              </w:rPr>
              <w:t>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135" w:hanging="181"/>
              <w:jc w:val="left"/>
              <w:rPr>
                <w:rFonts w:ascii="宋体" w:hAnsi="宋体" w:cs="宋体" w:eastAsia="宋体" w:hint="default"/>
                <w:sz w:val="18"/>
                <w:szCs w:val="18"/>
              </w:rPr>
            </w:pPr>
            <w:r>
              <w:rPr>
                <w:rFonts w:ascii="宋体" w:hAnsi="宋体" w:cs="宋体" w:eastAsia="宋体" w:hint="default"/>
                <w:sz w:val="18"/>
                <w:szCs w:val="18"/>
              </w:rPr>
              <w:t>同受华立集 团控制</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22,377,700.00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37.34</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4"/>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55"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11,005,835.00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w w:val="95"/>
                <w:sz w:val="18"/>
              </w:rPr>
              <w:t>18.36</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6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494"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5"/>
                <w:sz w:val="18"/>
                <w:szCs w:val="18"/>
              </w:rPr>
              <w:t>北亚美亚科技（苏州）有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7,674,144.04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12.81</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356"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武汉钢铁股份有限公司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2"/>
                <w:sz w:val="18"/>
              </w:rPr>
              <w:t>2,117,877.97</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Arial" w:hAnsi="Arial" w:cs="Arial" w:eastAsia="Arial" w:hint="default"/>
                <w:sz w:val="18"/>
                <w:szCs w:val="18"/>
              </w:rPr>
            </w:pPr>
            <w:r>
              <w:rPr>
                <w:rFonts w:ascii="Arial"/>
                <w:w w:val="95"/>
                <w:sz w:val="18"/>
              </w:rPr>
              <w:t>3.53</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6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494"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杭州诚欣仪表配件有限 </w:t>
            </w:r>
            <w:r>
              <w:rPr>
                <w:rFonts w:ascii="宋体" w:hAnsi="宋体" w:cs="宋体" w:eastAsia="宋体" w:hint="default"/>
                <w:sz w:val="18"/>
                <w:szCs w:val="18"/>
              </w:rPr>
              <w:t>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6,791,898.27</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3"/>
                <w:sz w:val="18"/>
              </w:rPr>
              <w:t>11.33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365" w:hRule="exact"/>
        </w:trPr>
        <w:tc>
          <w:tcPr>
            <w:tcW w:w="21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84"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49,967,455.28</w:t>
            </w:r>
            <w:r>
              <w:rPr>
                <w:rFonts w:ascii="Arial"/>
                <w:b/>
                <w:spacing w:val="-1"/>
                <w:sz w:val="18"/>
              </w:rPr>
            </w:r>
            <w:r>
              <w:rPr>
                <w:rFonts w:ascii="Arial"/>
                <w:spacing w:val="-1"/>
                <w:sz w:val="18"/>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83.37</w:t>
            </w:r>
            <w:r>
              <w:rPr>
                <w:rFonts w:ascii="Arial"/>
                <w:b/>
                <w:w w:val="95"/>
                <w:sz w:val="18"/>
              </w:rPr>
            </w:r>
            <w:r>
              <w:rPr>
                <w:rFonts w:ascii="Arial"/>
                <w:sz w:val="18"/>
              </w:rPr>
            </w:r>
          </w:p>
        </w:tc>
        <w:tc>
          <w:tcPr>
            <w:tcW w:w="1181" w:type="dxa"/>
            <w:tcBorders>
              <w:top w:val="single" w:sz="6" w:space="0" w:color="000000"/>
              <w:left w:val="single" w:sz="6" w:space="0" w:color="000000"/>
              <w:bottom w:val="single" w:sz="12" w:space="0" w:color="000000"/>
              <w:right w:val="single" w:sz="6" w:space="0" w:color="000000"/>
            </w:tcBorders>
          </w:tcPr>
          <w:p>
            <w:pPr/>
          </w:p>
        </w:tc>
        <w:tc>
          <w:tcPr>
            <w:tcW w:w="1803"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600" w:right="1428"/>
        <w:jc w:val="left"/>
      </w:pPr>
      <w:r>
        <w:rPr/>
        <w:t>注：系预付股权收购款，详见附注九、（二）。</w:t>
      </w:r>
    </w:p>
    <w:p>
      <w:pPr>
        <w:spacing w:line="240" w:lineRule="auto" w:before="7"/>
        <w:rPr>
          <w:rFonts w:ascii="宋体" w:hAnsi="宋体" w:cs="宋体" w:eastAsia="宋体" w:hint="default"/>
          <w:sz w:val="28"/>
          <w:szCs w:val="28"/>
        </w:rPr>
      </w:pPr>
    </w:p>
    <w:p>
      <w:pPr>
        <w:pStyle w:val="BodyText"/>
        <w:spacing w:line="240" w:lineRule="auto"/>
        <w:ind w:left="600" w:right="1428"/>
        <w:jc w:val="left"/>
      </w:pPr>
      <w:r>
        <w:rPr/>
        <w:t>（</w:t>
      </w:r>
      <w:r>
        <w:rPr>
          <w:rFonts w:ascii="Arial" w:hAnsi="Arial" w:cs="Arial" w:eastAsia="Arial" w:hint="default"/>
        </w:rPr>
        <w:t>3</w:t>
      </w:r>
      <w:r>
        <w:rPr/>
        <w:t>）本报告期预付款项中无预付持本公司</w:t>
      </w:r>
      <w:r>
        <w:rPr>
          <w:spacing w:val="-58"/>
        </w:rPr>
        <w:t> </w:t>
      </w:r>
      <w:r>
        <w:rPr>
          <w:rFonts w:ascii="Arial" w:hAnsi="Arial" w:cs="Arial" w:eastAsia="Arial" w:hint="default"/>
        </w:rPr>
        <w:t>5%</w:t>
      </w:r>
      <w:r>
        <w:rPr/>
        <w:t>（含</w:t>
      </w:r>
      <w:r>
        <w:rPr>
          <w:spacing w:val="-60"/>
        </w:rPr>
        <w:t> </w:t>
      </w:r>
      <w:r>
        <w:rPr>
          <w:rFonts w:ascii="Arial" w:hAnsi="Arial" w:cs="Arial" w:eastAsia="Arial" w:hint="default"/>
        </w:rPr>
        <w:t>5%</w:t>
      </w:r>
      <w:r>
        <w:rPr/>
        <w:t>）以上表决权股份的股东单位款项。</w:t>
      </w:r>
    </w:p>
    <w:p>
      <w:pPr>
        <w:spacing w:line="240" w:lineRule="auto" w:before="13"/>
        <w:rPr>
          <w:rFonts w:ascii="宋体" w:hAnsi="宋体" w:cs="宋体" w:eastAsia="宋体" w:hint="default"/>
          <w:sz w:val="22"/>
          <w:szCs w:val="22"/>
        </w:rPr>
      </w:pPr>
    </w:p>
    <w:p>
      <w:pPr>
        <w:pStyle w:val="Heading4"/>
        <w:tabs>
          <w:tab w:pos="1454" w:val="left" w:leader="none"/>
        </w:tabs>
        <w:spacing w:line="240" w:lineRule="auto"/>
        <w:ind w:left="600" w:right="1428"/>
        <w:jc w:val="left"/>
        <w:rPr>
          <w:b w:val="0"/>
          <w:bCs w:val="0"/>
        </w:rPr>
      </w:pPr>
      <w:r>
        <w:rPr/>
        <w:t>（六）</w:t>
        <w:tab/>
        <w:t>存货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00" w:right="1428"/>
        <w:jc w:val="left"/>
      </w:pPr>
      <w:r>
        <w:rPr/>
        <w:t>（</w:t>
      </w:r>
      <w:r>
        <w:rPr>
          <w:rFonts w:ascii="Arial" w:hAnsi="Arial" w:cs="Arial" w:eastAsia="Arial" w:hint="default"/>
        </w:rPr>
        <w:t>1</w:t>
      </w:r>
      <w:r>
        <w:rPr/>
        <w:t>）存货分类列示如下：</w:t>
      </w:r>
    </w:p>
    <w:p>
      <w:pPr>
        <w:spacing w:line="240" w:lineRule="auto" w:before="13"/>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205"/>
        <w:gridCol w:w="1280"/>
        <w:gridCol w:w="1246"/>
        <w:gridCol w:w="1424"/>
        <w:gridCol w:w="1399"/>
        <w:gridCol w:w="1256"/>
        <w:gridCol w:w="1327"/>
      </w:tblGrid>
      <w:tr>
        <w:trPr>
          <w:trHeight w:val="363" w:hRule="exact"/>
        </w:trPr>
        <w:tc>
          <w:tcPr>
            <w:tcW w:w="1205"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722" w:val="left" w:leader="none"/>
              </w:tabs>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394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宋体" w:hAnsi="宋体" w:cs="宋体" w:eastAsia="宋体" w:hint="default"/>
                <w:sz w:val="15"/>
                <w:szCs w:val="15"/>
              </w:rPr>
            </w:pPr>
            <w:r>
              <w:rPr>
                <w:rFonts w:ascii="宋体" w:hAnsi="宋体" w:cs="宋体" w:eastAsia="宋体" w:hint="default"/>
                <w:sz w:val="15"/>
                <w:szCs w:val="15"/>
              </w:rPr>
              <w:t>年末账面余额</w:t>
            </w:r>
          </w:p>
        </w:tc>
        <w:tc>
          <w:tcPr>
            <w:tcW w:w="398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8"/>
              <w:ind w:right="3"/>
              <w:jc w:val="center"/>
              <w:rPr>
                <w:rFonts w:ascii="宋体" w:hAnsi="宋体" w:cs="宋体" w:eastAsia="宋体" w:hint="default"/>
                <w:sz w:val="15"/>
                <w:szCs w:val="15"/>
              </w:rPr>
            </w:pPr>
            <w:r>
              <w:rPr>
                <w:rFonts w:ascii="宋体" w:hAnsi="宋体" w:cs="宋体" w:eastAsia="宋体" w:hint="default"/>
                <w:sz w:val="15"/>
                <w:szCs w:val="15"/>
              </w:rPr>
              <w:t>年初账面余额</w:t>
            </w:r>
          </w:p>
        </w:tc>
      </w:tr>
      <w:tr>
        <w:trPr>
          <w:trHeight w:val="355" w:hRule="exact"/>
        </w:trPr>
        <w:tc>
          <w:tcPr>
            <w:tcW w:w="1205" w:type="dxa"/>
            <w:vMerge/>
            <w:tcBorders>
              <w:left w:val="nil" w:sz="6" w:space="0" w:color="auto"/>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1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05"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19"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35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88,334,329.67</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1"/>
                <w:sz w:val="15"/>
              </w:rPr>
              <w:t>88,334,329.67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2"/>
                <w:sz w:val="15"/>
              </w:rPr>
              <w:t>73,587,711.16</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483,089.25</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spacing w:val="-1"/>
                <w:sz w:val="15"/>
              </w:rPr>
              <w:t>73,104,621.91</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280"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938,603.02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219,134.98</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spacing w:val="-1"/>
                <w:sz w:val="15"/>
              </w:rPr>
              <w:t>719,468.04</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2"/>
                <w:sz w:val="15"/>
              </w:rPr>
              <w:t>116,521.20</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2"/>
                <w:sz w:val="15"/>
              </w:rPr>
              <w:t>116,521.20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606,168.75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61,023.83</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spacing w:val="-1"/>
                <w:sz w:val="15"/>
              </w:rPr>
              <w:t>545,144.92</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1,176,993.92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Arial" w:hAnsi="Arial" w:cs="Arial" w:eastAsia="Arial" w:hint="default"/>
                <w:sz w:val="15"/>
                <w:szCs w:val="15"/>
              </w:rPr>
            </w:pPr>
            <w:r>
              <w:rPr>
                <w:rFonts w:ascii="Arial"/>
                <w:spacing w:val="-1"/>
                <w:sz w:val="15"/>
              </w:rPr>
              <w:t>1,176,993.92</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1,176,993.92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1,176,993.92</w:t>
            </w:r>
          </w:p>
        </w:tc>
        <w:tc>
          <w:tcPr>
            <w:tcW w:w="13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99,499,818.56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Arial" w:hAnsi="Arial" w:cs="Arial" w:eastAsia="Arial" w:hint="default"/>
                <w:sz w:val="15"/>
                <w:szCs w:val="15"/>
              </w:rPr>
            </w:pPr>
            <w:r>
              <w:rPr>
                <w:rFonts w:ascii="Arial"/>
                <w:spacing w:val="-1"/>
                <w:sz w:val="15"/>
              </w:rPr>
              <w:t>816,588.96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1"/>
                <w:sz w:val="15"/>
              </w:rPr>
              <w:t>98,683,229.60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98,106,361.83</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1,506,789.13</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spacing w:val="-1"/>
                <w:sz w:val="15"/>
              </w:rPr>
              <w:t>96,599,572.70</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1,900,919.44</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1"/>
                <w:sz w:val="15"/>
              </w:rPr>
              <w:t>1,900,919.44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14,094,109.04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420,867.61</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spacing w:val="-1"/>
                <w:sz w:val="15"/>
              </w:rPr>
              <w:t>13,673,241.43</w:t>
            </w:r>
          </w:p>
        </w:tc>
      </w:tr>
      <w:tr>
        <w:trPr>
          <w:trHeight w:val="362" w:hRule="exact"/>
        </w:trPr>
        <w:tc>
          <w:tcPr>
            <w:tcW w:w="12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34,986,424.96</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9"/>
              <w:jc w:val="right"/>
              <w:rPr>
                <w:rFonts w:ascii="Arial" w:hAnsi="Arial" w:cs="Arial" w:eastAsia="Arial" w:hint="default"/>
                <w:sz w:val="15"/>
                <w:szCs w:val="15"/>
              </w:rPr>
            </w:pPr>
            <w:r>
              <w:rPr>
                <w:rFonts w:ascii="Arial"/>
                <w:spacing w:val="-2"/>
                <w:sz w:val="15"/>
              </w:rPr>
              <w:t>1,118,061.27</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1"/>
                <w:sz w:val="15"/>
              </w:rPr>
              <w:t>33,868,363.69</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9,324,375.71</w:t>
            </w:r>
          </w:p>
        </w:tc>
        <w:tc>
          <w:tcPr>
            <w:tcW w:w="1256"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right="105"/>
              <w:jc w:val="right"/>
              <w:rPr>
                <w:rFonts w:ascii="Arial" w:hAnsi="Arial" w:cs="Arial" w:eastAsia="Arial" w:hint="default"/>
                <w:sz w:val="15"/>
                <w:szCs w:val="15"/>
              </w:rPr>
            </w:pPr>
            <w:r>
              <w:rPr>
                <w:rFonts w:ascii="Arial"/>
                <w:spacing w:val="-1"/>
                <w:sz w:val="15"/>
              </w:rPr>
              <w:t>9,324,375.71</w:t>
            </w:r>
          </w:p>
        </w:tc>
      </w:tr>
    </w:tbl>
    <w:p>
      <w:pPr>
        <w:spacing w:after="0" w:line="240" w:lineRule="auto"/>
        <w:jc w:val="right"/>
        <w:rPr>
          <w:rFonts w:ascii="Arial" w:hAnsi="Arial" w:cs="Arial" w:eastAsia="Arial" w:hint="default"/>
          <w:sz w:val="15"/>
          <w:szCs w:val="15"/>
        </w:rPr>
        <w:sectPr>
          <w:pgSz w:w="11910" w:h="16840"/>
          <w:pgMar w:header="884" w:footer="1013" w:top="1080" w:bottom="1200" w:left="1260" w:right="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205"/>
        <w:gridCol w:w="1280"/>
        <w:gridCol w:w="1246"/>
        <w:gridCol w:w="1424"/>
        <w:gridCol w:w="1399"/>
        <w:gridCol w:w="1256"/>
        <w:gridCol w:w="1327"/>
      </w:tblGrid>
      <w:tr>
        <w:trPr>
          <w:trHeight w:val="370" w:hRule="exact"/>
        </w:trPr>
        <w:tc>
          <w:tcPr>
            <w:tcW w:w="1205" w:type="dxa"/>
            <w:vMerge w:val="restart"/>
            <w:tcBorders>
              <w:top w:val="single" w:sz="17"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tabs>
                <w:tab w:pos="722" w:val="left" w:leader="none"/>
              </w:tabs>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3949" w:type="dxa"/>
            <w:gridSpan w:val="3"/>
            <w:tcBorders>
              <w:top w:val="single" w:sz="17"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sz w:val="15"/>
                <w:szCs w:val="15"/>
              </w:rPr>
              <w:t>年末账面余额</w:t>
            </w:r>
          </w:p>
        </w:tc>
        <w:tc>
          <w:tcPr>
            <w:tcW w:w="398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年初账面余额</w:t>
            </w:r>
          </w:p>
        </w:tc>
      </w:tr>
      <w:tr>
        <w:trPr>
          <w:trHeight w:val="356" w:hRule="exact"/>
        </w:trPr>
        <w:tc>
          <w:tcPr>
            <w:tcW w:w="1205" w:type="dxa"/>
            <w:vMerge/>
            <w:tcBorders>
              <w:left w:val="nil" w:sz="6" w:space="0" w:color="auto"/>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1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05"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19"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35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355"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发出商品</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1,018,031.02</w:t>
            </w:r>
          </w:p>
        </w:tc>
        <w:tc>
          <w:tcPr>
            <w:tcW w:w="124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15"/>
                <w:szCs w:val="15"/>
              </w:rPr>
            </w:pPr>
            <w:r>
              <w:rPr>
                <w:rFonts w:ascii="Arial"/>
                <w:spacing w:val="-1"/>
                <w:sz w:val="15"/>
              </w:rPr>
              <w:t>1,018,031.02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2,275,151.00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245,862.72</w:t>
            </w:r>
          </w:p>
        </w:tc>
        <w:tc>
          <w:tcPr>
            <w:tcW w:w="13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5"/>
              <w:jc w:val="right"/>
              <w:rPr>
                <w:rFonts w:ascii="Arial" w:hAnsi="Arial" w:cs="Arial" w:eastAsia="Arial" w:hint="default"/>
                <w:sz w:val="15"/>
                <w:szCs w:val="15"/>
              </w:rPr>
            </w:pPr>
            <w:r>
              <w:rPr>
                <w:rFonts w:ascii="Arial"/>
                <w:spacing w:val="-1"/>
                <w:sz w:val="15"/>
              </w:rPr>
              <w:t>2,029,288.28</w:t>
            </w:r>
          </w:p>
        </w:tc>
      </w:tr>
      <w:tr>
        <w:trPr>
          <w:trHeight w:val="362" w:hRule="exact"/>
        </w:trPr>
        <w:tc>
          <w:tcPr>
            <w:tcW w:w="1205" w:type="dxa"/>
            <w:tcBorders>
              <w:top w:val="single" w:sz="6" w:space="0" w:color="000000"/>
              <w:left w:val="nil" w:sz="6" w:space="0" w:color="auto"/>
              <w:bottom w:val="single" w:sz="12" w:space="0" w:color="000000"/>
              <w:right w:val="single" w:sz="6" w:space="0" w:color="000000"/>
            </w:tcBorders>
          </w:tcPr>
          <w:p>
            <w:pPr>
              <w:pStyle w:val="TableParagraph"/>
              <w:tabs>
                <w:tab w:pos="722" w:val="left" w:leader="none"/>
              </w:tabs>
              <w:spacing w:line="240" w:lineRule="auto" w:before="67"/>
              <w:ind w:left="34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spacing w:val="-1"/>
                <w:sz w:val="15"/>
                <w:u w:val="single" w:color="000000"/>
              </w:rPr>
              <w:t>227,033,038.77</w:t>
            </w:r>
            <w:r>
              <w:rPr>
                <w:rFonts w:ascii="Arial"/>
                <w:b/>
                <w:spacing w:val="-1"/>
                <w:sz w:val="15"/>
              </w:rPr>
            </w:r>
            <w:r>
              <w:rPr>
                <w:rFonts w:ascii="Arial"/>
                <w:spacing w:val="-1"/>
                <w:sz w:val="15"/>
              </w:rPr>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268" w:right="0"/>
              <w:jc w:val="left"/>
              <w:rPr>
                <w:rFonts w:ascii="Arial" w:hAnsi="Arial" w:cs="Arial" w:eastAsia="Arial" w:hint="default"/>
                <w:sz w:val="15"/>
                <w:szCs w:val="15"/>
              </w:rPr>
            </w:pPr>
            <w:r>
              <w:rPr>
                <w:rFonts w:ascii="Arial"/>
                <w:b/>
                <w:w w:val="100"/>
                <w:sz w:val="15"/>
              </w:rPr>
            </w:r>
            <w:r>
              <w:rPr>
                <w:rFonts w:ascii="Arial"/>
                <w:b/>
                <w:spacing w:val="-3"/>
                <w:sz w:val="15"/>
                <w:u w:val="single" w:color="000000"/>
              </w:rPr>
              <w:t>3,111,644.15</w:t>
            </w:r>
            <w:r>
              <w:rPr>
                <w:rFonts w:ascii="Arial"/>
                <w:b/>
                <w:spacing w:val="-3"/>
                <w:sz w:val="15"/>
              </w:rPr>
            </w:r>
            <w:r>
              <w:rPr>
                <w:rFonts w:ascii="Arial"/>
                <w:spacing w:val="-3"/>
                <w:sz w:val="15"/>
              </w:rPr>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4"/>
              <w:jc w:val="right"/>
              <w:rPr>
                <w:rFonts w:ascii="Arial" w:hAnsi="Arial" w:cs="Arial" w:eastAsia="Arial" w:hint="default"/>
                <w:sz w:val="15"/>
                <w:szCs w:val="15"/>
              </w:rPr>
            </w:pPr>
            <w:r>
              <w:rPr>
                <w:rFonts w:ascii="Arial"/>
                <w:b/>
                <w:w w:val="100"/>
                <w:sz w:val="15"/>
              </w:rPr>
            </w:r>
            <w:r>
              <w:rPr>
                <w:rFonts w:ascii="Arial"/>
                <w:b/>
                <w:spacing w:val="-1"/>
                <w:sz w:val="15"/>
                <w:u w:val="single" w:color="000000"/>
              </w:rPr>
              <w:t>223,921,394.62</w:t>
            </w:r>
            <w:r>
              <w:rPr>
                <w:rFonts w:ascii="Arial"/>
                <w:b/>
                <w:spacing w:val="-1"/>
                <w:sz w:val="15"/>
              </w:rPr>
            </w:r>
            <w:r>
              <w:rPr>
                <w:rFonts w:ascii="Arial"/>
                <w:spacing w:val="-1"/>
                <w:sz w:val="15"/>
              </w:rPr>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spacing w:val="-1"/>
                <w:sz w:val="15"/>
                <w:u w:val="single" w:color="000000"/>
              </w:rPr>
              <w:t>200,109,474.43</w:t>
            </w:r>
            <w:r>
              <w:rPr>
                <w:rFonts w:ascii="Arial"/>
                <w:b/>
                <w:spacing w:val="-1"/>
                <w:sz w:val="15"/>
              </w:rPr>
            </w:r>
            <w:r>
              <w:rPr>
                <w:rFonts w:ascii="Arial"/>
                <w:spacing w:val="-1"/>
                <w:sz w:val="15"/>
              </w:rPr>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b/>
                <w:w w:val="100"/>
                <w:sz w:val="15"/>
              </w:rPr>
            </w:r>
            <w:r>
              <w:rPr>
                <w:rFonts w:ascii="Arial"/>
                <w:b/>
                <w:spacing w:val="-2"/>
                <w:sz w:val="15"/>
                <w:u w:val="single" w:color="000000"/>
              </w:rPr>
              <w:t>4,113,761.44</w:t>
            </w:r>
            <w:r>
              <w:rPr>
                <w:rFonts w:ascii="Arial"/>
                <w:b/>
                <w:spacing w:val="-2"/>
                <w:sz w:val="15"/>
              </w:rPr>
            </w:r>
            <w:r>
              <w:rPr>
                <w:rFonts w:ascii="Arial"/>
                <w:spacing w:val="-2"/>
                <w:sz w:val="15"/>
              </w:rPr>
            </w:r>
          </w:p>
        </w:tc>
        <w:tc>
          <w:tcPr>
            <w:tcW w:w="13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right="103"/>
              <w:jc w:val="right"/>
              <w:rPr>
                <w:rFonts w:ascii="Arial" w:hAnsi="Arial" w:cs="Arial" w:eastAsia="Arial" w:hint="default"/>
                <w:sz w:val="15"/>
                <w:szCs w:val="15"/>
              </w:rPr>
            </w:pPr>
            <w:r>
              <w:rPr>
                <w:rFonts w:ascii="Arial"/>
                <w:b/>
                <w:w w:val="100"/>
                <w:sz w:val="15"/>
              </w:rPr>
            </w:r>
            <w:r>
              <w:rPr>
                <w:rFonts w:ascii="Arial"/>
                <w:b/>
                <w:spacing w:val="-1"/>
                <w:sz w:val="15"/>
                <w:u w:val="single" w:color="000000"/>
              </w:rPr>
              <w:t>195,995,712.99</w:t>
            </w:r>
            <w:r>
              <w:rPr>
                <w:rFonts w:ascii="Arial"/>
                <w:b/>
                <w:spacing w:val="-1"/>
                <w:sz w:val="15"/>
              </w:rPr>
            </w:r>
            <w:r>
              <w:rPr>
                <w:rFonts w:ascii="Arial"/>
                <w:spacing w:val="-1"/>
                <w:sz w:val="15"/>
              </w:rPr>
            </w:r>
          </w:p>
        </w:tc>
      </w:tr>
    </w:tbl>
    <w:p>
      <w:pPr>
        <w:pStyle w:val="BodyText"/>
        <w:spacing w:line="240" w:lineRule="auto" w:before="86"/>
        <w:ind w:left="620" w:right="1329"/>
        <w:jc w:val="left"/>
      </w:pPr>
      <w:r>
        <w:rPr/>
        <w:t>（</w:t>
      </w:r>
      <w:r>
        <w:rPr>
          <w:rFonts w:ascii="Arial" w:hAnsi="Arial" w:cs="Arial" w:eastAsia="Arial" w:hint="default"/>
        </w:rPr>
        <w:t>2</w:t>
      </w:r>
      <w:r>
        <w:rPr/>
        <w:t>）各项存货跌价准备的增减变动情况</w:t>
      </w:r>
    </w:p>
    <w:p>
      <w:pPr>
        <w:spacing w:line="240" w:lineRule="auto" w:before="13"/>
        <w:rPr>
          <w:rFonts w:ascii="宋体" w:hAnsi="宋体" w:cs="宋体" w:eastAsia="宋体" w:hint="default"/>
          <w:sz w:val="20"/>
          <w:szCs w:val="20"/>
        </w:rPr>
      </w:pPr>
    </w:p>
    <w:tbl>
      <w:tblPr>
        <w:tblW w:w="0" w:type="auto"/>
        <w:jc w:val="left"/>
        <w:tblInd w:w="262" w:type="dxa"/>
        <w:tblLayout w:type="fixed"/>
        <w:tblCellMar>
          <w:top w:w="0" w:type="dxa"/>
          <w:left w:w="0" w:type="dxa"/>
          <w:bottom w:w="0" w:type="dxa"/>
          <w:right w:w="0" w:type="dxa"/>
        </w:tblCellMar>
        <w:tblLook w:val="01E0"/>
      </w:tblPr>
      <w:tblGrid>
        <w:gridCol w:w="2343"/>
        <w:gridCol w:w="1382"/>
        <w:gridCol w:w="1330"/>
        <w:gridCol w:w="950"/>
        <w:gridCol w:w="1270"/>
        <w:gridCol w:w="1584"/>
      </w:tblGrid>
      <w:tr>
        <w:trPr>
          <w:trHeight w:val="334" w:hRule="exact"/>
        </w:trPr>
        <w:tc>
          <w:tcPr>
            <w:tcW w:w="2343"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382"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30"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2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84"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29" w:hRule="exact"/>
        </w:trPr>
        <w:tc>
          <w:tcPr>
            <w:tcW w:w="2343" w:type="dxa"/>
            <w:vMerge/>
            <w:tcBorders>
              <w:left w:val="nil" w:sz="6" w:space="0" w:color="auto"/>
              <w:bottom w:val="single" w:sz="6" w:space="0" w:color="000000"/>
              <w:right w:val="single" w:sz="6" w:space="0" w:color="000000"/>
            </w:tcBorders>
          </w:tcPr>
          <w:p>
            <w:pPr/>
          </w:p>
        </w:tc>
        <w:tc>
          <w:tcPr>
            <w:tcW w:w="1382"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84" w:type="dxa"/>
            <w:vMerge/>
            <w:tcBorders>
              <w:left w:val="single" w:sz="6" w:space="0" w:color="000000"/>
              <w:bottom w:val="single" w:sz="6" w:space="0" w:color="000000"/>
              <w:right w:val="nil" w:sz="6" w:space="0" w:color="auto"/>
            </w:tcBorders>
          </w:tcPr>
          <w:p>
            <w:pPr/>
          </w:p>
        </w:tc>
      </w:tr>
      <w:tr>
        <w:trPr>
          <w:trHeight w:val="32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483,089.25</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483,089.25</w:t>
            </w:r>
          </w:p>
        </w:tc>
        <w:tc>
          <w:tcPr>
            <w:tcW w:w="15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219,134.98</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219,134.98</w:t>
            </w:r>
          </w:p>
        </w:tc>
        <w:tc>
          <w:tcPr>
            <w:tcW w:w="15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61,023.83</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61,023.83</w:t>
            </w:r>
          </w:p>
        </w:tc>
        <w:tc>
          <w:tcPr>
            <w:tcW w:w="1584"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1,176,993.92</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05"/>
              <w:jc w:val="right"/>
              <w:rPr>
                <w:rFonts w:ascii="Arial" w:hAnsi="Arial" w:cs="Arial" w:eastAsia="Arial" w:hint="default"/>
                <w:sz w:val="18"/>
                <w:szCs w:val="18"/>
              </w:rPr>
            </w:pPr>
            <w:r>
              <w:rPr>
                <w:rFonts w:ascii="Arial"/>
                <w:spacing w:val="-1"/>
                <w:sz w:val="18"/>
              </w:rPr>
              <w:t>1,176,993.92</w:t>
            </w:r>
          </w:p>
        </w:tc>
      </w:tr>
      <w:tr>
        <w:trPr>
          <w:trHeight w:val="327"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Arial" w:hAnsi="Arial" w:cs="Arial" w:eastAsia="Arial" w:hint="default"/>
                <w:sz w:val="18"/>
                <w:szCs w:val="18"/>
              </w:rPr>
            </w:pPr>
            <w:r>
              <w:rPr>
                <w:rFonts w:ascii="Arial"/>
                <w:spacing w:val="-1"/>
                <w:sz w:val="18"/>
              </w:rPr>
              <w:t>1,506,789.13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Arial" w:hAnsi="Arial" w:cs="Arial" w:eastAsia="Arial" w:hint="default"/>
                <w:sz w:val="18"/>
                <w:szCs w:val="18"/>
              </w:rPr>
            </w:pPr>
            <w:r>
              <w:rPr>
                <w:rFonts w:ascii="Arial"/>
                <w:spacing w:val="-1"/>
                <w:sz w:val="18"/>
              </w:rPr>
              <w:t>229,921.87</w:t>
            </w: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920,122.04</w:t>
            </w:r>
          </w:p>
        </w:tc>
        <w:tc>
          <w:tcPr>
            <w:tcW w:w="1584"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right="104"/>
              <w:jc w:val="right"/>
              <w:rPr>
                <w:rFonts w:ascii="Arial" w:hAnsi="Arial" w:cs="Arial" w:eastAsia="Arial" w:hint="default"/>
                <w:sz w:val="18"/>
                <w:szCs w:val="18"/>
              </w:rPr>
            </w:pPr>
            <w:r>
              <w:rPr>
                <w:rFonts w:ascii="Arial"/>
                <w:spacing w:val="-1"/>
                <w:sz w:val="18"/>
              </w:rPr>
              <w:t>816,588.96</w:t>
            </w:r>
          </w:p>
        </w:tc>
      </w:tr>
      <w:tr>
        <w:trPr>
          <w:trHeight w:val="32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420,867.61</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420,867.61</w:t>
            </w:r>
          </w:p>
        </w:tc>
        <w:tc>
          <w:tcPr>
            <w:tcW w:w="15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245,862.72</w:t>
            </w:r>
          </w:p>
        </w:tc>
        <w:tc>
          <w:tcPr>
            <w:tcW w:w="133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245,862.72</w:t>
            </w:r>
          </w:p>
        </w:tc>
        <w:tc>
          <w:tcPr>
            <w:tcW w:w="1584"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2"/>
                <w:sz w:val="18"/>
              </w:rPr>
              <w:t>1,118,061.27</w:t>
            </w:r>
          </w:p>
        </w:tc>
        <w:tc>
          <w:tcPr>
            <w:tcW w:w="9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04"/>
              <w:jc w:val="right"/>
              <w:rPr>
                <w:rFonts w:ascii="Arial" w:hAnsi="Arial" w:cs="Arial" w:eastAsia="Arial" w:hint="default"/>
                <w:sz w:val="18"/>
                <w:szCs w:val="18"/>
              </w:rPr>
            </w:pPr>
            <w:r>
              <w:rPr>
                <w:rFonts w:ascii="Arial"/>
                <w:spacing w:val="-2"/>
                <w:sz w:val="18"/>
              </w:rPr>
              <w:t>1,118,061.27</w:t>
            </w:r>
          </w:p>
        </w:tc>
      </w:tr>
      <w:tr>
        <w:trPr>
          <w:trHeight w:val="334" w:hRule="exact"/>
        </w:trPr>
        <w:tc>
          <w:tcPr>
            <w:tcW w:w="2343" w:type="dxa"/>
            <w:tcBorders>
              <w:top w:val="single" w:sz="6" w:space="0" w:color="000000"/>
              <w:left w:val="nil" w:sz="6" w:space="0" w:color="auto"/>
              <w:bottom w:val="single" w:sz="12" w:space="0" w:color="000000"/>
              <w:right w:val="single" w:sz="6" w:space="0" w:color="000000"/>
            </w:tcBorders>
          </w:tcPr>
          <w:p>
            <w:pPr>
              <w:pStyle w:val="TableParagraph"/>
              <w:tabs>
                <w:tab w:pos="474" w:val="left" w:leader="none"/>
              </w:tabs>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97"/>
              <w:jc w:val="right"/>
              <w:rPr>
                <w:rFonts w:ascii="Arial" w:hAnsi="Arial" w:cs="Arial" w:eastAsia="Arial" w:hint="default"/>
                <w:sz w:val="18"/>
                <w:szCs w:val="18"/>
              </w:rPr>
            </w:pPr>
            <w:r>
              <w:rPr>
                <w:rFonts w:ascii="Arial"/>
                <w:b/>
                <w:w w:val="99"/>
                <w:sz w:val="18"/>
              </w:rPr>
            </w:r>
            <w:r>
              <w:rPr>
                <w:rFonts w:ascii="Arial"/>
                <w:b/>
                <w:spacing w:val="-2"/>
                <w:sz w:val="18"/>
                <w:u w:val="single" w:color="000000"/>
              </w:rPr>
              <w:t>4,113,761.44</w:t>
            </w:r>
            <w:r>
              <w:rPr>
                <w:rFonts w:ascii="Arial"/>
                <w:b/>
                <w:spacing w:val="-2"/>
                <w:sz w:val="18"/>
              </w:rPr>
            </w:r>
            <w:r>
              <w:rPr>
                <w:rFonts w:ascii="Arial"/>
                <w:spacing w:val="-2"/>
                <w:sz w:val="18"/>
              </w:rPr>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1,347,983.14</w:t>
            </w:r>
            <w:r>
              <w:rPr>
                <w:rFonts w:ascii="Arial"/>
                <w:b/>
                <w:spacing w:val="-1"/>
                <w:sz w:val="18"/>
              </w:rPr>
            </w:r>
            <w:r>
              <w:rPr>
                <w:rFonts w:ascii="Arial"/>
                <w:spacing w:val="-1"/>
                <w:sz w:val="18"/>
              </w:rPr>
            </w:r>
          </w:p>
        </w:tc>
        <w:tc>
          <w:tcPr>
            <w:tcW w:w="950" w:type="dxa"/>
            <w:tcBorders>
              <w:top w:val="single" w:sz="6" w:space="0" w:color="000000"/>
              <w:left w:val="single" w:sz="6" w:space="0" w:color="000000"/>
              <w:bottom w:val="single" w:sz="12" w:space="0" w:color="000000"/>
              <w:right w:val="single" w:sz="6" w:space="0" w:color="000000"/>
            </w:tcBorders>
          </w:tcPr>
          <w:p>
            <w:pP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2,350,100.43</w:t>
            </w:r>
            <w:r>
              <w:rPr>
                <w:rFonts w:ascii="Arial"/>
                <w:b/>
                <w:spacing w:val="-1"/>
                <w:sz w:val="18"/>
              </w:rPr>
            </w:r>
            <w:r>
              <w:rPr>
                <w:rFonts w:ascii="Arial"/>
                <w:spacing w:val="-1"/>
                <w:sz w:val="18"/>
              </w:rPr>
            </w:r>
          </w:p>
        </w:tc>
        <w:tc>
          <w:tcPr>
            <w:tcW w:w="1584" w:type="dxa"/>
            <w:tcBorders>
              <w:top w:val="single" w:sz="6" w:space="0" w:color="000000"/>
              <w:left w:val="single" w:sz="6" w:space="0" w:color="000000"/>
              <w:bottom w:val="single" w:sz="12" w:space="0" w:color="000000"/>
              <w:right w:val="nil" w:sz="6" w:space="0" w:color="auto"/>
            </w:tcBorders>
          </w:tcPr>
          <w:p>
            <w:pPr>
              <w:pStyle w:val="TableParagraph"/>
              <w:spacing w:line="201" w:lineRule="exact"/>
              <w:ind w:right="105"/>
              <w:jc w:val="right"/>
              <w:rPr>
                <w:rFonts w:ascii="Arial" w:hAnsi="Arial" w:cs="Arial" w:eastAsia="Arial" w:hint="default"/>
                <w:sz w:val="18"/>
                <w:szCs w:val="18"/>
              </w:rPr>
            </w:pPr>
            <w:r>
              <w:rPr>
                <w:rFonts w:ascii="Arial"/>
                <w:b/>
                <w:w w:val="99"/>
                <w:sz w:val="18"/>
              </w:rPr>
            </w:r>
            <w:r>
              <w:rPr>
                <w:rFonts w:ascii="Arial"/>
                <w:b/>
                <w:spacing w:val="-2"/>
                <w:sz w:val="18"/>
                <w:u w:val="single" w:color="000000"/>
              </w:rPr>
              <w:t>3,111,644.15</w:t>
            </w:r>
            <w:r>
              <w:rPr>
                <w:rFonts w:ascii="Arial"/>
                <w:b/>
                <w:spacing w:val="-2"/>
                <w:sz w:val="18"/>
              </w:rPr>
            </w:r>
            <w:r>
              <w:rPr>
                <w:rFonts w:ascii="Arial"/>
                <w:spacing w:val="-2"/>
                <w:sz w:val="18"/>
              </w:rPr>
            </w:r>
          </w:p>
        </w:tc>
      </w:tr>
    </w:tbl>
    <w:p>
      <w:pPr>
        <w:spacing w:line="240" w:lineRule="auto" w:before="5"/>
        <w:rPr>
          <w:rFonts w:ascii="宋体" w:hAnsi="宋体" w:cs="宋体" w:eastAsia="宋体" w:hint="default"/>
          <w:sz w:val="8"/>
          <w:szCs w:val="8"/>
        </w:rPr>
      </w:pPr>
    </w:p>
    <w:p>
      <w:pPr>
        <w:pStyle w:val="BodyText"/>
        <w:spacing w:line="240" w:lineRule="auto" w:before="36"/>
        <w:ind w:left="620" w:right="1329"/>
        <w:jc w:val="left"/>
      </w:pPr>
      <w:r>
        <w:rPr/>
        <w:t>注：本年存货跌价准备的减少系处置子公司，转出其存货跌价准备。</w:t>
      </w:r>
    </w:p>
    <w:p>
      <w:pPr>
        <w:spacing w:line="240" w:lineRule="auto" w:before="9"/>
        <w:rPr>
          <w:rFonts w:ascii="宋体" w:hAnsi="宋体" w:cs="宋体" w:eastAsia="宋体" w:hint="default"/>
          <w:sz w:val="28"/>
          <w:szCs w:val="28"/>
        </w:rPr>
      </w:pPr>
    </w:p>
    <w:p>
      <w:pPr>
        <w:pStyle w:val="BodyText"/>
        <w:spacing w:line="240" w:lineRule="auto"/>
        <w:ind w:left="620" w:right="1329"/>
        <w:jc w:val="left"/>
      </w:pPr>
      <w:r>
        <w:rPr/>
        <w:t>（</w:t>
      </w:r>
      <w:r>
        <w:rPr>
          <w:rFonts w:ascii="Arial" w:hAnsi="Arial" w:cs="Arial" w:eastAsia="Arial" w:hint="default"/>
        </w:rPr>
        <w:t>3</w:t>
      </w:r>
      <w:r>
        <w:rPr/>
        <w:t>）存货跌价准备计提依据与转回情况</w:t>
      </w:r>
    </w:p>
    <w:p>
      <w:pPr>
        <w:spacing w:line="240" w:lineRule="auto" w:before="13"/>
        <w:rPr>
          <w:rFonts w:ascii="宋体" w:hAnsi="宋体" w:cs="宋体" w:eastAsia="宋体" w:hint="default"/>
          <w:sz w:val="20"/>
          <w:szCs w:val="20"/>
        </w:rPr>
      </w:pPr>
    </w:p>
    <w:tbl>
      <w:tblPr>
        <w:tblW w:w="0" w:type="auto"/>
        <w:jc w:val="left"/>
        <w:tblInd w:w="262" w:type="dxa"/>
        <w:tblLayout w:type="fixed"/>
        <w:tblCellMar>
          <w:top w:w="0" w:type="dxa"/>
          <w:left w:w="0" w:type="dxa"/>
          <w:bottom w:w="0" w:type="dxa"/>
          <w:right w:w="0" w:type="dxa"/>
        </w:tblCellMar>
        <w:tblLook w:val="01E0"/>
      </w:tblPr>
      <w:tblGrid>
        <w:gridCol w:w="2177"/>
        <w:gridCol w:w="2699"/>
        <w:gridCol w:w="2340"/>
        <w:gridCol w:w="1644"/>
      </w:tblGrid>
      <w:tr>
        <w:trPr>
          <w:trHeight w:val="725"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2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981" w:right="170" w:hanging="809"/>
              <w:jc w:val="left"/>
              <w:rPr>
                <w:rFonts w:ascii="宋体" w:hAnsi="宋体" w:cs="宋体" w:eastAsia="宋体" w:hint="default"/>
                <w:sz w:val="18"/>
                <w:szCs w:val="18"/>
              </w:rPr>
            </w:pPr>
            <w:r>
              <w:rPr>
                <w:rFonts w:ascii="宋体" w:hAnsi="宋体" w:cs="宋体" w:eastAsia="宋体" w:hint="default"/>
                <w:sz w:val="18"/>
                <w:szCs w:val="18"/>
              </w:rPr>
              <w:t>本年转回存货跌价准备的 原因</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本年转回金额占</w:t>
            </w:r>
          </w:p>
          <w:p>
            <w:pPr>
              <w:pStyle w:val="TableParagraph"/>
              <w:spacing w:line="234" w:lineRule="exact" w:before="23"/>
              <w:ind w:left="454" w:right="189" w:hanging="269"/>
              <w:jc w:val="left"/>
              <w:rPr>
                <w:rFonts w:ascii="宋体" w:hAnsi="宋体" w:cs="宋体" w:eastAsia="宋体" w:hint="default"/>
                <w:sz w:val="18"/>
                <w:szCs w:val="18"/>
              </w:rPr>
            </w:pPr>
            <w:r>
              <w:rPr>
                <w:rFonts w:ascii="宋体" w:hAnsi="宋体" w:cs="宋体" w:eastAsia="宋体" w:hint="default"/>
                <w:sz w:val="18"/>
                <w:szCs w:val="18"/>
              </w:rPr>
              <w:t>该项存货期末余 额的比例</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0" w:type="dxa"/>
            <w:tcBorders>
              <w:top w:val="single" w:sz="6" w:space="0" w:color="000000"/>
              <w:left w:val="single" w:sz="6" w:space="0" w:color="000000"/>
              <w:bottom w:val="single" w:sz="12" w:space="0" w:color="000000"/>
              <w:right w:val="single" w:sz="6" w:space="0" w:color="000000"/>
            </w:tcBorders>
          </w:tcPr>
          <w:p>
            <w:pPr/>
          </w:p>
        </w:tc>
        <w:tc>
          <w:tcPr>
            <w:tcW w:w="164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tabs>
          <w:tab w:pos="1474" w:val="left" w:leader="none"/>
        </w:tabs>
        <w:spacing w:line="460" w:lineRule="auto" w:before="36"/>
        <w:ind w:left="620" w:right="4787" w:firstLine="0"/>
        <w:jc w:val="left"/>
        <w:rPr>
          <w:rFonts w:ascii="宋体" w:hAnsi="宋体" w:cs="宋体" w:eastAsia="宋体" w:hint="default"/>
          <w:sz w:val="21"/>
          <w:szCs w:val="21"/>
        </w:rPr>
      </w:pPr>
      <w:r>
        <w:rPr>
          <w:rFonts w:ascii="宋体" w:hAnsi="宋体" w:cs="宋体" w:eastAsia="宋体" w:hint="default"/>
          <w:b/>
          <w:bCs/>
          <w:sz w:val="21"/>
          <w:szCs w:val="21"/>
        </w:rPr>
        <w:t>（七）</w:t>
        <w:tab/>
        <w:t>对联营企业投资</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本公司主要联营企业相关信息列示如下（单位：万元）：</w:t>
      </w:r>
    </w:p>
    <w:p>
      <w:pPr>
        <w:spacing w:line="240" w:lineRule="auto" w:before="5"/>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394"/>
        <w:gridCol w:w="1016"/>
        <w:gridCol w:w="1330"/>
        <w:gridCol w:w="1087"/>
        <w:gridCol w:w="1090"/>
        <w:gridCol w:w="1118"/>
        <w:gridCol w:w="881"/>
        <w:gridCol w:w="1169"/>
      </w:tblGrid>
      <w:tr>
        <w:trPr>
          <w:trHeight w:val="742" w:hRule="exact"/>
        </w:trPr>
        <w:tc>
          <w:tcPr>
            <w:tcW w:w="1394" w:type="dxa"/>
            <w:tcBorders>
              <w:top w:val="single" w:sz="12" w:space="0" w:color="000000"/>
              <w:left w:val="nil" w:sz="6" w:space="0" w:color="auto"/>
              <w:bottom w:val="single" w:sz="6" w:space="0" w:color="000000"/>
              <w:right w:val="single" w:sz="6" w:space="0" w:color="000000"/>
            </w:tcBorders>
          </w:tcPr>
          <w:p>
            <w:pPr>
              <w:pStyle w:val="TableParagraph"/>
              <w:spacing w:line="244" w:lineRule="auto" w:before="101"/>
              <w:ind w:left="614" w:right="141"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0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88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51" w:right="161" w:hanging="89"/>
              <w:jc w:val="left"/>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30" w:lineRule="exact"/>
              <w:ind w:left="1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注册资本</w:t>
            </w:r>
          </w:p>
        </w:tc>
      </w:tr>
      <w:tr>
        <w:trPr>
          <w:trHeight w:val="984" w:hRule="exact"/>
        </w:trPr>
        <w:tc>
          <w:tcPr>
            <w:tcW w:w="1394"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104"/>
              <w:ind w:left="122" w:right="81"/>
              <w:jc w:val="both"/>
              <w:rPr>
                <w:rFonts w:ascii="宋体" w:hAnsi="宋体" w:cs="宋体" w:eastAsia="宋体" w:hint="default"/>
                <w:sz w:val="18"/>
                <w:szCs w:val="18"/>
              </w:rPr>
            </w:pPr>
            <w:r>
              <w:rPr>
                <w:rFonts w:ascii="宋体" w:hAnsi="宋体" w:cs="宋体" w:eastAsia="宋体" w:hint="default"/>
                <w:spacing w:val="13"/>
                <w:sz w:val="18"/>
                <w:szCs w:val="18"/>
              </w:rPr>
              <w:t>杭州厚达自动</w:t>
            </w:r>
            <w:r>
              <w:rPr>
                <w:rFonts w:ascii="宋体" w:hAnsi="宋体" w:cs="宋体" w:eastAsia="宋体" w:hint="default"/>
                <w:spacing w:val="-74"/>
                <w:sz w:val="18"/>
                <w:szCs w:val="18"/>
              </w:rPr>
              <w:t> </w:t>
            </w:r>
            <w:r>
              <w:rPr>
                <w:rFonts w:ascii="宋体" w:hAnsi="宋体" w:cs="宋体" w:eastAsia="宋体" w:hint="default"/>
                <w:spacing w:val="13"/>
                <w:sz w:val="18"/>
                <w:szCs w:val="18"/>
              </w:rPr>
              <w:t>化系统有限公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2"/>
              <w:ind w:left="117" w:right="115"/>
              <w:jc w:val="center"/>
              <w:rPr>
                <w:rFonts w:ascii="宋体" w:hAnsi="宋体" w:cs="宋体" w:eastAsia="宋体" w:hint="default"/>
                <w:sz w:val="18"/>
                <w:szCs w:val="18"/>
              </w:rPr>
            </w:pPr>
            <w:r>
              <w:rPr>
                <w:rFonts w:ascii="宋体" w:hAnsi="宋体" w:cs="宋体" w:eastAsia="宋体" w:hint="default"/>
                <w:sz w:val="18"/>
                <w:szCs w:val="18"/>
              </w:rPr>
              <w:t>浙江省杭州市 余杭区五常街 道五常大道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章青侯</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23" w:right="0"/>
              <w:jc w:val="left"/>
              <w:rPr>
                <w:rFonts w:ascii="Arial" w:hAnsi="Arial" w:cs="Arial" w:eastAsia="Arial" w:hint="default"/>
                <w:sz w:val="18"/>
                <w:szCs w:val="18"/>
              </w:rPr>
            </w:pPr>
            <w:r>
              <w:rPr>
                <w:rFonts w:ascii="Arial"/>
                <w:sz w:val="18"/>
              </w:rPr>
              <w:t>40.00</w:t>
            </w:r>
          </w:p>
        </w:tc>
        <w:tc>
          <w:tcPr>
            <w:tcW w:w="8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06" w:right="0"/>
              <w:jc w:val="left"/>
              <w:rPr>
                <w:rFonts w:ascii="Arial" w:hAnsi="Arial" w:cs="Arial" w:eastAsia="Arial" w:hint="default"/>
                <w:sz w:val="18"/>
                <w:szCs w:val="18"/>
              </w:rPr>
            </w:pPr>
            <w:r>
              <w:rPr>
                <w:rFonts w:ascii="Arial"/>
                <w:sz w:val="18"/>
              </w:rPr>
              <w:t>40.00</w:t>
            </w:r>
          </w:p>
        </w:tc>
        <w:tc>
          <w:tcPr>
            <w:tcW w:w="1169"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5" w:right="0"/>
              <w:jc w:val="left"/>
              <w:rPr>
                <w:rFonts w:ascii="Arial" w:hAnsi="Arial" w:cs="Arial" w:eastAsia="Arial" w:hint="default"/>
                <w:sz w:val="18"/>
                <w:szCs w:val="18"/>
              </w:rPr>
            </w:pPr>
            <w:r>
              <w:rPr>
                <w:rFonts w:ascii="Arial"/>
                <w:sz w:val="18"/>
              </w:rPr>
              <w:t>1,000.00</w:t>
            </w:r>
          </w:p>
        </w:tc>
      </w:tr>
    </w:tbl>
    <w:p>
      <w:pPr>
        <w:spacing w:after="0" w:line="240" w:lineRule="auto"/>
        <w:jc w:val="left"/>
        <w:rPr>
          <w:rFonts w:ascii="Arial" w:hAnsi="Arial" w:cs="Arial" w:eastAsia="Arial" w:hint="default"/>
          <w:sz w:val="18"/>
          <w:szCs w:val="18"/>
        </w:rPr>
        <w:sectPr>
          <w:pgSz w:w="11910" w:h="16840"/>
          <w:pgMar w:header="884" w:footer="1013" w:top="1080" w:bottom="1200" w:left="1240" w:right="0"/>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94"/>
        <w:gridCol w:w="1016"/>
        <w:gridCol w:w="1330"/>
        <w:gridCol w:w="1087"/>
        <w:gridCol w:w="1090"/>
        <w:gridCol w:w="1118"/>
        <w:gridCol w:w="881"/>
        <w:gridCol w:w="1169"/>
      </w:tblGrid>
      <w:tr>
        <w:trPr>
          <w:trHeight w:val="749" w:hRule="exact"/>
        </w:trPr>
        <w:tc>
          <w:tcPr>
            <w:tcW w:w="1394" w:type="dxa"/>
            <w:tcBorders>
              <w:top w:val="single" w:sz="17" w:space="0" w:color="000000"/>
              <w:left w:val="nil" w:sz="6" w:space="0" w:color="auto"/>
              <w:bottom w:val="single" w:sz="6" w:space="0" w:color="000000"/>
              <w:right w:val="single" w:sz="6" w:space="0" w:color="000000"/>
            </w:tcBorders>
          </w:tcPr>
          <w:p>
            <w:pPr>
              <w:pStyle w:val="TableParagraph"/>
              <w:spacing w:line="240" w:lineRule="exact"/>
              <w:ind w:left="122" w:right="81"/>
              <w:jc w:val="both"/>
              <w:rPr>
                <w:rFonts w:ascii="宋体" w:hAnsi="宋体" w:cs="宋体" w:eastAsia="宋体" w:hint="default"/>
                <w:sz w:val="18"/>
                <w:szCs w:val="18"/>
              </w:rPr>
            </w:pPr>
            <w:r>
              <w:rPr>
                <w:rFonts w:ascii="宋体" w:hAnsi="宋体" w:cs="宋体" w:eastAsia="宋体" w:hint="default"/>
                <w:spacing w:val="13"/>
                <w:sz w:val="18"/>
                <w:szCs w:val="18"/>
              </w:rPr>
              <w:t>深圳华立南方</w:t>
            </w:r>
            <w:r>
              <w:rPr>
                <w:rFonts w:ascii="宋体" w:hAnsi="宋体" w:cs="宋体" w:eastAsia="宋体" w:hint="default"/>
                <w:spacing w:val="-74"/>
                <w:sz w:val="18"/>
                <w:szCs w:val="18"/>
              </w:rPr>
              <w:t> </w:t>
            </w:r>
            <w:r>
              <w:rPr>
                <w:rFonts w:ascii="宋体" w:hAnsi="宋体" w:cs="宋体" w:eastAsia="宋体" w:hint="default"/>
                <w:spacing w:val="13"/>
                <w:sz w:val="18"/>
                <w:szCs w:val="18"/>
              </w:rPr>
              <w:t>电子技术有限</w:t>
            </w:r>
            <w:r>
              <w:rPr>
                <w:rFonts w:ascii="宋体" w:hAnsi="宋体" w:cs="宋体" w:eastAsia="宋体" w:hint="default"/>
                <w:spacing w:val="-74"/>
                <w:sz w:val="18"/>
                <w:szCs w:val="18"/>
              </w:rPr>
              <w:t> </w:t>
            </w:r>
            <w:r>
              <w:rPr>
                <w:rFonts w:ascii="宋体" w:hAnsi="宋体" w:cs="宋体" w:eastAsia="宋体" w:hint="default"/>
                <w:sz w:val="18"/>
                <w:szCs w:val="18"/>
              </w:rPr>
              <w:t>公司</w:t>
            </w:r>
          </w:p>
        </w:tc>
        <w:tc>
          <w:tcPr>
            <w:tcW w:w="101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30" w:type="dxa"/>
            <w:tcBorders>
              <w:top w:val="single" w:sz="17" w:space="0" w:color="000000"/>
              <w:left w:val="single" w:sz="6" w:space="0" w:color="000000"/>
              <w:bottom w:val="single" w:sz="6" w:space="0" w:color="000000"/>
              <w:right w:val="single" w:sz="6" w:space="0" w:color="000000"/>
            </w:tcBorders>
          </w:tcPr>
          <w:p>
            <w:pPr>
              <w:pStyle w:val="TableParagraph"/>
              <w:spacing w:line="240" w:lineRule="exact"/>
              <w:ind w:left="100" w:right="89"/>
              <w:jc w:val="both"/>
              <w:rPr>
                <w:rFonts w:ascii="宋体" w:hAnsi="宋体" w:cs="宋体" w:eastAsia="宋体" w:hint="default"/>
                <w:sz w:val="18"/>
                <w:szCs w:val="18"/>
              </w:rPr>
            </w:pPr>
            <w:r>
              <w:rPr>
                <w:rFonts w:ascii="宋体" w:hAnsi="宋体" w:cs="宋体" w:eastAsia="宋体" w:hint="default"/>
                <w:spacing w:val="7"/>
                <w:sz w:val="18"/>
                <w:szCs w:val="18"/>
              </w:rPr>
              <w:t>深圳市南山区 沙河西路茶光 </w:t>
            </w:r>
            <w:r>
              <w:rPr>
                <w:rFonts w:ascii="宋体" w:hAnsi="宋体" w:cs="宋体" w:eastAsia="宋体" w:hint="default"/>
                <w:sz w:val="18"/>
                <w:szCs w:val="18"/>
              </w:rPr>
              <w:t>工业区</w:t>
            </w:r>
          </w:p>
        </w:tc>
        <w:tc>
          <w:tcPr>
            <w:tcW w:w="108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章青侯</w:t>
            </w:r>
          </w:p>
        </w:tc>
        <w:tc>
          <w:tcPr>
            <w:tcW w:w="10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1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3" w:right="0"/>
              <w:jc w:val="left"/>
              <w:rPr>
                <w:rFonts w:ascii="Arial" w:hAnsi="Arial" w:cs="Arial" w:eastAsia="Arial" w:hint="default"/>
                <w:sz w:val="18"/>
                <w:szCs w:val="18"/>
              </w:rPr>
            </w:pPr>
            <w:r>
              <w:rPr>
                <w:rFonts w:ascii="Arial"/>
                <w:sz w:val="18"/>
              </w:rPr>
              <w:t>45.00</w:t>
            </w:r>
          </w:p>
        </w:tc>
        <w:tc>
          <w:tcPr>
            <w:tcW w:w="88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6" w:right="0"/>
              <w:jc w:val="left"/>
              <w:rPr>
                <w:rFonts w:ascii="Arial" w:hAnsi="Arial" w:cs="Arial" w:eastAsia="Arial" w:hint="default"/>
                <w:sz w:val="18"/>
                <w:szCs w:val="18"/>
              </w:rPr>
            </w:pPr>
            <w:r>
              <w:rPr>
                <w:rFonts w:ascii="Arial"/>
                <w:sz w:val="18"/>
              </w:rPr>
              <w:t>45.00</w:t>
            </w:r>
          </w:p>
        </w:tc>
        <w:tc>
          <w:tcPr>
            <w:tcW w:w="1169"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0" w:right="0"/>
              <w:jc w:val="left"/>
              <w:rPr>
                <w:rFonts w:ascii="Arial" w:hAnsi="Arial" w:cs="Arial" w:eastAsia="Arial" w:hint="default"/>
                <w:sz w:val="18"/>
                <w:szCs w:val="18"/>
              </w:rPr>
            </w:pPr>
            <w:r>
              <w:rPr>
                <w:rFonts w:ascii="Arial"/>
                <w:sz w:val="18"/>
              </w:rPr>
              <w:t>USD300.00</w:t>
            </w:r>
          </w:p>
        </w:tc>
      </w:tr>
      <w:tr>
        <w:trPr>
          <w:trHeight w:val="497" w:hRule="exact"/>
        </w:trPr>
        <w:tc>
          <w:tcPr>
            <w:tcW w:w="1394"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614" w:right="141"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319" w:right="140" w:hanging="180"/>
              <w:jc w:val="left"/>
              <w:rPr>
                <w:rFonts w:ascii="宋体" w:hAnsi="宋体" w:cs="宋体" w:eastAsia="宋体" w:hint="default"/>
                <w:sz w:val="18"/>
                <w:szCs w:val="18"/>
              </w:rPr>
            </w:pPr>
            <w:r>
              <w:rPr>
                <w:rFonts w:ascii="宋体" w:hAnsi="宋体" w:cs="宋体" w:eastAsia="宋体" w:hint="default"/>
                <w:sz w:val="18"/>
                <w:szCs w:val="18"/>
              </w:rPr>
              <w:t>年末资产 总额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15"/>
              <w:jc w:val="right"/>
              <w:rPr>
                <w:rFonts w:ascii="宋体" w:hAnsi="宋体" w:cs="宋体" w:eastAsia="宋体" w:hint="default"/>
                <w:sz w:val="18"/>
                <w:szCs w:val="18"/>
              </w:rPr>
            </w:pPr>
            <w:r>
              <w:rPr>
                <w:rFonts w:ascii="宋体" w:hAnsi="宋体" w:cs="宋体" w:eastAsia="宋体" w:hint="default"/>
                <w:sz w:val="18"/>
                <w:szCs w:val="18"/>
              </w:rPr>
              <w:t>年末负债总额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266" w:right="175" w:hanging="92"/>
              <w:jc w:val="left"/>
              <w:rPr>
                <w:rFonts w:ascii="宋体" w:hAnsi="宋体" w:cs="宋体" w:eastAsia="宋体" w:hint="default"/>
                <w:sz w:val="18"/>
                <w:szCs w:val="18"/>
              </w:rPr>
            </w:pPr>
            <w:r>
              <w:rPr>
                <w:rFonts w:ascii="宋体" w:hAnsi="宋体" w:cs="宋体" w:eastAsia="宋体" w:hint="default"/>
                <w:sz w:val="18"/>
                <w:szCs w:val="18"/>
              </w:rPr>
              <w:t>年末净资 产总额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7" w:right="175"/>
              <w:jc w:val="left"/>
              <w:rPr>
                <w:rFonts w:ascii="宋体" w:hAnsi="宋体" w:cs="宋体" w:eastAsia="宋体" w:hint="default"/>
                <w:sz w:val="18"/>
                <w:szCs w:val="18"/>
              </w:rPr>
            </w:pPr>
            <w:r>
              <w:rPr>
                <w:rFonts w:ascii="宋体" w:hAnsi="宋体" w:cs="宋体" w:eastAsia="宋体" w:hint="default"/>
                <w:sz w:val="18"/>
                <w:szCs w:val="18"/>
              </w:rPr>
              <w:t>本年营业 收入总额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hAnsi="宋体" w:cs="宋体" w:eastAsia="宋体" w:hint="default"/>
                <w:sz w:val="18"/>
                <w:szCs w:val="18"/>
              </w:rPr>
              <w:t>本年净利润</w:t>
            </w:r>
          </w:p>
        </w:tc>
        <w:tc>
          <w:tcPr>
            <w:tcW w:w="20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left="47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34" w:hRule="exact"/>
        </w:trPr>
        <w:tc>
          <w:tcPr>
            <w:tcW w:w="139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1"/>
              <w:jc w:val="both"/>
              <w:rPr>
                <w:rFonts w:ascii="宋体" w:hAnsi="宋体" w:cs="宋体" w:eastAsia="宋体" w:hint="default"/>
                <w:sz w:val="18"/>
                <w:szCs w:val="18"/>
              </w:rPr>
            </w:pPr>
            <w:r>
              <w:rPr>
                <w:rFonts w:ascii="宋体" w:hAnsi="宋体" w:cs="宋体" w:eastAsia="宋体" w:hint="default"/>
                <w:spacing w:val="13"/>
                <w:sz w:val="18"/>
                <w:szCs w:val="18"/>
              </w:rPr>
              <w:t>杭州厚达自动</w:t>
            </w:r>
            <w:r>
              <w:rPr>
                <w:rFonts w:ascii="宋体" w:hAnsi="宋体" w:cs="宋体" w:eastAsia="宋体" w:hint="default"/>
                <w:spacing w:val="-74"/>
                <w:sz w:val="18"/>
                <w:szCs w:val="18"/>
              </w:rPr>
              <w:t> </w:t>
            </w:r>
            <w:r>
              <w:rPr>
                <w:rFonts w:ascii="宋体" w:hAnsi="宋体" w:cs="宋体" w:eastAsia="宋体" w:hint="default"/>
                <w:spacing w:val="13"/>
                <w:sz w:val="18"/>
                <w:szCs w:val="18"/>
              </w:rPr>
              <w:t>化系统有限公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3" w:right="0"/>
              <w:jc w:val="center"/>
              <w:rPr>
                <w:rFonts w:ascii="Arial" w:hAnsi="Arial" w:cs="Arial" w:eastAsia="Arial" w:hint="default"/>
                <w:sz w:val="18"/>
                <w:szCs w:val="18"/>
              </w:rPr>
            </w:pPr>
            <w:r>
              <w:rPr>
                <w:rFonts w:ascii="Arial"/>
                <w:sz w:val="18"/>
              </w:rPr>
              <w:t>1,658.27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632.85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71" w:right="0"/>
              <w:jc w:val="left"/>
              <w:rPr>
                <w:rFonts w:ascii="Arial" w:hAnsi="Arial" w:cs="Arial" w:eastAsia="Arial" w:hint="default"/>
                <w:sz w:val="18"/>
                <w:szCs w:val="18"/>
              </w:rPr>
            </w:pPr>
            <w:r>
              <w:rPr>
                <w:rFonts w:ascii="Arial"/>
                <w:sz w:val="18"/>
              </w:rPr>
              <w:t>1,025.42</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2"/>
                <w:w w:val="95"/>
                <w:sz w:val="18"/>
              </w:rPr>
              <w:t>1,101.11</w:t>
            </w:r>
            <w:r>
              <w:rPr>
                <w:rFonts w:ascii="Arial"/>
                <w:spacing w:val="-2"/>
                <w:sz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w w:val="95"/>
                <w:sz w:val="18"/>
              </w:rPr>
              <w:t>25.42</w:t>
            </w:r>
            <w:r>
              <w:rPr>
                <w:rFonts w:ascii="Arial"/>
                <w:sz w:val="18"/>
              </w:rPr>
            </w:r>
          </w:p>
        </w:tc>
        <w:tc>
          <w:tcPr>
            <w:tcW w:w="20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38" w:right="0"/>
              <w:jc w:val="left"/>
              <w:rPr>
                <w:rFonts w:ascii="Arial" w:hAnsi="Arial" w:cs="Arial" w:eastAsia="Arial" w:hint="default"/>
                <w:sz w:val="18"/>
                <w:szCs w:val="18"/>
              </w:rPr>
            </w:pPr>
            <w:r>
              <w:rPr>
                <w:rFonts w:ascii="Arial"/>
                <w:sz w:val="18"/>
              </w:rPr>
              <w:t>55267727-1</w:t>
            </w:r>
          </w:p>
        </w:tc>
      </w:tr>
      <w:tr>
        <w:trPr>
          <w:trHeight w:val="744" w:hRule="exact"/>
        </w:trPr>
        <w:tc>
          <w:tcPr>
            <w:tcW w:w="1394"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81"/>
              <w:jc w:val="both"/>
              <w:rPr>
                <w:rFonts w:ascii="宋体" w:hAnsi="宋体" w:cs="宋体" w:eastAsia="宋体" w:hint="default"/>
                <w:sz w:val="18"/>
                <w:szCs w:val="18"/>
              </w:rPr>
            </w:pPr>
            <w:r>
              <w:rPr>
                <w:rFonts w:ascii="宋体" w:hAnsi="宋体" w:cs="宋体" w:eastAsia="宋体" w:hint="default"/>
                <w:spacing w:val="13"/>
                <w:sz w:val="18"/>
                <w:szCs w:val="18"/>
              </w:rPr>
              <w:t>深圳华立南方</w:t>
            </w:r>
            <w:r>
              <w:rPr>
                <w:rFonts w:ascii="宋体" w:hAnsi="宋体" w:cs="宋体" w:eastAsia="宋体" w:hint="default"/>
                <w:spacing w:val="-74"/>
                <w:sz w:val="18"/>
                <w:szCs w:val="18"/>
              </w:rPr>
              <w:t> </w:t>
            </w:r>
            <w:r>
              <w:rPr>
                <w:rFonts w:ascii="宋体" w:hAnsi="宋体" w:cs="宋体" w:eastAsia="宋体" w:hint="default"/>
                <w:spacing w:val="13"/>
                <w:sz w:val="18"/>
                <w:szCs w:val="18"/>
              </w:rPr>
              <w:t>电子技术有限</w:t>
            </w:r>
            <w:r>
              <w:rPr>
                <w:rFonts w:ascii="宋体" w:hAnsi="宋体" w:cs="宋体" w:eastAsia="宋体" w:hint="default"/>
                <w:spacing w:val="-74"/>
                <w:sz w:val="18"/>
                <w:szCs w:val="18"/>
              </w:rPr>
              <w:t> </w:t>
            </w:r>
            <w:r>
              <w:rPr>
                <w:rFonts w:ascii="宋体" w:hAnsi="宋体" w:cs="宋体" w:eastAsia="宋体" w:hint="default"/>
                <w:sz w:val="18"/>
                <w:szCs w:val="18"/>
              </w:rPr>
              <w:t>公司</w:t>
            </w:r>
          </w:p>
        </w:tc>
        <w:tc>
          <w:tcPr>
            <w:tcW w:w="1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3" w:right="0"/>
              <w:jc w:val="center"/>
              <w:rPr>
                <w:rFonts w:ascii="Arial" w:hAnsi="Arial" w:cs="Arial" w:eastAsia="Arial" w:hint="default"/>
                <w:sz w:val="18"/>
                <w:szCs w:val="18"/>
              </w:rPr>
            </w:pPr>
            <w:r>
              <w:rPr>
                <w:rFonts w:ascii="Arial"/>
                <w:sz w:val="18"/>
              </w:rPr>
              <w:t>6,728.62</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2,473.09</w:t>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71" w:right="0"/>
              <w:jc w:val="left"/>
              <w:rPr>
                <w:rFonts w:ascii="Arial" w:hAnsi="Arial" w:cs="Arial" w:eastAsia="Arial" w:hint="default"/>
                <w:sz w:val="18"/>
                <w:szCs w:val="18"/>
              </w:rPr>
            </w:pPr>
            <w:r>
              <w:rPr>
                <w:rFonts w:ascii="Arial"/>
                <w:sz w:val="18"/>
              </w:rPr>
              <w:t>4,255.54</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9,988.40</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932.86</w:t>
            </w:r>
          </w:p>
        </w:tc>
        <w:tc>
          <w:tcPr>
            <w:tcW w:w="205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38" w:right="0"/>
              <w:jc w:val="left"/>
              <w:rPr>
                <w:rFonts w:ascii="Arial" w:hAnsi="Arial" w:cs="Arial" w:eastAsia="Arial" w:hint="default"/>
                <w:sz w:val="18"/>
                <w:szCs w:val="18"/>
              </w:rPr>
            </w:pPr>
            <w:r>
              <w:rPr>
                <w:rFonts w:ascii="Arial"/>
                <w:sz w:val="18"/>
              </w:rPr>
              <w:t>74885282-8</w:t>
            </w:r>
          </w:p>
        </w:tc>
      </w:tr>
    </w:tbl>
    <w:p>
      <w:pPr>
        <w:spacing w:line="240" w:lineRule="auto" w:before="13"/>
        <w:rPr>
          <w:rFonts w:ascii="宋体" w:hAnsi="宋体" w:cs="宋体" w:eastAsia="宋体" w:hint="default"/>
          <w:sz w:val="12"/>
          <w:szCs w:val="12"/>
        </w:rPr>
      </w:pPr>
    </w:p>
    <w:p>
      <w:pPr>
        <w:pStyle w:val="Heading4"/>
        <w:tabs>
          <w:tab w:pos="1434" w:val="left" w:leader="none"/>
        </w:tabs>
        <w:spacing w:line="240" w:lineRule="auto" w:before="36"/>
        <w:ind w:left="580" w:right="1326"/>
        <w:jc w:val="left"/>
        <w:rPr>
          <w:b w:val="0"/>
          <w:bCs w:val="0"/>
        </w:rPr>
      </w:pPr>
      <w:r>
        <w:rPr/>
        <w:t>（八）</w:t>
        <w:tab/>
        <w:t>长期股权投资</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580" w:right="1326"/>
        <w:jc w:val="left"/>
      </w:pPr>
      <w:r>
        <w:rPr/>
        <w:t>（</w:t>
      </w:r>
      <w:r>
        <w:rPr>
          <w:rFonts w:ascii="Arial" w:hAnsi="Arial" w:cs="Arial" w:eastAsia="Arial" w:hint="default"/>
        </w:rPr>
        <w:t>1</w:t>
      </w:r>
      <w:r>
        <w:rPr/>
        <w:t>）</w:t>
      </w:r>
      <w:r>
        <w:rPr>
          <w:spacing w:val="77"/>
        </w:rPr>
        <w:t> </w:t>
      </w:r>
      <w:r>
        <w:rPr/>
        <w:t>长期股权投资分项列示如下：</w:t>
      </w:r>
    </w:p>
    <w:p>
      <w:pPr>
        <w:spacing w:line="240" w:lineRule="auto" w:before="13"/>
        <w:rPr>
          <w:rFonts w:ascii="宋体" w:hAnsi="宋体" w:cs="宋体" w:eastAsia="宋体" w:hint="default"/>
          <w:sz w:val="20"/>
          <w:szCs w:val="20"/>
        </w:rPr>
      </w:pPr>
    </w:p>
    <w:tbl>
      <w:tblPr>
        <w:tblW w:w="0" w:type="auto"/>
        <w:jc w:val="left"/>
        <w:tblInd w:w="268" w:type="dxa"/>
        <w:tblLayout w:type="fixed"/>
        <w:tblCellMar>
          <w:top w:w="0" w:type="dxa"/>
          <w:left w:w="0" w:type="dxa"/>
          <w:bottom w:w="0" w:type="dxa"/>
          <w:right w:w="0" w:type="dxa"/>
        </w:tblCellMar>
        <w:tblLook w:val="01E0"/>
      </w:tblPr>
      <w:tblGrid>
        <w:gridCol w:w="2283"/>
        <w:gridCol w:w="917"/>
        <w:gridCol w:w="1368"/>
        <w:gridCol w:w="1368"/>
        <w:gridCol w:w="1465"/>
        <w:gridCol w:w="1368"/>
      </w:tblGrid>
      <w:tr>
        <w:trPr>
          <w:trHeight w:val="502" w:hRule="exact"/>
        </w:trPr>
        <w:tc>
          <w:tcPr>
            <w:tcW w:w="228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69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60" w:right="180"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34"/>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7" w:right="314" w:firstLine="180"/>
              <w:jc w:val="left"/>
              <w:rPr>
                <w:rFonts w:ascii="宋体" w:hAnsi="宋体" w:cs="宋体" w:eastAsia="宋体" w:hint="default"/>
                <w:sz w:val="18"/>
                <w:szCs w:val="18"/>
              </w:rPr>
            </w:pPr>
            <w:r>
              <w:rPr>
                <w:rFonts w:ascii="宋体" w:hAnsi="宋体" w:cs="宋体" w:eastAsia="宋体" w:hint="default"/>
                <w:sz w:val="18"/>
                <w:szCs w:val="18"/>
              </w:rPr>
              <w:t>年初 账面余额</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73" w:right="0"/>
              <w:jc w:val="left"/>
              <w:rPr>
                <w:rFonts w:ascii="宋体" w:hAnsi="宋体" w:cs="宋体" w:eastAsia="宋体" w:hint="default"/>
                <w:sz w:val="18"/>
                <w:szCs w:val="18"/>
              </w:rPr>
            </w:pPr>
            <w:r>
              <w:rPr>
                <w:rFonts w:ascii="宋体" w:hAnsi="宋体" w:cs="宋体" w:eastAsia="宋体" w:hint="default"/>
                <w:sz w:val="18"/>
                <w:szCs w:val="18"/>
              </w:rPr>
              <w:t>本年增减额</w:t>
            </w:r>
          </w:p>
        </w:tc>
        <w:tc>
          <w:tcPr>
            <w:tcW w:w="1368"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316" w:right="323" w:firstLine="180"/>
              <w:jc w:val="left"/>
              <w:rPr>
                <w:rFonts w:ascii="宋体" w:hAnsi="宋体" w:cs="宋体" w:eastAsia="宋体" w:hint="default"/>
                <w:sz w:val="18"/>
                <w:szCs w:val="18"/>
              </w:rPr>
            </w:pPr>
            <w:r>
              <w:rPr>
                <w:rFonts w:ascii="宋体" w:hAnsi="宋体" w:cs="宋体" w:eastAsia="宋体" w:hint="default"/>
                <w:sz w:val="18"/>
                <w:szCs w:val="18"/>
              </w:rPr>
              <w:t>年末 账面余额</w:t>
            </w:r>
          </w:p>
        </w:tc>
      </w:tr>
      <w:tr>
        <w:trPr>
          <w:trHeight w:val="38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w:hAnsi="Arial" w:cs="Arial" w:eastAsia="Arial" w:hint="default"/>
                <w:sz w:val="18"/>
                <w:szCs w:val="18"/>
              </w:rPr>
            </w:pPr>
            <w:r>
              <w:rPr>
                <w:rFonts w:ascii="Arial"/>
                <w:spacing w:val="-1"/>
                <w:sz w:val="18"/>
              </w:rPr>
              <w:t>808,320.00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1,564,755.45</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-1,564,755.45</w:t>
            </w: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w:hAnsi="Arial" w:cs="Arial" w:eastAsia="Arial" w:hint="default"/>
                <w:sz w:val="18"/>
                <w:szCs w:val="18"/>
              </w:rPr>
            </w:pPr>
            <w:r>
              <w:rPr>
                <w:rFonts w:ascii="Arial"/>
                <w:spacing w:val="-1"/>
                <w:sz w:val="18"/>
              </w:rPr>
              <w:t>345,312.93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w:hAnsi="Arial" w:cs="Arial" w:eastAsia="Arial" w:hint="default"/>
                <w:sz w:val="18"/>
                <w:szCs w:val="18"/>
              </w:rPr>
            </w:pPr>
            <w:r>
              <w:rPr>
                <w:rFonts w:ascii="Arial"/>
                <w:spacing w:val="-1"/>
                <w:sz w:val="18"/>
              </w:rPr>
              <w:t>345,312.93</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345,312.93</w:t>
            </w:r>
          </w:p>
        </w:tc>
      </w:tr>
      <w:tr>
        <w:trPr>
          <w:trHeight w:val="49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2"/>
              <w:jc w:val="left"/>
              <w:rPr>
                <w:rFonts w:ascii="宋体" w:hAnsi="宋体" w:cs="宋体" w:eastAsia="宋体" w:hint="default"/>
                <w:sz w:val="18"/>
                <w:szCs w:val="18"/>
              </w:rPr>
            </w:pPr>
            <w:r>
              <w:rPr>
                <w:rFonts w:ascii="宋体" w:hAnsi="宋体" w:cs="宋体" w:eastAsia="宋体" w:hint="default"/>
                <w:spacing w:val="7"/>
                <w:sz w:val="18"/>
                <w:szCs w:val="18"/>
              </w:rPr>
              <w:t>浙江振兴仪器仪表责任有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100,000.00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100,000.00</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100,000.00</w:t>
            </w: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深圳华立南方电子技术有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19,288,723.22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22,097,131.49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631,855.69</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22,728,987.18</w:t>
            </w: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淮北万华仪表有限责任公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570,000.00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935,914.99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-935,914.99</w:t>
            </w: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浙江华立国际发展有限公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3,340,572.28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3,340,572.28</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3,340,572.28</w:t>
            </w:r>
          </w:p>
        </w:tc>
      </w:tr>
      <w:tr>
        <w:trPr>
          <w:trHeight w:val="49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2"/>
              <w:jc w:val="left"/>
              <w:rPr>
                <w:rFonts w:ascii="宋体" w:hAnsi="宋体" w:cs="宋体" w:eastAsia="宋体" w:hint="default"/>
                <w:sz w:val="18"/>
                <w:szCs w:val="18"/>
              </w:rPr>
            </w:pPr>
            <w:r>
              <w:rPr>
                <w:rFonts w:ascii="宋体" w:hAnsi="宋体" w:cs="宋体" w:eastAsia="宋体" w:hint="default"/>
                <w:spacing w:val="7"/>
                <w:sz w:val="18"/>
                <w:szCs w:val="18"/>
              </w:rPr>
              <w:t>乌中合资电子仪表有限公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682,000.00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682,000.00</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682,000.00</w:t>
            </w: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杭州华立太商软件系统有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2,027,181.34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西双版汉淋业实业有限公 </w:t>
            </w:r>
            <w:r>
              <w:rPr>
                <w:rFonts w:ascii="宋体" w:hAnsi="宋体" w:cs="宋体" w:eastAsia="宋体" w:hint="default"/>
                <w:sz w:val="18"/>
                <w:szCs w:val="18"/>
              </w:rPr>
              <w:t>司（注）</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500,000.00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500,000.00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-500,000.00</w:t>
            </w: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华立美联</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2,393,836.41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2,393,836.41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2,393,836.41</w:t>
            </w: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杭州厚达自动化系统有限 </w:t>
            </w:r>
            <w:r>
              <w:rPr>
                <w:rFonts w:ascii="宋体" w:hAnsi="宋体" w:cs="宋体" w:eastAsia="宋体" w:hint="default"/>
                <w:sz w:val="18"/>
                <w:szCs w:val="18"/>
              </w:rPr>
              <w:t>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4,000,000.00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4,101,685.10</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4,101,685.10</w:t>
            </w:r>
          </w:p>
        </w:tc>
      </w:tr>
      <w:tr>
        <w:trPr>
          <w:trHeight w:val="38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34,055,946.18</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31,959,523.55</w:t>
            </w:r>
            <w:r>
              <w:rPr>
                <w:rFonts w:ascii="Arial"/>
                <w:b/>
                <w:spacing w:val="-1"/>
                <w:sz w:val="18"/>
              </w:rPr>
            </w:r>
            <w:r>
              <w:rPr>
                <w:rFonts w:ascii="Arial"/>
                <w:spacing w:val="-1"/>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1,732,870.35</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33,692,393.90</w:t>
            </w:r>
            <w:r>
              <w:rPr>
                <w:rFonts w:ascii="Arial"/>
                <w:b/>
                <w:spacing w:val="-1"/>
                <w:sz w:val="18"/>
              </w:rPr>
            </w:r>
            <w:r>
              <w:rPr>
                <w:rFonts w:ascii="Arial"/>
                <w:spacing w:val="-1"/>
                <w:sz w:val="18"/>
              </w:rPr>
            </w:r>
          </w:p>
        </w:tc>
      </w:tr>
      <w:tr>
        <w:trPr>
          <w:trHeight w:val="49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69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firstLine="79"/>
              <w:jc w:val="left"/>
              <w:rPr>
                <w:rFonts w:ascii="宋体" w:hAnsi="宋体" w:cs="宋体" w:eastAsia="宋体" w:hint="default"/>
                <w:sz w:val="18"/>
                <w:szCs w:val="18"/>
              </w:rPr>
            </w:pPr>
            <w:r>
              <w:rPr>
                <w:rFonts w:ascii="宋体" w:hAnsi="宋体" w:cs="宋体" w:eastAsia="宋体" w:hint="default"/>
                <w:sz w:val="18"/>
                <w:szCs w:val="18"/>
              </w:rPr>
              <w:t>持股比 例（</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4"/>
              <w:jc w:val="right"/>
              <w:rPr>
                <w:rFonts w:ascii="宋体" w:hAnsi="宋体" w:cs="宋体" w:eastAsia="宋体" w:hint="default"/>
                <w:sz w:val="18"/>
                <w:szCs w:val="18"/>
              </w:rPr>
            </w:pPr>
            <w:r>
              <w:rPr>
                <w:rFonts w:ascii="宋体" w:hAnsi="宋体" w:cs="宋体" w:eastAsia="宋体" w:hint="default"/>
                <w:sz w:val="18"/>
                <w:szCs w:val="18"/>
              </w:rPr>
              <w:t>减值准备金额</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364" w:right="183" w:hanging="180"/>
              <w:jc w:val="left"/>
              <w:rPr>
                <w:rFonts w:ascii="宋体" w:hAnsi="宋体" w:cs="宋体" w:eastAsia="宋体" w:hint="default"/>
                <w:sz w:val="18"/>
                <w:szCs w:val="18"/>
              </w:rPr>
            </w:pPr>
            <w:r>
              <w:rPr>
                <w:rFonts w:ascii="宋体" w:hAnsi="宋体" w:cs="宋体" w:eastAsia="宋体" w:hint="default"/>
                <w:sz w:val="18"/>
                <w:szCs w:val="18"/>
              </w:rPr>
              <w:t>本年计提减值 准备金额</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143"/>
              <w:jc w:val="righ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38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51" w:right="0"/>
              <w:jc w:val="left"/>
              <w:rPr>
                <w:rFonts w:ascii="Arial" w:hAnsi="Arial" w:cs="Arial" w:eastAsia="Arial" w:hint="default"/>
                <w:sz w:val="18"/>
                <w:szCs w:val="18"/>
              </w:rPr>
            </w:pPr>
            <w:r>
              <w:rPr>
                <w:rFonts w:ascii="Arial"/>
                <w:sz w:val="18"/>
              </w:rPr>
              <w:t>50.00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4.31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4.31</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浙江振兴仪器仪表责任有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12.19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12.19</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深圳华立南方电子技术有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45.00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45.00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3,150,000.00</w:t>
            </w: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淮北万华仪表有限责任公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25.00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25.00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2"/>
              <w:jc w:val="left"/>
              <w:rPr>
                <w:rFonts w:ascii="宋体" w:hAnsi="宋体" w:cs="宋体" w:eastAsia="宋体" w:hint="default"/>
                <w:sz w:val="18"/>
                <w:szCs w:val="18"/>
              </w:rPr>
            </w:pPr>
            <w:r>
              <w:rPr>
                <w:rFonts w:ascii="宋体" w:hAnsi="宋体" w:cs="宋体" w:eastAsia="宋体" w:hint="default"/>
                <w:spacing w:val="7"/>
                <w:sz w:val="18"/>
                <w:szCs w:val="18"/>
              </w:rPr>
              <w:t>浙江华立电网控制系统有 </w:t>
            </w:r>
            <w:r>
              <w:rPr>
                <w:rFonts w:ascii="宋体" w:hAnsi="宋体" w:cs="宋体" w:eastAsia="宋体" w:hint="default"/>
                <w:sz w:val="18"/>
                <w:szCs w:val="18"/>
              </w:rPr>
              <w:t>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12.00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451" w:right="0"/>
              <w:jc w:val="left"/>
              <w:rPr>
                <w:rFonts w:ascii="Arial" w:hAnsi="Arial" w:cs="Arial" w:eastAsia="Arial" w:hint="default"/>
                <w:sz w:val="18"/>
                <w:szCs w:val="18"/>
              </w:rPr>
            </w:pPr>
            <w:r>
              <w:rPr>
                <w:rFonts w:ascii="Arial"/>
                <w:sz w:val="18"/>
              </w:rPr>
              <w:t>12.00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浙江华立国际发展有限公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6.00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6.00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乌中合资电子仪表有限公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20.00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20.00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884" w:footer="1013" w:top="1080" w:bottom="1200" w:left="1280" w:right="0"/>
        </w:sectPr>
      </w:pP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66"/>
        <w:gridCol w:w="2269"/>
        <w:gridCol w:w="917"/>
        <w:gridCol w:w="1368"/>
        <w:gridCol w:w="1368"/>
        <w:gridCol w:w="1465"/>
        <w:gridCol w:w="1368"/>
      </w:tblGrid>
      <w:tr>
        <w:trPr>
          <w:trHeight w:val="509" w:hRule="exact"/>
        </w:trPr>
        <w:tc>
          <w:tcPr>
            <w:tcW w:w="166" w:type="dxa"/>
            <w:vMerge w:val="restart"/>
            <w:tcBorders>
              <w:top w:val="single" w:sz="6" w:space="0" w:color="000000"/>
              <w:left w:val="nil" w:sz="6" w:space="0" w:color="auto"/>
              <w:right w:val="nil" w:sz="6" w:space="0" w:color="auto"/>
            </w:tcBorders>
          </w:tcPr>
          <w:p>
            <w:pPr/>
          </w:p>
        </w:tc>
        <w:tc>
          <w:tcPr>
            <w:tcW w:w="2269" w:type="dxa"/>
            <w:tcBorders>
              <w:top w:val="single" w:sz="12" w:space="0" w:color="000000"/>
              <w:left w:val="nil" w:sz="6" w:space="0" w:color="auto"/>
              <w:bottom w:val="single" w:sz="6" w:space="0" w:color="000000"/>
              <w:right w:val="single" w:sz="6" w:space="0" w:color="000000"/>
            </w:tcBorders>
          </w:tcPr>
          <w:p>
            <w:pPr>
              <w:pStyle w:val="TableParagraph"/>
              <w:spacing w:line="244" w:lineRule="auto"/>
              <w:ind w:left="107" w:right="92"/>
              <w:jc w:val="left"/>
              <w:rPr>
                <w:rFonts w:ascii="宋体" w:hAnsi="宋体" w:cs="宋体" w:eastAsia="宋体" w:hint="default"/>
                <w:sz w:val="18"/>
                <w:szCs w:val="18"/>
              </w:rPr>
            </w:pPr>
            <w:r>
              <w:rPr>
                <w:rFonts w:ascii="宋体" w:hAnsi="宋体" w:cs="宋体" w:eastAsia="宋体" w:hint="default"/>
                <w:spacing w:val="7"/>
                <w:sz w:val="18"/>
                <w:szCs w:val="18"/>
              </w:rPr>
              <w:t>杭州华立太商软件系统有 </w:t>
            </w:r>
            <w:r>
              <w:rPr>
                <w:rFonts w:ascii="宋体" w:hAnsi="宋体" w:cs="宋体" w:eastAsia="宋体" w:hint="default"/>
                <w:sz w:val="18"/>
                <w:szCs w:val="18"/>
              </w:rPr>
              <w:t>限公司</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225" w:right="0"/>
              <w:jc w:val="left"/>
              <w:rPr>
                <w:rFonts w:ascii="Arial" w:hAnsi="Arial" w:cs="Arial" w:eastAsia="Arial" w:hint="default"/>
                <w:sz w:val="18"/>
                <w:szCs w:val="18"/>
              </w:rPr>
            </w:pPr>
            <w:r>
              <w:rPr>
                <w:rFonts w:ascii="Arial"/>
                <w:sz w:val="18"/>
              </w:rPr>
              <w:t>49.00</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Arial" w:hAnsi="Arial" w:cs="Arial" w:eastAsia="Arial" w:hint="default"/>
                <w:sz w:val="18"/>
                <w:szCs w:val="18"/>
              </w:rPr>
            </w:pPr>
            <w:r>
              <w:rPr>
                <w:rFonts w:ascii="Arial"/>
                <w:sz w:val="18"/>
              </w:rPr>
              <w:t>49.00</w:t>
            </w:r>
          </w:p>
        </w:tc>
        <w:tc>
          <w:tcPr>
            <w:tcW w:w="1368" w:type="dxa"/>
            <w:tcBorders>
              <w:top w:val="single" w:sz="12" w:space="0" w:color="000000"/>
              <w:left w:val="single" w:sz="6" w:space="0" w:color="000000"/>
              <w:bottom w:val="single" w:sz="6" w:space="0" w:color="000000"/>
              <w:right w:val="single" w:sz="6" w:space="0" w:color="000000"/>
            </w:tcBorders>
          </w:tcPr>
          <w:p>
            <w:pPr/>
          </w:p>
        </w:tc>
        <w:tc>
          <w:tcPr>
            <w:tcW w:w="1465"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nil" w:sz="6" w:space="0" w:color="auto"/>
            </w:tcBorders>
          </w:tcPr>
          <w:p>
            <w:pPr/>
          </w:p>
        </w:tc>
      </w:tr>
      <w:tr>
        <w:trPr>
          <w:trHeight w:val="495"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92"/>
              <w:jc w:val="left"/>
              <w:rPr>
                <w:rFonts w:ascii="宋体" w:hAnsi="宋体" w:cs="宋体" w:eastAsia="宋体" w:hint="default"/>
                <w:sz w:val="18"/>
                <w:szCs w:val="18"/>
              </w:rPr>
            </w:pPr>
            <w:r>
              <w:rPr>
                <w:rFonts w:ascii="宋体" w:hAnsi="宋体" w:cs="宋体" w:eastAsia="宋体" w:hint="default"/>
                <w:spacing w:val="7"/>
                <w:sz w:val="18"/>
                <w:szCs w:val="18"/>
              </w:rPr>
              <w:t>西双版汉淋业实业有限公 </w:t>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华立美联</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75" w:right="0"/>
              <w:jc w:val="left"/>
              <w:rPr>
                <w:rFonts w:ascii="Arial" w:hAnsi="Arial" w:cs="Arial" w:eastAsia="Arial" w:hint="default"/>
                <w:sz w:val="18"/>
                <w:szCs w:val="18"/>
              </w:rPr>
            </w:pPr>
            <w:r>
              <w:rPr>
                <w:rFonts w:ascii="Arial"/>
                <w:sz w:val="18"/>
              </w:rPr>
              <w:t>100.00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100.00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1" w:right="0"/>
              <w:jc w:val="center"/>
              <w:rPr>
                <w:rFonts w:ascii="Arial" w:hAnsi="Arial" w:cs="Arial" w:eastAsia="Arial" w:hint="default"/>
                <w:sz w:val="18"/>
                <w:szCs w:val="18"/>
              </w:rPr>
            </w:pPr>
            <w:r>
              <w:rPr>
                <w:rFonts w:ascii="Arial"/>
                <w:sz w:val="18"/>
              </w:rPr>
              <w:t>2,393,836.41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07" w:right="92"/>
              <w:jc w:val="left"/>
              <w:rPr>
                <w:rFonts w:ascii="宋体" w:hAnsi="宋体" w:cs="宋体" w:eastAsia="宋体" w:hint="default"/>
                <w:sz w:val="18"/>
                <w:szCs w:val="18"/>
              </w:rPr>
            </w:pPr>
            <w:r>
              <w:rPr>
                <w:rFonts w:ascii="宋体" w:hAnsi="宋体" w:cs="宋体" w:eastAsia="宋体" w:hint="default"/>
                <w:spacing w:val="7"/>
                <w:sz w:val="18"/>
                <w:szCs w:val="18"/>
              </w:rPr>
              <w:t>杭州厚达自动化系统有限 </w:t>
            </w:r>
            <w:r>
              <w:rPr>
                <w:rFonts w:ascii="宋体" w:hAnsi="宋体" w:cs="宋体" w:eastAsia="宋体" w:hint="default"/>
                <w:sz w:val="18"/>
                <w:szCs w:val="18"/>
              </w:rPr>
              <w:t>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25" w:right="0"/>
              <w:jc w:val="left"/>
              <w:rPr>
                <w:rFonts w:ascii="Arial" w:hAnsi="Arial" w:cs="Arial" w:eastAsia="Arial" w:hint="default"/>
                <w:sz w:val="18"/>
                <w:szCs w:val="18"/>
              </w:rPr>
            </w:pPr>
            <w:r>
              <w:rPr>
                <w:rFonts w:ascii="Arial"/>
                <w:sz w:val="18"/>
              </w:rPr>
              <w:t>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40.00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bottom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1" w:right="0"/>
              <w:jc w:val="center"/>
              <w:rPr>
                <w:rFonts w:ascii="Arial" w:hAnsi="Arial" w:cs="Arial" w:eastAsia="Arial" w:hint="default"/>
                <w:sz w:val="18"/>
                <w:szCs w:val="18"/>
              </w:rPr>
            </w:pPr>
            <w:r>
              <w:rPr>
                <w:rFonts w:ascii="Arial"/>
                <w:b/>
                <w:w w:val="99"/>
                <w:sz w:val="18"/>
              </w:rPr>
            </w:r>
            <w:r>
              <w:rPr>
                <w:rFonts w:ascii="Arial"/>
                <w:b/>
                <w:sz w:val="18"/>
                <w:u w:val="single" w:color="000000"/>
              </w:rPr>
              <w:t>2,393,836.41</w:t>
            </w:r>
            <w:r>
              <w:rPr>
                <w:rFonts w:ascii="Arial"/>
                <w:b/>
                <w:sz w:val="18"/>
              </w:rPr>
            </w:r>
            <w:r>
              <w:rPr>
                <w:rFonts w:ascii="Arial"/>
                <w:sz w:val="18"/>
              </w:rPr>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left="201" w:right="0"/>
              <w:jc w:val="left"/>
              <w:rPr>
                <w:rFonts w:ascii="Arial" w:hAnsi="Arial" w:cs="Arial" w:eastAsia="Arial" w:hint="default"/>
                <w:sz w:val="18"/>
                <w:szCs w:val="18"/>
              </w:rPr>
            </w:pPr>
            <w:r>
              <w:rPr>
                <w:rFonts w:ascii="Arial"/>
                <w:b/>
                <w:w w:val="99"/>
                <w:sz w:val="18"/>
              </w:rPr>
            </w:r>
            <w:r>
              <w:rPr>
                <w:rFonts w:ascii="Arial"/>
                <w:b/>
                <w:sz w:val="18"/>
                <w:u w:val="single" w:color="000000"/>
              </w:rPr>
              <w:t>3,150,000.00</w:t>
            </w:r>
            <w:r>
              <w:rPr>
                <w:rFonts w:ascii="Arial"/>
                <w:b/>
                <w:sz w:val="18"/>
              </w:rPr>
            </w:r>
            <w:r>
              <w:rPr>
                <w:rFonts w:ascii="Arial"/>
                <w:sz w:val="18"/>
              </w:rPr>
            </w:r>
          </w:p>
        </w:tc>
      </w:tr>
    </w:tbl>
    <w:p>
      <w:pPr>
        <w:spacing w:line="240" w:lineRule="auto" w:before="5"/>
        <w:rPr>
          <w:rFonts w:ascii="宋体" w:hAnsi="宋体" w:cs="宋体" w:eastAsia="宋体" w:hint="default"/>
          <w:sz w:val="8"/>
          <w:szCs w:val="8"/>
        </w:rPr>
      </w:pPr>
    </w:p>
    <w:p>
      <w:pPr>
        <w:pStyle w:val="BodyText"/>
        <w:spacing w:line="357" w:lineRule="auto" w:before="36"/>
        <w:ind w:right="1205" w:firstLine="540"/>
        <w:jc w:val="left"/>
      </w:pPr>
      <w:r>
        <w:rPr>
          <w:spacing w:val="-2"/>
        </w:rPr>
        <w:t>注：该公司系已处置子公司云南大麻所投资公司，本年随云南大麻的处置，转出对其长期股</w:t>
      </w:r>
      <w:r>
        <w:rPr>
          <w:w w:val="100"/>
        </w:rPr>
        <w:t> </w:t>
      </w:r>
      <w:r>
        <w:rPr/>
        <w:t>权投资。</w:t>
      </w:r>
    </w:p>
    <w:p>
      <w:pPr>
        <w:spacing w:line="240" w:lineRule="auto" w:before="3"/>
        <w:rPr>
          <w:rFonts w:ascii="宋体" w:hAnsi="宋体" w:cs="宋体" w:eastAsia="宋体" w:hint="default"/>
          <w:sz w:val="25"/>
          <w:szCs w:val="25"/>
        </w:rPr>
      </w:pPr>
    </w:p>
    <w:p>
      <w:pPr>
        <w:pStyle w:val="BodyText"/>
        <w:spacing w:line="240" w:lineRule="auto"/>
        <w:ind w:left="560" w:right="1205"/>
        <w:jc w:val="left"/>
      </w:pPr>
      <w:r>
        <w:rPr/>
        <w:t>（</w:t>
      </w:r>
      <w:r>
        <w:rPr>
          <w:rFonts w:ascii="Arial" w:hAnsi="Arial" w:cs="Arial" w:eastAsia="Arial" w:hint="default"/>
        </w:rPr>
        <w:t>2</w:t>
      </w:r>
      <w:r>
        <w:rPr/>
        <w:t>）报告期内无被投资企业向公司转移资金的能力受到限制的情况。</w:t>
      </w:r>
    </w:p>
    <w:p>
      <w:pPr>
        <w:spacing w:line="240" w:lineRule="auto" w:before="8"/>
        <w:rPr>
          <w:rFonts w:ascii="宋体" w:hAnsi="宋体" w:cs="宋体" w:eastAsia="宋体" w:hint="default"/>
          <w:sz w:val="27"/>
          <w:szCs w:val="27"/>
        </w:rPr>
      </w:pPr>
    </w:p>
    <w:p>
      <w:pPr>
        <w:pStyle w:val="Heading4"/>
        <w:tabs>
          <w:tab w:pos="1414" w:val="left" w:leader="none"/>
        </w:tabs>
        <w:spacing w:line="240" w:lineRule="auto"/>
        <w:ind w:right="1205"/>
        <w:jc w:val="left"/>
        <w:rPr>
          <w:b w:val="0"/>
          <w:bCs w:val="0"/>
        </w:rPr>
      </w:pPr>
      <w:r>
        <w:rPr/>
        <w:t>（九）</w:t>
        <w:tab/>
        <w:t>固定资产</w:t>
      </w:r>
      <w:r>
        <w:rPr>
          <w:b w:val="0"/>
          <w:bCs w:val="0"/>
        </w:rPr>
      </w:r>
    </w:p>
    <w:p>
      <w:pPr>
        <w:spacing w:line="240" w:lineRule="auto" w:before="7"/>
        <w:rPr>
          <w:rFonts w:ascii="宋体" w:hAnsi="宋体" w:cs="宋体" w:eastAsia="宋体" w:hint="default"/>
          <w:b/>
          <w:bCs/>
          <w:sz w:val="28"/>
          <w:szCs w:val="28"/>
        </w:rPr>
      </w:pPr>
    </w:p>
    <w:p>
      <w:pPr>
        <w:pStyle w:val="BodyText"/>
        <w:spacing w:line="240" w:lineRule="auto"/>
        <w:ind w:left="560" w:right="1205"/>
        <w:jc w:val="left"/>
      </w:pPr>
      <w:r>
        <w:rPr/>
        <w:t>（</w:t>
      </w:r>
      <w:r>
        <w:rPr>
          <w:rFonts w:ascii="Arial" w:hAnsi="Arial" w:cs="Arial" w:eastAsia="Arial" w:hint="default"/>
        </w:rPr>
        <w:t>1</w:t>
      </w:r>
      <w:r>
        <w:rPr/>
        <w:t>）固定资产及其累计折旧明细项目和增减变动如下：</w:t>
      </w:r>
    </w:p>
    <w:p>
      <w:pPr>
        <w:spacing w:line="240" w:lineRule="auto" w:before="13"/>
        <w:rPr>
          <w:rFonts w:ascii="宋体" w:hAnsi="宋体" w:cs="宋体" w:eastAsia="宋体" w:hint="default"/>
          <w:sz w:val="20"/>
          <w:szCs w:val="20"/>
        </w:rPr>
      </w:pPr>
    </w:p>
    <w:tbl>
      <w:tblPr>
        <w:tblW w:w="0" w:type="auto"/>
        <w:jc w:val="left"/>
        <w:tblInd w:w="202" w:type="dxa"/>
        <w:tblLayout w:type="fixed"/>
        <w:tblCellMar>
          <w:top w:w="0" w:type="dxa"/>
          <w:left w:w="0" w:type="dxa"/>
          <w:bottom w:w="0" w:type="dxa"/>
          <w:right w:w="0" w:type="dxa"/>
        </w:tblCellMar>
        <w:tblLook w:val="01E0"/>
      </w:tblPr>
      <w:tblGrid>
        <w:gridCol w:w="2360"/>
        <w:gridCol w:w="1469"/>
        <w:gridCol w:w="1676"/>
        <w:gridCol w:w="1678"/>
        <w:gridCol w:w="1678"/>
      </w:tblGrid>
      <w:tr>
        <w:trPr>
          <w:trHeight w:val="391" w:hRule="exact"/>
        </w:trPr>
        <w:tc>
          <w:tcPr>
            <w:tcW w:w="23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29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798,386,656.06</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53,492,238.26</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246,129,441.53</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605,749,452.79</w:t>
            </w:r>
            <w:r>
              <w:rPr>
                <w:rFonts w:ascii="Arial"/>
                <w:b/>
                <w:spacing w:val="-1"/>
                <w:sz w:val="18"/>
              </w:rPr>
            </w:r>
            <w:r>
              <w:rPr>
                <w:rFonts w:ascii="Arial"/>
                <w:spacing w:val="-1"/>
                <w:sz w:val="18"/>
              </w:rPr>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542,451,806.66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27,922,813.87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115,359,878.57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455,014,741.96</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53,670,626.60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7,717,608.43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33,738,425.76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27,649,809.27</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180,250,400.86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14,800,770.93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87,686,948.65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107,364,223.14</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17,895,200.87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2,856,899.16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7,518,885.79</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13,233,214.24</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Arial" w:hAnsi="Arial" w:cs="Arial" w:eastAsia="Arial" w:hint="default"/>
                <w:sz w:val="18"/>
                <w:szCs w:val="18"/>
              </w:rPr>
            </w:pPr>
            <w:r>
              <w:rPr>
                <w:rFonts w:ascii="Arial"/>
                <w:spacing w:val="-1"/>
                <w:sz w:val="18"/>
              </w:rPr>
              <w:t>3,464,171.07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5"/>
              <w:jc w:val="right"/>
              <w:rPr>
                <w:rFonts w:ascii="Arial" w:hAnsi="Arial" w:cs="Arial" w:eastAsia="Arial" w:hint="default"/>
                <w:sz w:val="18"/>
                <w:szCs w:val="18"/>
              </w:rPr>
            </w:pPr>
            <w:r>
              <w:rPr>
                <w:rFonts w:ascii="Arial"/>
                <w:spacing w:val="-1"/>
                <w:sz w:val="18"/>
              </w:rPr>
              <w:t>194,145.87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1,170,852.76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2,487,464.18</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、装修费</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spacing w:val="-1"/>
                <w:sz w:val="18"/>
              </w:rPr>
              <w:t>654,450.00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654,450.00</w:t>
            </w: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187,501,259.94</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Arial" w:hAnsi="Arial" w:cs="Arial" w:eastAsia="Arial" w:hint="default"/>
                <w:sz w:val="18"/>
                <w:szCs w:val="18"/>
              </w:rPr>
            </w:pPr>
            <w:r>
              <w:rPr>
                <w:rFonts w:ascii="Arial"/>
                <w:b/>
                <w:w w:val="99"/>
                <w:sz w:val="18"/>
              </w:rPr>
            </w:r>
            <w:r>
              <w:rPr>
                <w:rFonts w:ascii="Arial"/>
                <w:b/>
                <w:spacing w:val="-2"/>
                <w:sz w:val="18"/>
                <w:u w:val="single" w:color="000000"/>
              </w:rPr>
              <w:t>34,113,869.83</w:t>
            </w:r>
            <w:r>
              <w:rPr>
                <w:rFonts w:ascii="Arial"/>
                <w:b/>
                <w:spacing w:val="-2"/>
                <w:sz w:val="18"/>
              </w:rPr>
            </w:r>
            <w:r>
              <w:rPr>
                <w:rFonts w:ascii="Arial"/>
                <w:spacing w:val="-2"/>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76,342,355.03</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145,272,774.74</w:t>
            </w:r>
            <w:r>
              <w:rPr>
                <w:rFonts w:ascii="Arial"/>
                <w:b/>
                <w:spacing w:val="-1"/>
                <w:sz w:val="18"/>
              </w:rPr>
            </w:r>
            <w:r>
              <w:rPr>
                <w:rFonts w:ascii="Arial"/>
                <w:spacing w:val="-1"/>
                <w:sz w:val="18"/>
              </w:rPr>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61,944,397.02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17,372,619.10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18,017,948.83</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61,299,067.29</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32,756,936.12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2"/>
                <w:sz w:val="18"/>
              </w:rPr>
              <w:t>3,211,442.16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14,916,042.04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21,052,336.24</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80,276,725.09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2"/>
                <w:sz w:val="18"/>
              </w:rPr>
              <w:t>11,851,853.73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38,317,951.21</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53,810,627.61</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10,425,152.95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1,410,088.15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4,085,140.95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7,750,100.15</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1,727,121.18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205,166.67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571,644.40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1,360,643.45</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、装修费</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spacing w:val="-1"/>
                <w:sz w:val="18"/>
              </w:rPr>
              <w:t>370,927.58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62,700.02</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433,627.60</w:t>
            </w: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610,885,396.12</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460,476,678.05</w:t>
            </w:r>
            <w:r>
              <w:rPr>
                <w:rFonts w:ascii="Arial"/>
                <w:b/>
                <w:spacing w:val="-1"/>
                <w:sz w:val="18"/>
              </w:rPr>
            </w:r>
            <w:r>
              <w:rPr>
                <w:rFonts w:ascii="Arial"/>
                <w:spacing w:val="-1"/>
                <w:sz w:val="18"/>
              </w:rPr>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480,507,409.64</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393,715,674.67</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20,913,690.48</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1"/>
                <w:sz w:val="18"/>
              </w:rPr>
              <w:t>6,597,473.03</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99,973,675.77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53,553,595.53</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7,470,047.92</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2"/>
                <w:sz w:val="18"/>
              </w:rPr>
              <w:t>5,483,114.09</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1,737,049.89</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1,126,820.73</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、装修费</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spacing w:val="-1"/>
                <w:sz w:val="18"/>
              </w:rPr>
              <w:t>283,522.42</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492" w:hRule="exact"/>
        </w:trPr>
        <w:tc>
          <w:tcPr>
            <w:tcW w:w="236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四、固定资产减值准备累计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080" w:bottom="1300" w:left="130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65"/>
        <w:gridCol w:w="1469"/>
        <w:gridCol w:w="1676"/>
        <w:gridCol w:w="1678"/>
        <w:gridCol w:w="1678"/>
      </w:tblGrid>
      <w:tr>
        <w:trPr>
          <w:trHeight w:val="398" w:hRule="exact"/>
        </w:trPr>
        <w:tc>
          <w:tcPr>
            <w:tcW w:w="246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9"/>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9"/>
              <w:ind w:left="29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宋体" w:hAnsi="宋体" w:cs="宋体" w:eastAsia="宋体" w:hint="default"/>
                <w:spacing w:val="-3"/>
                <w:sz w:val="18"/>
                <w:szCs w:val="18"/>
              </w:rPr>
              <w:t>五、固定资产账面价值合计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610,885,396.12</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460,476,678.05</w:t>
            </w:r>
            <w:r>
              <w:rPr>
                <w:rFonts w:ascii="Arial"/>
                <w:b/>
                <w:spacing w:val="-1"/>
                <w:sz w:val="18"/>
              </w:rPr>
            </w:r>
            <w:r>
              <w:rPr>
                <w:rFonts w:ascii="Arial"/>
                <w:spacing w:val="-1"/>
                <w:sz w:val="18"/>
              </w:rPr>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480,507,409.64</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393,715,674.67</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20,913,690.48</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6,597,473.03</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99,973,675.77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53,553,595.53</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7,470,047.92</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2"/>
                <w:sz w:val="18"/>
              </w:rPr>
              <w:t>5,483,114.09</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1,737,049.89</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1,126,820.73</w:t>
            </w:r>
          </w:p>
        </w:tc>
      </w:tr>
      <w:tr>
        <w:trPr>
          <w:trHeight w:val="394" w:hRule="exact"/>
        </w:trPr>
        <w:tc>
          <w:tcPr>
            <w:tcW w:w="24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、装修费</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283,522.42</w:t>
            </w:r>
          </w:p>
        </w:tc>
        <w:tc>
          <w:tcPr>
            <w:tcW w:w="1676"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pStyle w:val="BodyText"/>
        <w:spacing w:line="240" w:lineRule="auto" w:before="36"/>
        <w:ind w:left="580" w:right="1326"/>
        <w:jc w:val="left"/>
      </w:pPr>
      <w:r>
        <w:rPr/>
        <w:t>本年计提的折旧额为</w:t>
      </w:r>
      <w:r>
        <w:rPr>
          <w:spacing w:val="-52"/>
        </w:rPr>
        <w:t> </w:t>
      </w:r>
      <w:r>
        <w:rPr>
          <w:rFonts w:ascii="Arial" w:hAnsi="Arial" w:cs="Arial" w:eastAsia="Arial" w:hint="default"/>
        </w:rPr>
        <w:t>34,113,869.83</w:t>
      </w:r>
      <w:r>
        <w:rPr>
          <w:rFonts w:ascii="Arial" w:hAnsi="Arial" w:cs="Arial" w:eastAsia="Arial" w:hint="default"/>
          <w:spacing w:val="-6"/>
        </w:rPr>
        <w:t> </w:t>
      </w:r>
      <w:r>
        <w:rPr>
          <w:spacing w:val="-3"/>
        </w:rPr>
        <w:t>元。</w:t>
      </w:r>
      <w:r>
        <w:rPr/>
      </w:r>
    </w:p>
    <w:p>
      <w:pPr>
        <w:spacing w:line="240" w:lineRule="auto" w:before="3"/>
        <w:rPr>
          <w:rFonts w:ascii="宋体" w:hAnsi="宋体" w:cs="宋体" w:eastAsia="宋体" w:hint="default"/>
          <w:sz w:val="18"/>
          <w:szCs w:val="18"/>
        </w:rPr>
      </w:pPr>
    </w:p>
    <w:p>
      <w:pPr>
        <w:pStyle w:val="BodyText"/>
        <w:spacing w:line="240" w:lineRule="auto"/>
        <w:ind w:left="580" w:right="1326"/>
        <w:jc w:val="left"/>
      </w:pPr>
      <w:r>
        <w:rPr/>
        <w:t>本年在建工程完工转入固定资产的原价为</w:t>
      </w:r>
      <w:r>
        <w:rPr>
          <w:spacing w:val="-54"/>
        </w:rPr>
        <w:t> </w:t>
      </w:r>
      <w:r>
        <w:rPr>
          <w:rFonts w:ascii="Arial" w:hAnsi="Arial" w:cs="Arial" w:eastAsia="Arial" w:hint="default"/>
        </w:rPr>
        <w:t>32,446,617.28</w:t>
      </w:r>
      <w:r>
        <w:rPr>
          <w:rFonts w:ascii="Arial" w:hAnsi="Arial" w:cs="Arial" w:eastAsia="Arial" w:hint="default"/>
          <w:spacing w:val="-8"/>
        </w:rPr>
        <w:t> </w:t>
      </w:r>
      <w:r>
        <w:rPr/>
        <w:t>元。</w:t>
      </w:r>
    </w:p>
    <w:p>
      <w:pPr>
        <w:spacing w:line="240" w:lineRule="auto" w:before="8"/>
        <w:rPr>
          <w:rFonts w:ascii="宋体" w:hAnsi="宋体" w:cs="宋体" w:eastAsia="宋体" w:hint="default"/>
          <w:sz w:val="27"/>
          <w:szCs w:val="27"/>
        </w:rPr>
      </w:pPr>
    </w:p>
    <w:p>
      <w:pPr>
        <w:pStyle w:val="BodyText"/>
        <w:spacing w:line="240" w:lineRule="auto"/>
        <w:ind w:left="580" w:right="1326"/>
        <w:jc w:val="left"/>
      </w:pPr>
      <w:r>
        <w:rPr/>
        <w:t>（</w:t>
      </w:r>
      <w:r>
        <w:rPr>
          <w:rFonts w:ascii="Arial" w:hAnsi="Arial" w:cs="Arial" w:eastAsia="Arial" w:hint="default"/>
        </w:rPr>
        <w:t>2</w:t>
      </w:r>
      <w:r>
        <w:rPr/>
        <w:t>）报告期内无应提取固定资产减值准备的情况。</w:t>
      </w:r>
    </w:p>
    <w:p>
      <w:pPr>
        <w:spacing w:line="240" w:lineRule="auto" w:before="13"/>
        <w:rPr>
          <w:rFonts w:ascii="宋体" w:hAnsi="宋体" w:cs="宋体" w:eastAsia="宋体" w:hint="default"/>
          <w:sz w:val="22"/>
          <w:szCs w:val="22"/>
        </w:rPr>
      </w:pPr>
    </w:p>
    <w:p>
      <w:pPr>
        <w:pStyle w:val="Heading4"/>
        <w:tabs>
          <w:tab w:pos="1434" w:val="left" w:leader="none"/>
        </w:tabs>
        <w:spacing w:line="240" w:lineRule="auto"/>
        <w:ind w:left="580" w:right="1326"/>
        <w:jc w:val="left"/>
        <w:rPr>
          <w:b w:val="0"/>
          <w:bCs w:val="0"/>
        </w:rPr>
      </w:pPr>
      <w:r>
        <w:rPr/>
        <w:t>（十）</w:t>
        <w:tab/>
        <w:t>在建工程</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580" w:right="1326"/>
        <w:jc w:val="left"/>
      </w:pPr>
      <w:r>
        <w:rPr/>
        <w:t>（</w:t>
      </w:r>
      <w:r>
        <w:rPr>
          <w:rFonts w:ascii="Arial" w:hAnsi="Arial" w:cs="Arial" w:eastAsia="Arial" w:hint="default"/>
        </w:rPr>
        <w:t>1</w:t>
      </w:r>
      <w:r>
        <w:rPr/>
        <w:t>）在建工程分项列示如下：</w:t>
      </w:r>
    </w:p>
    <w:p>
      <w:pPr>
        <w:spacing w:line="240" w:lineRule="auto" w:before="13"/>
        <w:rPr>
          <w:rFonts w:ascii="宋体" w:hAnsi="宋体" w:cs="宋体" w:eastAsia="宋体" w:hint="default"/>
          <w:sz w:val="20"/>
          <w:szCs w:val="20"/>
        </w:rPr>
      </w:pPr>
    </w:p>
    <w:tbl>
      <w:tblPr>
        <w:tblW w:w="0" w:type="auto"/>
        <w:jc w:val="left"/>
        <w:tblInd w:w="191" w:type="dxa"/>
        <w:tblLayout w:type="fixed"/>
        <w:tblCellMar>
          <w:top w:w="0" w:type="dxa"/>
          <w:left w:w="0" w:type="dxa"/>
          <w:bottom w:w="0" w:type="dxa"/>
          <w:right w:w="0" w:type="dxa"/>
        </w:tblCellMar>
        <w:tblLook w:val="01E0"/>
      </w:tblPr>
      <w:tblGrid>
        <w:gridCol w:w="1898"/>
        <w:gridCol w:w="1369"/>
        <w:gridCol w:w="787"/>
        <w:gridCol w:w="1368"/>
        <w:gridCol w:w="1469"/>
        <w:gridCol w:w="649"/>
        <w:gridCol w:w="1380"/>
      </w:tblGrid>
      <w:tr>
        <w:trPr>
          <w:trHeight w:val="307" w:hRule="exact"/>
        </w:trPr>
        <w:tc>
          <w:tcPr>
            <w:tcW w:w="189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497" w:type="dxa"/>
            <w:gridSpan w:val="3"/>
            <w:tcBorders>
              <w:top w:val="single" w:sz="12" w:space="0" w:color="000000"/>
              <w:left w:val="single" w:sz="6" w:space="0" w:color="000000"/>
              <w:bottom w:val="single" w:sz="6"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2" w:hRule="exact"/>
        </w:trPr>
        <w:tc>
          <w:tcPr>
            <w:tcW w:w="1898" w:type="dxa"/>
            <w:vMerge/>
            <w:tcBorders>
              <w:left w:val="nil" w:sz="6" w:space="0" w:color="auto"/>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29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Arial" w:hAnsi="Arial" w:cs="Arial" w:eastAsia="Arial" w:hint="default"/>
                <w:sz w:val="18"/>
                <w:szCs w:val="18"/>
              </w:rPr>
            </w:pPr>
            <w:r>
              <w:rPr>
                <w:rFonts w:ascii="Arial"/>
                <w:spacing w:val="-1"/>
                <w:sz w:val="18"/>
              </w:rPr>
              <w:t>766,125.72</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5"/>
              <w:jc w:val="right"/>
              <w:rPr>
                <w:rFonts w:ascii="Arial" w:hAnsi="Arial" w:cs="Arial" w:eastAsia="Arial" w:hint="default"/>
                <w:sz w:val="18"/>
                <w:szCs w:val="18"/>
              </w:rPr>
            </w:pPr>
            <w:r>
              <w:rPr>
                <w:rFonts w:ascii="Arial"/>
                <w:spacing w:val="-1"/>
                <w:sz w:val="18"/>
              </w:rPr>
              <w:t>766,125.72</w:t>
            </w:r>
          </w:p>
        </w:tc>
      </w:tr>
      <w:tr>
        <w:trPr>
          <w:trHeight w:val="300"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北碚药业基地</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2"/>
                <w:sz w:val="18"/>
              </w:rPr>
              <w:t>13,114,239.61</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Arial" w:hAnsi="Arial" w:cs="Arial" w:eastAsia="Arial" w:hint="default"/>
                <w:sz w:val="18"/>
                <w:szCs w:val="18"/>
              </w:rPr>
            </w:pPr>
            <w:r>
              <w:rPr>
                <w:rFonts w:ascii="Arial"/>
                <w:spacing w:val="-2"/>
                <w:sz w:val="18"/>
              </w:rPr>
              <w:t>13,114,239.61</w:t>
            </w:r>
          </w:p>
        </w:tc>
      </w:tr>
      <w:tr>
        <w:trPr>
          <w:trHeight w:val="300"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汉普生产线</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spacing w:val="-1"/>
                <w:sz w:val="18"/>
              </w:rPr>
              <w:t>1,843,566.20</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w:hAnsi="Arial" w:cs="Arial" w:eastAsia="Arial" w:hint="default"/>
                <w:sz w:val="18"/>
                <w:szCs w:val="18"/>
              </w:rPr>
            </w:pPr>
            <w:r>
              <w:rPr>
                <w:rFonts w:ascii="Arial"/>
                <w:spacing w:val="-1"/>
                <w:sz w:val="18"/>
              </w:rPr>
              <w:t>1,843,566.20</w:t>
            </w:r>
          </w:p>
        </w:tc>
      </w:tr>
      <w:tr>
        <w:trPr>
          <w:trHeight w:val="29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总商会办公楼</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2"/>
                <w:sz w:val="18"/>
              </w:rPr>
              <w:t>11,885,486.16</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5"/>
              <w:jc w:val="right"/>
              <w:rPr>
                <w:rFonts w:ascii="Arial" w:hAnsi="Arial" w:cs="Arial" w:eastAsia="Arial" w:hint="default"/>
                <w:sz w:val="18"/>
                <w:szCs w:val="18"/>
              </w:rPr>
            </w:pPr>
            <w:r>
              <w:rPr>
                <w:rFonts w:ascii="Arial"/>
                <w:spacing w:val="-2"/>
                <w:sz w:val="18"/>
              </w:rPr>
              <w:t>11,885,486.16</w:t>
            </w:r>
          </w:p>
        </w:tc>
      </w:tr>
      <w:tr>
        <w:trPr>
          <w:trHeight w:val="300"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云南大麻西部项目</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Arial" w:hAnsi="Arial" w:cs="Arial" w:eastAsia="Arial" w:hint="default"/>
                <w:sz w:val="18"/>
                <w:szCs w:val="18"/>
              </w:rPr>
            </w:pPr>
            <w:r>
              <w:rPr>
                <w:rFonts w:ascii="Arial"/>
                <w:spacing w:val="-2"/>
                <w:sz w:val="18"/>
              </w:rPr>
              <w:t>112,000.00</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5"/>
              <w:jc w:val="right"/>
              <w:rPr>
                <w:rFonts w:ascii="Arial" w:hAnsi="Arial" w:cs="Arial" w:eastAsia="Arial" w:hint="default"/>
                <w:sz w:val="18"/>
                <w:szCs w:val="18"/>
              </w:rPr>
            </w:pPr>
            <w:r>
              <w:rPr>
                <w:rFonts w:ascii="Arial"/>
                <w:spacing w:val="-2"/>
                <w:sz w:val="18"/>
              </w:rPr>
              <w:t>112,000.00</w:t>
            </w:r>
          </w:p>
        </w:tc>
      </w:tr>
      <w:tr>
        <w:trPr>
          <w:trHeight w:val="29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Arial" w:hAnsi="Arial" w:cs="Arial" w:eastAsia="Arial" w:hint="default"/>
                <w:sz w:val="18"/>
                <w:szCs w:val="18"/>
              </w:rPr>
            </w:pPr>
            <w:r>
              <w:rPr>
                <w:rFonts w:ascii="Arial"/>
                <w:spacing w:val="-1"/>
                <w:sz w:val="18"/>
              </w:rPr>
              <w:t>305,242.47</w:t>
            </w:r>
          </w:p>
        </w:tc>
        <w:tc>
          <w:tcPr>
            <w:tcW w:w="649"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4"/>
              <w:jc w:val="right"/>
              <w:rPr>
                <w:rFonts w:ascii="Arial" w:hAnsi="Arial" w:cs="Arial" w:eastAsia="Arial" w:hint="default"/>
                <w:sz w:val="18"/>
                <w:szCs w:val="18"/>
              </w:rPr>
            </w:pPr>
            <w:r>
              <w:rPr>
                <w:rFonts w:ascii="Arial"/>
                <w:spacing w:val="-1"/>
                <w:sz w:val="18"/>
              </w:rPr>
              <w:t>305,242.47</w:t>
            </w:r>
          </w:p>
        </w:tc>
      </w:tr>
      <w:tr>
        <w:trPr>
          <w:trHeight w:val="307" w:hRule="exact"/>
        </w:trPr>
        <w:tc>
          <w:tcPr>
            <w:tcW w:w="1898"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tcPr>
          <w:p>
            <w:pPr/>
          </w:p>
        </w:tc>
        <w:tc>
          <w:tcPr>
            <w:tcW w:w="78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28,026,660.16</w:t>
            </w:r>
            <w:r>
              <w:rPr>
                <w:rFonts w:ascii="Arial"/>
                <w:b/>
                <w:spacing w:val="-1"/>
                <w:sz w:val="18"/>
              </w:rPr>
            </w:r>
            <w:r>
              <w:rPr>
                <w:rFonts w:ascii="Arial"/>
                <w:spacing w:val="-1"/>
                <w:sz w:val="18"/>
              </w:rPr>
            </w:r>
          </w:p>
        </w:tc>
        <w:tc>
          <w:tcPr>
            <w:tcW w:w="649"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28,026,660.16</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2</w:t>
      </w:r>
      <w:r>
        <w:rPr/>
        <w:t>）重大在建工程项目基本情况及增减变动如下：</w:t>
      </w:r>
    </w:p>
    <w:p>
      <w:pPr>
        <w:spacing w:line="240" w:lineRule="auto" w:before="13"/>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074"/>
        <w:gridCol w:w="898"/>
        <w:gridCol w:w="1702"/>
        <w:gridCol w:w="1584"/>
        <w:gridCol w:w="1582"/>
        <w:gridCol w:w="1231"/>
      </w:tblGrid>
      <w:tr>
        <w:trPr>
          <w:trHeight w:val="362" w:hRule="exact"/>
        </w:trPr>
        <w:tc>
          <w:tcPr>
            <w:tcW w:w="207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98"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50" w:right="17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32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c>
          <w:tcPr>
            <w:tcW w:w="281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本年增加额</w:t>
            </w:r>
          </w:p>
        </w:tc>
      </w:tr>
      <w:tr>
        <w:trPr>
          <w:trHeight w:val="482" w:hRule="exact"/>
        </w:trPr>
        <w:tc>
          <w:tcPr>
            <w:tcW w:w="2074" w:type="dxa"/>
            <w:vMerge/>
            <w:tcBorders>
              <w:left w:val="nil" w:sz="6" w:space="0" w:color="auto"/>
              <w:bottom w:val="single" w:sz="6" w:space="0" w:color="000000"/>
              <w:right w:val="single" w:sz="6" w:space="0" w:color="000000"/>
            </w:tcBorders>
          </w:tcPr>
          <w:p>
            <w:pPr/>
          </w:p>
        </w:tc>
        <w:tc>
          <w:tcPr>
            <w:tcW w:w="898"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其中：利息资本化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1"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pacing w:val="-12"/>
                <w:sz w:val="18"/>
                <w:szCs w:val="18"/>
              </w:rPr>
              <w:t>其中：利息资</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本化</w:t>
            </w:r>
          </w:p>
        </w:tc>
      </w:tr>
      <w:tr>
        <w:trPr>
          <w:trHeight w:val="355" w:hRule="exact"/>
        </w:trPr>
        <w:tc>
          <w:tcPr>
            <w:tcW w:w="207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spacing w:val="-1"/>
                <w:sz w:val="18"/>
              </w:rPr>
              <w:t>766,125.72</w:t>
            </w:r>
          </w:p>
        </w:tc>
        <w:tc>
          <w:tcPr>
            <w:tcW w:w="15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6,680,765.79</w:t>
            </w:r>
          </w:p>
        </w:tc>
        <w:tc>
          <w:tcPr>
            <w:tcW w:w="1231"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07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北碚药业基地</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2"/>
                <w:sz w:val="18"/>
              </w:rPr>
              <w:t>13,114,239.61</w:t>
            </w:r>
          </w:p>
        </w:tc>
        <w:tc>
          <w:tcPr>
            <w:tcW w:w="15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7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总商会办公楼</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2"/>
                <w:sz w:val="18"/>
              </w:rPr>
              <w:t>11,885,486.16</w:t>
            </w:r>
          </w:p>
        </w:tc>
        <w:tc>
          <w:tcPr>
            <w:tcW w:w="15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07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25,765,851.49</w:t>
            </w:r>
            <w:r>
              <w:rPr>
                <w:rFonts w:ascii="Arial"/>
                <w:b/>
                <w:spacing w:val="-1"/>
                <w:sz w:val="18"/>
              </w:rPr>
            </w:r>
            <w:r>
              <w:rPr>
                <w:rFonts w:ascii="Arial"/>
                <w:spacing w:val="-1"/>
                <w:sz w:val="18"/>
              </w:rPr>
            </w:r>
          </w:p>
        </w:tc>
        <w:tc>
          <w:tcPr>
            <w:tcW w:w="1584"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6,680,765.79</w:t>
            </w:r>
            <w:r>
              <w:rPr>
                <w:rFonts w:ascii="Arial"/>
                <w:b/>
                <w:spacing w:val="-1"/>
                <w:sz w:val="18"/>
              </w:rPr>
            </w:r>
            <w:r>
              <w:rPr>
                <w:rFonts w:ascii="Arial"/>
                <w:spacing w:val="-1"/>
                <w:sz w:val="18"/>
              </w:rPr>
            </w:r>
          </w:p>
        </w:tc>
        <w:tc>
          <w:tcPr>
            <w:tcW w:w="123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8"/>
        <w:ind w:left="580" w:right="1326"/>
        <w:jc w:val="left"/>
      </w:pPr>
      <w:r>
        <w:rPr/>
        <w:t>（续上表）</w:t>
      </w:r>
    </w:p>
    <w:p>
      <w:pPr>
        <w:spacing w:line="240" w:lineRule="auto" w:before="8"/>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2321"/>
        <w:gridCol w:w="1827"/>
        <w:gridCol w:w="1700"/>
        <w:gridCol w:w="1702"/>
        <w:gridCol w:w="1541"/>
      </w:tblGrid>
      <w:tr>
        <w:trPr>
          <w:trHeight w:val="362" w:hRule="exact"/>
        </w:trPr>
        <w:tc>
          <w:tcPr>
            <w:tcW w:w="2321"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35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324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年末金额</w:t>
            </w:r>
          </w:p>
        </w:tc>
      </w:tr>
      <w:tr>
        <w:trPr>
          <w:trHeight w:val="564" w:hRule="exact"/>
        </w:trPr>
        <w:tc>
          <w:tcPr>
            <w:tcW w:w="2321" w:type="dxa"/>
            <w:vMerge/>
            <w:tcBorders>
              <w:left w:val="nil" w:sz="6" w:space="0" w:color="auto"/>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其中：本年转固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671" w:right="139" w:hanging="540"/>
              <w:jc w:val="left"/>
              <w:rPr>
                <w:rFonts w:ascii="宋体" w:hAnsi="宋体" w:cs="宋体" w:eastAsia="宋体" w:hint="default"/>
                <w:sz w:val="18"/>
                <w:szCs w:val="18"/>
              </w:rPr>
            </w:pPr>
            <w:r>
              <w:rPr>
                <w:rFonts w:ascii="宋体" w:hAnsi="宋体" w:cs="宋体" w:eastAsia="宋体" w:hint="default"/>
                <w:sz w:val="18"/>
                <w:szCs w:val="18"/>
              </w:rPr>
              <w:t>其中：利息资本 化</w:t>
            </w:r>
          </w:p>
        </w:tc>
      </w:tr>
      <w:tr>
        <w:trPr>
          <w:trHeight w:val="355"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7,446,891.51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Arial" w:hAnsi="Arial" w:cs="Arial" w:eastAsia="Arial" w:hint="default"/>
                <w:sz w:val="18"/>
                <w:szCs w:val="18"/>
              </w:rPr>
            </w:pPr>
            <w:r>
              <w:rPr>
                <w:rFonts w:ascii="Arial"/>
                <w:spacing w:val="-1"/>
                <w:sz w:val="18"/>
              </w:rPr>
              <w:t>7,446,891.51</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21"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北碚药业基地</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2"/>
                <w:sz w:val="18"/>
              </w:rPr>
              <w:t>13,114,239.61</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96"/>
              <w:jc w:val="right"/>
              <w:rPr>
                <w:rFonts w:ascii="Arial" w:hAnsi="Arial" w:cs="Arial" w:eastAsia="Arial" w:hint="default"/>
                <w:sz w:val="18"/>
                <w:szCs w:val="18"/>
              </w:rPr>
            </w:pPr>
            <w:r>
              <w:rPr>
                <w:rFonts w:ascii="Arial"/>
                <w:spacing w:val="-2"/>
                <w:sz w:val="18"/>
              </w:rPr>
              <w:t>13,114,239.61</w:t>
            </w:r>
          </w:p>
        </w:tc>
        <w:tc>
          <w:tcPr>
            <w:tcW w:w="1702" w:type="dxa"/>
            <w:tcBorders>
              <w:top w:val="single" w:sz="6" w:space="0" w:color="000000"/>
              <w:left w:val="single" w:sz="6" w:space="0" w:color="000000"/>
              <w:bottom w:val="single" w:sz="12" w:space="0" w:color="000000"/>
              <w:right w:val="single" w:sz="6" w:space="0" w:color="000000"/>
            </w:tcBorders>
          </w:tcPr>
          <w:p>
            <w:pPr/>
          </w:p>
        </w:tc>
        <w:tc>
          <w:tcPr>
            <w:tcW w:w="1541"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321"/>
        <w:gridCol w:w="1827"/>
        <w:gridCol w:w="1700"/>
        <w:gridCol w:w="1702"/>
        <w:gridCol w:w="1541"/>
      </w:tblGrid>
      <w:tr>
        <w:trPr>
          <w:trHeight w:val="370" w:hRule="exact"/>
        </w:trPr>
        <w:tc>
          <w:tcPr>
            <w:tcW w:w="2321" w:type="dxa"/>
            <w:tcBorders>
              <w:top w:val="single" w:sz="17"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总商会办公楼</w:t>
            </w:r>
          </w:p>
        </w:tc>
        <w:tc>
          <w:tcPr>
            <w:tcW w:w="1827" w:type="dxa"/>
            <w:tcBorders>
              <w:top w:val="single" w:sz="17"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2"/>
                <w:sz w:val="18"/>
              </w:rPr>
              <w:t>11,885,486.16</w:t>
            </w:r>
          </w:p>
        </w:tc>
        <w:tc>
          <w:tcPr>
            <w:tcW w:w="1700" w:type="dxa"/>
            <w:tcBorders>
              <w:top w:val="single" w:sz="17"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Arial" w:hAnsi="Arial" w:cs="Arial" w:eastAsia="Arial" w:hint="default"/>
                <w:sz w:val="18"/>
                <w:szCs w:val="18"/>
              </w:rPr>
            </w:pPr>
            <w:r>
              <w:rPr>
                <w:rFonts w:ascii="Arial"/>
                <w:spacing w:val="-2"/>
                <w:sz w:val="18"/>
              </w:rPr>
              <w:t>11,885,486.16</w:t>
            </w:r>
          </w:p>
        </w:tc>
        <w:tc>
          <w:tcPr>
            <w:tcW w:w="1702" w:type="dxa"/>
            <w:tcBorders>
              <w:top w:val="single" w:sz="17" w:space="0" w:color="000000"/>
              <w:left w:val="single" w:sz="6" w:space="0" w:color="000000"/>
              <w:bottom w:val="single" w:sz="6" w:space="0" w:color="000000"/>
              <w:right w:val="single" w:sz="6" w:space="0" w:color="000000"/>
            </w:tcBorders>
          </w:tcPr>
          <w:p>
            <w:pPr/>
          </w:p>
        </w:tc>
        <w:tc>
          <w:tcPr>
            <w:tcW w:w="1541" w:type="dxa"/>
            <w:tcBorders>
              <w:top w:val="single" w:sz="17" w:space="0" w:color="000000"/>
              <w:left w:val="single" w:sz="6" w:space="0" w:color="000000"/>
              <w:bottom w:val="single" w:sz="6" w:space="0" w:color="000000"/>
              <w:right w:val="nil" w:sz="6" w:space="0" w:color="auto"/>
            </w:tcBorders>
          </w:tcPr>
          <w:p>
            <w:pPr/>
          </w:p>
        </w:tc>
      </w:tr>
      <w:tr>
        <w:trPr>
          <w:trHeight w:val="363" w:hRule="exact"/>
        </w:trPr>
        <w:tc>
          <w:tcPr>
            <w:tcW w:w="2321"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32,446,617.28</w:t>
            </w:r>
            <w:r>
              <w:rPr>
                <w:rFonts w:ascii="Arial"/>
                <w:b/>
                <w:spacing w:val="-1"/>
                <w:sz w:val="18"/>
              </w:rPr>
            </w:r>
            <w:r>
              <w:rPr>
                <w:rFonts w:ascii="Arial"/>
                <w:spacing w:val="-1"/>
                <w:sz w:val="18"/>
              </w:rPr>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32,446,617.28</w:t>
            </w:r>
            <w:r>
              <w:rPr>
                <w:rFonts w:ascii="Arial"/>
                <w:b/>
                <w:spacing w:val="-1"/>
                <w:sz w:val="18"/>
              </w:rPr>
            </w:r>
            <w:r>
              <w:rPr>
                <w:rFonts w:ascii="Arial"/>
                <w:spacing w:val="-1"/>
                <w:sz w:val="18"/>
              </w:rPr>
            </w:r>
          </w:p>
        </w:tc>
        <w:tc>
          <w:tcPr>
            <w:tcW w:w="1702" w:type="dxa"/>
            <w:tcBorders>
              <w:top w:val="single" w:sz="6" w:space="0" w:color="000000"/>
              <w:left w:val="single" w:sz="6" w:space="0" w:color="000000"/>
              <w:bottom w:val="single" w:sz="12" w:space="0" w:color="000000"/>
              <w:right w:val="single" w:sz="6" w:space="0" w:color="000000"/>
            </w:tcBorders>
          </w:tcPr>
          <w:p>
            <w:pPr/>
          </w:p>
        </w:tc>
        <w:tc>
          <w:tcPr>
            <w:tcW w:w="154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472" w:right="1326"/>
        <w:jc w:val="left"/>
      </w:pPr>
      <w:r>
        <w:rPr/>
        <w:t>（</w:t>
      </w:r>
      <w:r>
        <w:rPr>
          <w:rFonts w:ascii="Arial" w:hAnsi="Arial" w:cs="Arial" w:eastAsia="Arial" w:hint="default"/>
        </w:rPr>
        <w:t>3</w:t>
      </w:r>
      <w:r>
        <w:rPr/>
        <w:t>）报告期内无应提取在建工程减值准备的情况。</w:t>
      </w:r>
    </w:p>
    <w:p>
      <w:pPr>
        <w:spacing w:line="240" w:lineRule="auto" w:before="7"/>
        <w:rPr>
          <w:rFonts w:ascii="宋体" w:hAnsi="宋体" w:cs="宋体" w:eastAsia="宋体" w:hint="default"/>
          <w:sz w:val="27"/>
          <w:szCs w:val="27"/>
        </w:rPr>
      </w:pPr>
    </w:p>
    <w:p>
      <w:pPr>
        <w:pStyle w:val="Heading4"/>
        <w:spacing w:line="240" w:lineRule="auto"/>
        <w:ind w:left="580" w:right="1326"/>
        <w:jc w:val="left"/>
        <w:rPr>
          <w:b w:val="0"/>
          <w:bCs w:val="0"/>
        </w:rPr>
      </w:pPr>
      <w:r>
        <w:rPr/>
        <w:t>（十一）生产性生物资产</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）以成本计量的生产性生物资产明细列示如下：</w:t>
      </w:r>
    </w:p>
    <w:p>
      <w:pPr>
        <w:spacing w:line="240" w:lineRule="auto" w:before="11"/>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2174"/>
        <w:gridCol w:w="1546"/>
        <w:gridCol w:w="1805"/>
        <w:gridCol w:w="1750"/>
        <w:gridCol w:w="1556"/>
      </w:tblGrid>
      <w:tr>
        <w:trPr>
          <w:trHeight w:val="365" w:hRule="exact"/>
        </w:trPr>
        <w:tc>
          <w:tcPr>
            <w:tcW w:w="21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2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4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3"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154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曼地亚红豆杉</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7,684,593.58</w:t>
            </w:r>
          </w:p>
        </w:tc>
        <w:tc>
          <w:tcPr>
            <w:tcW w:w="1805"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1,714,225.68</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5,970,367.90</w:t>
            </w:r>
          </w:p>
        </w:tc>
      </w:tr>
      <w:tr>
        <w:trPr>
          <w:trHeight w:val="365"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7,684,593.58</w:t>
            </w:r>
            <w:r>
              <w:rPr>
                <w:rFonts w:ascii="Arial"/>
                <w:b/>
                <w:spacing w:val="-1"/>
                <w:sz w:val="18"/>
              </w:rPr>
            </w:r>
            <w:r>
              <w:rPr>
                <w:rFonts w:ascii="Arial"/>
                <w:spacing w:val="-1"/>
                <w:sz w:val="18"/>
              </w:rPr>
            </w:r>
          </w:p>
        </w:tc>
        <w:tc>
          <w:tcPr>
            <w:tcW w:w="1805" w:type="dxa"/>
            <w:tcBorders>
              <w:top w:val="single" w:sz="6" w:space="0" w:color="000000"/>
              <w:left w:val="single" w:sz="6" w:space="0" w:color="000000"/>
              <w:bottom w:val="single" w:sz="12" w:space="0" w:color="000000"/>
              <w:right w:val="single" w:sz="6" w:space="0" w:color="000000"/>
            </w:tcBorders>
          </w:tcPr>
          <w:p>
            <w:pP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1,714,225.68</w:t>
            </w:r>
            <w:r>
              <w:rPr>
                <w:rFonts w:ascii="Arial"/>
                <w:b/>
                <w:spacing w:val="-1"/>
                <w:sz w:val="18"/>
              </w:rPr>
            </w:r>
            <w:r>
              <w:rPr>
                <w:rFonts w:ascii="Arial"/>
                <w:spacing w:val="-1"/>
                <w:sz w:val="18"/>
              </w:rPr>
            </w:r>
          </w:p>
        </w:tc>
        <w:tc>
          <w:tcPr>
            <w:tcW w:w="1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5,970,367.90</w:t>
            </w:r>
            <w:r>
              <w:rPr>
                <w:rFonts w:ascii="Arial"/>
                <w:b/>
                <w:spacing w:val="-1"/>
                <w:sz w:val="18"/>
              </w:rPr>
            </w:r>
            <w:r>
              <w:rPr>
                <w:rFonts w:ascii="Arial"/>
                <w:spacing w:val="-1"/>
                <w:sz w:val="18"/>
              </w:rPr>
            </w:r>
          </w:p>
        </w:tc>
      </w:tr>
    </w:tbl>
    <w:p>
      <w:pPr>
        <w:pStyle w:val="BodyText"/>
        <w:spacing w:line="240" w:lineRule="auto" w:before="86"/>
        <w:ind w:left="580" w:right="1326"/>
        <w:jc w:val="left"/>
      </w:pPr>
      <w:r>
        <w:rPr/>
        <w:t>注：本期生产性生物资产的减少主要系处置部分曼地亚红豆杉所致。</w:t>
      </w:r>
    </w:p>
    <w:p>
      <w:pPr>
        <w:spacing w:line="240" w:lineRule="auto" w:before="3"/>
        <w:rPr>
          <w:rFonts w:ascii="宋体" w:hAnsi="宋体" w:cs="宋体" w:eastAsia="宋体" w:hint="default"/>
          <w:sz w:val="23"/>
          <w:szCs w:val="23"/>
        </w:rPr>
      </w:pPr>
    </w:p>
    <w:p>
      <w:pPr>
        <w:pStyle w:val="BodyText"/>
        <w:spacing w:line="240" w:lineRule="auto"/>
        <w:ind w:left="580" w:right="1326"/>
        <w:jc w:val="left"/>
      </w:pPr>
      <w:r>
        <w:rPr/>
        <w:t>（</w:t>
      </w:r>
      <w:r>
        <w:rPr>
          <w:rFonts w:ascii="Arial" w:hAnsi="Arial" w:cs="Arial" w:eastAsia="Arial" w:hint="default"/>
        </w:rPr>
        <w:t>2</w:t>
      </w:r>
      <w:r>
        <w:rPr/>
        <w:t>）报告期内无应提取生产性生物资产减值准备的情况。</w:t>
      </w:r>
    </w:p>
    <w:p>
      <w:pPr>
        <w:spacing w:line="240" w:lineRule="auto" w:before="13"/>
        <w:rPr>
          <w:rFonts w:ascii="宋体" w:hAnsi="宋体" w:cs="宋体" w:eastAsia="宋体" w:hint="default"/>
          <w:sz w:val="22"/>
          <w:szCs w:val="22"/>
        </w:rPr>
      </w:pPr>
    </w:p>
    <w:p>
      <w:pPr>
        <w:pStyle w:val="Heading4"/>
        <w:spacing w:line="240" w:lineRule="auto"/>
        <w:ind w:left="580" w:right="1326"/>
        <w:jc w:val="left"/>
        <w:rPr>
          <w:b w:val="0"/>
          <w:bCs w:val="0"/>
        </w:rPr>
      </w:pPr>
      <w:r>
        <w:rPr/>
        <w:t>（十二）无形资产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）无形资产情况</w:t>
      </w:r>
    </w:p>
    <w:p>
      <w:pPr>
        <w:spacing w:line="240" w:lineRule="auto" w:before="13"/>
        <w:rPr>
          <w:rFonts w:ascii="宋体" w:hAnsi="宋体" w:cs="宋体" w:eastAsia="宋体" w:hint="default"/>
          <w:sz w:val="20"/>
          <w:szCs w:val="20"/>
        </w:rPr>
      </w:pPr>
    </w:p>
    <w:tbl>
      <w:tblPr>
        <w:tblW w:w="0" w:type="auto"/>
        <w:jc w:val="left"/>
        <w:tblInd w:w="162" w:type="dxa"/>
        <w:tblLayout w:type="fixed"/>
        <w:tblCellMar>
          <w:top w:w="0" w:type="dxa"/>
          <w:left w:w="0" w:type="dxa"/>
          <w:bottom w:w="0" w:type="dxa"/>
          <w:right w:w="0" w:type="dxa"/>
        </w:tblCellMar>
        <w:tblLook w:val="01E0"/>
      </w:tblPr>
      <w:tblGrid>
        <w:gridCol w:w="2629"/>
        <w:gridCol w:w="1558"/>
        <w:gridCol w:w="1558"/>
        <w:gridCol w:w="1560"/>
        <w:gridCol w:w="1676"/>
      </w:tblGrid>
      <w:tr>
        <w:trPr>
          <w:trHeight w:val="362" w:hRule="exact"/>
        </w:trPr>
        <w:tc>
          <w:tcPr>
            <w:tcW w:w="26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8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254,122,867.67</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83,716.67</w:t>
            </w:r>
            <w:r>
              <w:rPr>
                <w:rFonts w:ascii="Arial"/>
                <w:b/>
                <w:spacing w:val="-1"/>
                <w:sz w:val="18"/>
              </w:rPr>
            </w:r>
            <w:r>
              <w:rPr>
                <w:rFonts w:ascii="Arial"/>
                <w:spacing w:val="-1"/>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30,685,385.46</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223,521,198.88</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180,143,169.86</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4,165,461.04</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175,977,708.82</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26,479,860.00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26,479,860.00</w:t>
            </w:r>
          </w:p>
        </w:tc>
      </w:tr>
      <w:tr>
        <w:trPr>
          <w:trHeight w:val="356"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43,774,736.61</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26,519,924.42</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17,254,812.19</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3,725,101.20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83,716.67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3,808,817.87</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54,179,204.44</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7,707,007.35</w:t>
            </w:r>
            <w:r>
              <w:rPr>
                <w:rFonts w:ascii="Arial"/>
                <w:b/>
                <w:spacing w:val="-1"/>
                <w:sz w:val="18"/>
              </w:rPr>
            </w:r>
            <w:r>
              <w:rPr>
                <w:rFonts w:ascii="Arial"/>
                <w:spacing w:val="-1"/>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18,195,430.41</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43,690,781.38</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10,131,257.67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3,866,988.36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362,668.16</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13,635,577.87</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23,831,874.00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2,647,986.00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26,479,860.00</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17,241,075.45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815,686.96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17,832,762.25</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224,000.16</w:t>
            </w:r>
          </w:p>
        </w:tc>
      </w:tr>
      <w:tr>
        <w:trPr>
          <w:trHeight w:val="353"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2,974,997.32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5"/>
              <w:jc w:val="right"/>
              <w:rPr>
                <w:rFonts w:ascii="Arial" w:hAnsi="Arial" w:cs="Arial" w:eastAsia="Arial" w:hint="default"/>
                <w:sz w:val="18"/>
                <w:szCs w:val="18"/>
              </w:rPr>
            </w:pPr>
            <w:r>
              <w:rPr>
                <w:rFonts w:ascii="Arial"/>
                <w:spacing w:val="-1"/>
                <w:sz w:val="18"/>
              </w:rPr>
              <w:t>376,346.03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3,351,343.35</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199,943,663.23</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179,830,417.50</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170,011,912.19</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162,342,130.95</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2,647,986.00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26,533,661.16</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sz w:val="18"/>
              </w:rPr>
              <w:t>17,030,812.03</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750,103.88</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457,474.52</w:t>
            </w:r>
          </w:p>
        </w:tc>
      </w:tr>
      <w:tr>
        <w:trPr>
          <w:trHeight w:val="482"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四、无形资产减值准备累计金</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24,296,603.77</w:t>
            </w:r>
            <w:r>
              <w:rPr>
                <w:rFonts w:ascii="Arial"/>
                <w:b/>
                <w:spacing w:val="-1"/>
                <w:sz w:val="18"/>
              </w:rPr>
            </w:r>
            <w:r>
              <w:rPr>
                <w:rFonts w:ascii="Arial"/>
                <w:spacing w:val="-1"/>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7,303,124.70</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16,993,479.07</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24,296,603.77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7,303,124.70</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16,993,479.07</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6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199,943,663.23</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162,836,938.43</w:t>
            </w:r>
            <w:r>
              <w:rPr>
                <w:rFonts w:ascii="Arial"/>
                <w:b/>
                <w:spacing w:val="-1"/>
                <w:sz w:val="18"/>
              </w:rPr>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674"/>
        <w:gridCol w:w="1558"/>
        <w:gridCol w:w="1558"/>
        <w:gridCol w:w="1560"/>
        <w:gridCol w:w="1676"/>
      </w:tblGrid>
      <w:tr>
        <w:trPr>
          <w:trHeight w:val="370" w:hRule="exact"/>
        </w:trPr>
        <w:tc>
          <w:tcPr>
            <w:tcW w:w="2674"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170,011,912.19</w:t>
            </w:r>
          </w:p>
        </w:tc>
        <w:tc>
          <w:tcPr>
            <w:tcW w:w="1558" w:type="dxa"/>
            <w:tcBorders>
              <w:top w:val="single" w:sz="17" w:space="0" w:color="000000"/>
              <w:left w:val="single" w:sz="6" w:space="0" w:color="000000"/>
              <w:bottom w:val="single" w:sz="6" w:space="0" w:color="000000"/>
              <w:right w:val="single" w:sz="6" w:space="0" w:color="000000"/>
            </w:tcBorders>
          </w:tcPr>
          <w:p>
            <w:pPr/>
          </w:p>
        </w:tc>
        <w:tc>
          <w:tcPr>
            <w:tcW w:w="1560" w:type="dxa"/>
            <w:tcBorders>
              <w:top w:val="single" w:sz="17" w:space="0" w:color="000000"/>
              <w:left w:val="single" w:sz="6" w:space="0" w:color="000000"/>
              <w:bottom w:val="single" w:sz="6" w:space="0" w:color="000000"/>
              <w:right w:val="single" w:sz="6" w:space="0" w:color="000000"/>
            </w:tcBorders>
          </w:tcPr>
          <w:p>
            <w:pPr/>
          </w:p>
        </w:tc>
        <w:tc>
          <w:tcPr>
            <w:tcW w:w="1676"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162,342,130.95</w:t>
            </w:r>
          </w:p>
        </w:tc>
      </w:tr>
      <w:tr>
        <w:trPr>
          <w:trHeight w:val="356"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2,647,986.00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26,533,661.16</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37,332.96</w:t>
            </w:r>
          </w:p>
        </w:tc>
      </w:tr>
      <w:tr>
        <w:trPr>
          <w:trHeight w:val="362" w:hRule="exact"/>
        </w:trPr>
        <w:tc>
          <w:tcPr>
            <w:tcW w:w="26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750,103.88</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1"/>
                <w:sz w:val="18"/>
              </w:rPr>
              <w:t>457,474.52</w:t>
            </w:r>
          </w:p>
        </w:tc>
      </w:tr>
    </w:tbl>
    <w:p>
      <w:pPr>
        <w:pStyle w:val="BodyText"/>
        <w:spacing w:line="240" w:lineRule="auto" w:before="86"/>
        <w:ind w:left="600" w:right="1428"/>
        <w:jc w:val="left"/>
      </w:pPr>
      <w:r>
        <w:rPr/>
        <w:t>本年摊销额为</w:t>
      </w:r>
      <w:r>
        <w:rPr>
          <w:spacing w:val="-54"/>
        </w:rPr>
        <w:t> </w:t>
      </w:r>
      <w:r>
        <w:rPr>
          <w:rFonts w:ascii="Arial" w:hAnsi="Arial" w:cs="Arial" w:eastAsia="Arial" w:hint="default"/>
        </w:rPr>
        <w:t>7,707,007.35</w:t>
      </w:r>
      <w:r>
        <w:rPr>
          <w:rFonts w:ascii="Arial" w:hAnsi="Arial" w:cs="Arial" w:eastAsia="Arial" w:hint="default"/>
          <w:spacing w:val="-6"/>
        </w:rPr>
        <w:t> </w:t>
      </w:r>
      <w:r>
        <w:rPr/>
        <w:t>元。</w:t>
      </w:r>
    </w:p>
    <w:p>
      <w:pPr>
        <w:spacing w:line="240" w:lineRule="auto" w:before="7"/>
        <w:rPr>
          <w:rFonts w:ascii="宋体" w:hAnsi="宋体" w:cs="宋体" w:eastAsia="宋体" w:hint="default"/>
          <w:sz w:val="27"/>
          <w:szCs w:val="27"/>
        </w:rPr>
      </w:pPr>
    </w:p>
    <w:p>
      <w:pPr>
        <w:pStyle w:val="BodyText"/>
        <w:spacing w:line="340" w:lineRule="auto"/>
        <w:ind w:left="180" w:right="1428" w:firstLine="420"/>
        <w:jc w:val="left"/>
      </w:pPr>
      <w:r>
        <w:rPr>
          <w:spacing w:val="-2"/>
          <w:w w:val="100"/>
        </w:rPr>
        <w:t>公司对账面净值</w:t>
      </w:r>
      <w:r>
        <w:rPr>
          <w:w w:val="100"/>
        </w:rPr>
        <w:t> </w:t>
      </w:r>
      <w:r>
        <w:rPr>
          <w:rFonts w:ascii="Arial" w:hAnsi="Arial" w:cs="Arial" w:eastAsia="Arial" w:hint="default"/>
          <w:spacing w:val="-1"/>
          <w:w w:val="100"/>
        </w:rPr>
        <w:t>2,429.66</w:t>
      </w:r>
      <w:r>
        <w:rPr>
          <w:rFonts w:ascii="Arial" w:hAnsi="Arial" w:cs="Arial" w:eastAsia="Arial" w:hint="default"/>
          <w:spacing w:val="-35"/>
          <w:w w:val="100"/>
        </w:rPr>
        <w:t> </w:t>
      </w:r>
      <w:r>
        <w:rPr>
          <w:spacing w:val="-5"/>
          <w:w w:val="100"/>
        </w:rPr>
        <w:t>万元的生产经营权单独进行减值测试，有证据表明该项生产经营权已</w:t>
      </w:r>
      <w:r>
        <w:rPr>
          <w:w w:val="100"/>
        </w:rPr>
        <w:t> </w:t>
      </w:r>
      <w:r>
        <w:rPr/>
        <w:t>无法为公司带来预期收益，于本年对其全额计提减值准备。</w:t>
      </w:r>
    </w:p>
    <w:p>
      <w:pPr>
        <w:spacing w:line="240" w:lineRule="auto" w:before="10"/>
        <w:rPr>
          <w:rFonts w:ascii="宋体" w:hAnsi="宋体" w:cs="宋体" w:eastAsia="宋体" w:hint="default"/>
          <w:sz w:val="21"/>
          <w:szCs w:val="21"/>
        </w:rPr>
      </w:pPr>
    </w:p>
    <w:p>
      <w:pPr>
        <w:pStyle w:val="BodyText"/>
        <w:spacing w:line="240" w:lineRule="auto"/>
        <w:ind w:left="600" w:right="1428"/>
        <w:jc w:val="left"/>
      </w:pPr>
      <w:r>
        <w:rPr/>
        <w:t>无形资产本年减少系处置子公司所致。</w:t>
      </w:r>
    </w:p>
    <w:p>
      <w:pPr>
        <w:spacing w:line="240" w:lineRule="auto" w:before="2"/>
        <w:rPr>
          <w:rFonts w:ascii="宋体" w:hAnsi="宋体" w:cs="宋体" w:eastAsia="宋体" w:hint="default"/>
          <w:sz w:val="24"/>
          <w:szCs w:val="24"/>
        </w:rPr>
      </w:pPr>
    </w:p>
    <w:p>
      <w:pPr>
        <w:pStyle w:val="Heading4"/>
        <w:spacing w:line="240" w:lineRule="auto"/>
        <w:ind w:left="600" w:right="1428"/>
        <w:jc w:val="left"/>
        <w:rPr>
          <w:b w:val="0"/>
          <w:bCs w:val="0"/>
        </w:rPr>
      </w:pPr>
      <w:r>
        <w:rPr/>
        <w:t>（十三）商誉</w:t>
      </w:r>
      <w:r>
        <w:rPr>
          <w:b w:val="0"/>
          <w:bCs w:val="0"/>
        </w:rPr>
      </w:r>
    </w:p>
    <w:p>
      <w:pPr>
        <w:spacing w:line="240" w:lineRule="auto" w:before="5"/>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1774"/>
        <w:gridCol w:w="1659"/>
        <w:gridCol w:w="1342"/>
        <w:gridCol w:w="1484"/>
        <w:gridCol w:w="1457"/>
        <w:gridCol w:w="1411"/>
      </w:tblGrid>
      <w:tr>
        <w:trPr>
          <w:trHeight w:val="504" w:hRule="exact"/>
        </w:trPr>
        <w:tc>
          <w:tcPr>
            <w:tcW w:w="1774" w:type="dxa"/>
            <w:tcBorders>
              <w:top w:val="single" w:sz="12" w:space="0" w:color="000000"/>
              <w:left w:val="nil" w:sz="6" w:space="0" w:color="auto"/>
              <w:bottom w:val="single" w:sz="6" w:space="0" w:color="000000"/>
              <w:right w:val="single" w:sz="6" w:space="0" w:color="000000"/>
            </w:tcBorders>
          </w:tcPr>
          <w:p>
            <w:pPr>
              <w:pStyle w:val="TableParagraph"/>
              <w:spacing w:line="240" w:lineRule="exact" w:before="2"/>
              <w:ind w:left="263" w:right="151"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21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28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4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4"/>
              <w:ind w:left="158"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494"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重庆华立武陵山制 </w:t>
            </w:r>
            <w:r>
              <w:rPr>
                <w:rFonts w:ascii="宋体" w:hAnsi="宋体" w:cs="宋体" w:eastAsia="宋体" w:hint="default"/>
                <w:sz w:val="18"/>
                <w:szCs w:val="18"/>
              </w:rPr>
              <w:t>药有限公司（注）</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437,025.54</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437,025.54</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重庆美联制药有限 </w:t>
            </w:r>
            <w:r>
              <w:rPr>
                <w:rFonts w:ascii="宋体" w:hAnsi="宋体" w:cs="宋体" w:eastAsia="宋体" w:hint="default"/>
                <w:sz w:val="18"/>
                <w:szCs w:val="18"/>
              </w:rPr>
              <w:t>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5,837,374.37</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89" w:right="0"/>
              <w:jc w:val="center"/>
              <w:rPr>
                <w:rFonts w:ascii="Arial" w:hAnsi="Arial" w:cs="Arial" w:eastAsia="Arial" w:hint="default"/>
                <w:sz w:val="18"/>
                <w:szCs w:val="18"/>
              </w:rPr>
            </w:pPr>
            <w:r>
              <w:rPr>
                <w:rFonts w:ascii="Arial"/>
                <w:sz w:val="18"/>
              </w:rPr>
              <w:t>5,837,374.37</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5,837,374.37</w:t>
            </w:r>
          </w:p>
        </w:tc>
      </w:tr>
      <w:tr>
        <w:trPr>
          <w:trHeight w:val="497"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86"/>
              <w:jc w:val="left"/>
              <w:rPr>
                <w:rFonts w:ascii="宋体" w:hAnsi="宋体" w:cs="宋体" w:eastAsia="宋体" w:hint="default"/>
                <w:sz w:val="18"/>
                <w:szCs w:val="18"/>
              </w:rPr>
            </w:pPr>
            <w:r>
              <w:rPr>
                <w:rFonts w:ascii="宋体" w:hAnsi="宋体" w:cs="宋体" w:eastAsia="宋体" w:hint="default"/>
                <w:spacing w:val="14"/>
                <w:sz w:val="18"/>
                <w:szCs w:val="18"/>
              </w:rPr>
              <w:t>洪雅美联曼地亚红 </w:t>
            </w:r>
            <w:r>
              <w:rPr>
                <w:rFonts w:ascii="宋体" w:hAnsi="宋体" w:cs="宋体" w:eastAsia="宋体" w:hint="default"/>
                <w:sz w:val="18"/>
                <w:szCs w:val="18"/>
              </w:rPr>
              <w:t>豆杉种植有限公司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8,900,000.00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89" w:right="0"/>
              <w:jc w:val="center"/>
              <w:rPr>
                <w:rFonts w:ascii="Arial" w:hAnsi="Arial" w:cs="Arial" w:eastAsia="Arial" w:hint="default"/>
                <w:sz w:val="18"/>
                <w:szCs w:val="18"/>
              </w:rPr>
            </w:pPr>
            <w:r>
              <w:rPr>
                <w:rFonts w:ascii="Arial"/>
                <w:sz w:val="18"/>
              </w:rPr>
              <w:t>8,900,000.00</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8,900,000.00</w:t>
            </w:r>
          </w:p>
        </w:tc>
      </w:tr>
      <w:tr>
        <w:trPr>
          <w:trHeight w:val="494"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云南工业大麻股份 </w:t>
            </w:r>
            <w:r>
              <w:rPr>
                <w:rFonts w:ascii="宋体" w:hAnsi="宋体" w:cs="宋体" w:eastAsia="宋体" w:hint="default"/>
                <w:sz w:val="18"/>
                <w:szCs w:val="18"/>
              </w:rPr>
              <w:t>有限公司（注）</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16,860,873.95</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16,860,873.95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浙江华立南湖制药 </w:t>
            </w:r>
            <w:r>
              <w:rPr>
                <w:rFonts w:ascii="宋体" w:hAnsi="宋体" w:cs="宋体" w:eastAsia="宋体" w:hint="default"/>
                <w:sz w:val="18"/>
                <w:szCs w:val="18"/>
              </w:rPr>
              <w:t>有限公司（注）</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12,601,382.21</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12,601,382.21</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1774"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44,636,656.07</w:t>
            </w:r>
            <w:r>
              <w:rPr>
                <w:rFonts w:ascii="Arial"/>
                <w:b/>
                <w:spacing w:val="-1"/>
                <w:sz w:val="18"/>
              </w:rPr>
            </w:r>
            <w:r>
              <w:rPr>
                <w:rFonts w:ascii="Arial"/>
                <w:spacing w:val="-1"/>
                <w:sz w:val="18"/>
              </w:rPr>
            </w:r>
          </w:p>
        </w:tc>
        <w:tc>
          <w:tcPr>
            <w:tcW w:w="1342" w:type="dxa"/>
            <w:tcBorders>
              <w:top w:val="single" w:sz="6" w:space="0" w:color="000000"/>
              <w:left w:val="single" w:sz="6" w:space="0" w:color="000000"/>
              <w:bottom w:val="single" w:sz="12" w:space="0" w:color="000000"/>
              <w:right w:val="single" w:sz="6" w:space="0" w:color="000000"/>
            </w:tcBorders>
          </w:tcPr>
          <w:p>
            <w:pP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29,899,281.70</w:t>
            </w:r>
            <w:r>
              <w:rPr>
                <w:rFonts w:ascii="Arial"/>
                <w:b/>
                <w:spacing w:val="-1"/>
                <w:sz w:val="18"/>
              </w:rPr>
            </w:r>
            <w:r>
              <w:rPr>
                <w:rFonts w:ascii="Arial"/>
                <w:spacing w:val="-1"/>
                <w:sz w:val="18"/>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88" w:right="0"/>
              <w:jc w:val="center"/>
              <w:rPr>
                <w:rFonts w:ascii="Arial" w:hAnsi="Arial" w:cs="Arial" w:eastAsia="Arial" w:hint="default"/>
                <w:sz w:val="18"/>
                <w:szCs w:val="18"/>
              </w:rPr>
            </w:pPr>
            <w:r>
              <w:rPr>
                <w:rFonts w:ascii="Arial"/>
                <w:b/>
                <w:w w:val="99"/>
                <w:sz w:val="18"/>
              </w:rPr>
            </w:r>
            <w:r>
              <w:rPr>
                <w:rFonts w:ascii="Arial"/>
                <w:b/>
                <w:sz w:val="18"/>
                <w:u w:val="single" w:color="000000"/>
              </w:rPr>
              <w:t>14,737,374.37</w:t>
            </w:r>
            <w:r>
              <w:rPr>
                <w:rFonts w:ascii="Arial"/>
                <w:b/>
                <w:sz w:val="18"/>
              </w:rPr>
            </w:r>
            <w:r>
              <w:rPr>
                <w:rFonts w:ascii="Arial"/>
                <w:sz w:val="18"/>
              </w:rPr>
            </w:r>
          </w:p>
        </w:tc>
        <w:tc>
          <w:tcPr>
            <w:tcW w:w="14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14,737,374.37</w:t>
            </w:r>
            <w:r>
              <w:rPr>
                <w:rFonts w:ascii="Arial"/>
                <w:b/>
                <w:spacing w:val="-1"/>
                <w:sz w:val="18"/>
              </w:rPr>
            </w:r>
            <w:r>
              <w:rPr>
                <w:rFonts w:ascii="Arial"/>
                <w:spacing w:val="-1"/>
                <w:sz w:val="18"/>
              </w:rPr>
            </w:r>
          </w:p>
        </w:tc>
      </w:tr>
    </w:tbl>
    <w:p>
      <w:pPr>
        <w:pStyle w:val="BodyText"/>
        <w:spacing w:line="355" w:lineRule="auto" w:before="86"/>
        <w:ind w:left="180" w:right="1428" w:firstLine="420"/>
        <w:jc w:val="left"/>
      </w:pPr>
      <w:r>
        <w:rPr>
          <w:spacing w:val="-2"/>
        </w:rPr>
        <w:t>注：本年商誉减少系处置子公司，转出商誉，同时转销年初对云南工业大麻股份有限公司计提</w:t>
      </w:r>
      <w:r>
        <w:rPr>
          <w:w w:val="100"/>
        </w:rPr>
        <w:t> </w:t>
      </w:r>
      <w:r>
        <w:rPr/>
        <w:t>的商誉减值准备</w:t>
      </w:r>
      <w:r>
        <w:rPr>
          <w:spacing w:val="-47"/>
        </w:rPr>
        <w:t> </w:t>
      </w:r>
      <w:r>
        <w:rPr>
          <w:rFonts w:ascii="Arial" w:hAnsi="Arial" w:cs="Arial" w:eastAsia="Arial" w:hint="default"/>
        </w:rPr>
        <w:t>10,513,430.45</w:t>
      </w:r>
      <w:r>
        <w:rPr>
          <w:rFonts w:ascii="Arial" w:hAnsi="Arial" w:cs="Arial" w:eastAsia="Arial" w:hint="default"/>
          <w:spacing w:val="-1"/>
        </w:rPr>
        <w:t> </w:t>
      </w:r>
      <w:r>
        <w:rPr/>
        <w:t>元。公司于本年年末根据商誉减值测试结果，对洪雅美联曼地亚红</w:t>
      </w:r>
    </w:p>
    <w:p>
      <w:pPr>
        <w:pStyle w:val="BodyText"/>
        <w:spacing w:line="240" w:lineRule="auto" w:before="8"/>
        <w:ind w:left="180" w:right="1428"/>
        <w:jc w:val="left"/>
      </w:pPr>
      <w:r>
        <w:rPr/>
        <w:t>豆杉种植有限公司商誉全额计提减值准备</w:t>
      </w:r>
      <w:r>
        <w:rPr>
          <w:spacing w:val="-55"/>
        </w:rPr>
        <w:t> </w:t>
      </w:r>
      <w:r>
        <w:rPr>
          <w:rFonts w:ascii="Arial" w:hAnsi="Arial" w:cs="Arial" w:eastAsia="Arial" w:hint="default"/>
        </w:rPr>
        <w:t>890.00</w:t>
      </w:r>
      <w:r>
        <w:rPr>
          <w:rFonts w:ascii="Arial" w:hAnsi="Arial" w:cs="Arial" w:eastAsia="Arial" w:hint="default"/>
          <w:spacing w:val="-10"/>
        </w:rPr>
        <w:t> </w:t>
      </w:r>
      <w:r>
        <w:rPr/>
        <w:t>万元。</w:t>
      </w:r>
    </w:p>
    <w:p>
      <w:pPr>
        <w:spacing w:line="240" w:lineRule="auto" w:before="3"/>
        <w:rPr>
          <w:rFonts w:ascii="宋体" w:hAnsi="宋体" w:cs="宋体" w:eastAsia="宋体" w:hint="default"/>
          <w:sz w:val="18"/>
          <w:szCs w:val="18"/>
        </w:rPr>
      </w:pPr>
    </w:p>
    <w:p>
      <w:pPr>
        <w:pStyle w:val="Heading4"/>
        <w:spacing w:line="240" w:lineRule="auto"/>
        <w:ind w:left="600" w:right="1428"/>
        <w:jc w:val="left"/>
        <w:rPr>
          <w:b w:val="0"/>
          <w:bCs w:val="0"/>
        </w:rPr>
      </w:pPr>
      <w:r>
        <w:rPr/>
        <w:t>（十四）长期待摊费用</w:t>
      </w:r>
      <w:r>
        <w:rPr>
          <w:b w:val="0"/>
          <w:bCs w:val="0"/>
        </w:rPr>
      </w:r>
    </w:p>
    <w:p>
      <w:pPr>
        <w:spacing w:line="240" w:lineRule="auto" w:before="7"/>
        <w:rPr>
          <w:rFonts w:ascii="宋体" w:hAnsi="宋体" w:cs="宋体" w:eastAsia="宋体"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1486"/>
        <w:gridCol w:w="1537"/>
        <w:gridCol w:w="1442"/>
        <w:gridCol w:w="1536"/>
        <w:gridCol w:w="1537"/>
        <w:gridCol w:w="1534"/>
      </w:tblGrid>
      <w:tr>
        <w:trPr>
          <w:trHeight w:val="362" w:hRule="exact"/>
        </w:trPr>
        <w:tc>
          <w:tcPr>
            <w:tcW w:w="14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2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6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5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30"/>
              <w:jc w:val="right"/>
              <w:rPr>
                <w:rFonts w:ascii="宋体" w:hAnsi="宋体" w:cs="宋体" w:eastAsia="宋体" w:hint="default"/>
                <w:sz w:val="18"/>
                <w:szCs w:val="18"/>
              </w:rPr>
            </w:pPr>
            <w:r>
              <w:rPr>
                <w:rFonts w:ascii="宋体" w:hAnsi="宋体" w:cs="宋体" w:eastAsia="宋体" w:hint="default"/>
                <w:sz w:val="18"/>
                <w:szCs w:val="18"/>
              </w:rPr>
              <w:t>本年其他减少额</w:t>
            </w:r>
          </w:p>
        </w:tc>
        <w:tc>
          <w:tcPr>
            <w:tcW w:w="15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1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148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right="453"/>
              <w:jc w:val="right"/>
              <w:rPr>
                <w:rFonts w:ascii="宋体" w:hAnsi="宋体" w:cs="宋体" w:eastAsia="宋体" w:hint="default"/>
                <w:sz w:val="18"/>
                <w:szCs w:val="18"/>
              </w:rPr>
            </w:pPr>
            <w:r>
              <w:rPr>
                <w:rFonts w:ascii="宋体" w:hAnsi="宋体" w:cs="宋体" w:eastAsia="宋体" w:hint="default"/>
                <w:sz w:val="18"/>
                <w:szCs w:val="18"/>
              </w:rPr>
              <w:t>土地租赁费</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6,512,023.12</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478,696.01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344,655.98</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3,963,333.46</w:t>
            </w:r>
          </w:p>
        </w:tc>
        <w:tc>
          <w:tcPr>
            <w:tcW w:w="15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2,682,729.69</w:t>
            </w:r>
          </w:p>
        </w:tc>
      </w:tr>
      <w:tr>
        <w:trPr>
          <w:trHeight w:val="365" w:hRule="exact"/>
        </w:trPr>
        <w:tc>
          <w:tcPr>
            <w:tcW w:w="1486"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right="4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6,512,023.12</w:t>
            </w:r>
            <w:r>
              <w:rPr>
                <w:rFonts w:ascii="Arial"/>
                <w:b/>
                <w:spacing w:val="-1"/>
                <w:sz w:val="18"/>
              </w:rPr>
            </w:r>
            <w:r>
              <w:rPr>
                <w:rFonts w:ascii="Arial"/>
                <w:spacing w:val="-1"/>
                <w:sz w:val="18"/>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478,696.01</w:t>
            </w:r>
            <w:r>
              <w:rPr>
                <w:rFonts w:ascii="Arial"/>
                <w:b/>
                <w:spacing w:val="-1"/>
                <w:sz w:val="18"/>
              </w:rPr>
            </w:r>
            <w:r>
              <w:rPr>
                <w:rFonts w:ascii="Arial"/>
                <w:spacing w:val="-1"/>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344,655.98</w:t>
            </w:r>
            <w:r>
              <w:rPr>
                <w:rFonts w:ascii="Arial"/>
                <w:b/>
                <w:spacing w:val="-1"/>
                <w:sz w:val="18"/>
              </w:rPr>
            </w:r>
            <w:r>
              <w:rPr>
                <w:rFonts w:ascii="Arial"/>
                <w:spacing w:val="-1"/>
                <w:sz w:val="18"/>
              </w:rPr>
            </w:r>
          </w:p>
        </w:tc>
        <w:tc>
          <w:tcPr>
            <w:tcW w:w="1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3,963,333.46</w:t>
            </w:r>
            <w:r>
              <w:rPr>
                <w:rFonts w:ascii="Arial"/>
                <w:b/>
                <w:spacing w:val="-1"/>
                <w:sz w:val="18"/>
              </w:rPr>
            </w:r>
            <w:r>
              <w:rPr>
                <w:rFonts w:ascii="Arial"/>
                <w:spacing w:val="-1"/>
                <w:sz w:val="18"/>
              </w:rPr>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2,682,729.69</w:t>
            </w:r>
            <w:r>
              <w:rPr>
                <w:rFonts w:ascii="Arial"/>
                <w:b/>
                <w:spacing w:val="-1"/>
                <w:sz w:val="18"/>
              </w:rPr>
            </w:r>
            <w:r>
              <w:rPr>
                <w:rFonts w:ascii="Arial"/>
                <w:spacing w:val="-1"/>
                <w:sz w:val="18"/>
              </w:rPr>
            </w:r>
          </w:p>
        </w:tc>
      </w:tr>
    </w:tbl>
    <w:p>
      <w:pPr>
        <w:spacing w:line="240" w:lineRule="auto" w:before="5"/>
        <w:rPr>
          <w:rFonts w:ascii="宋体" w:hAnsi="宋体" w:cs="宋体" w:eastAsia="宋体" w:hint="default"/>
          <w:b/>
          <w:bCs/>
          <w:sz w:val="8"/>
          <w:szCs w:val="8"/>
        </w:rPr>
      </w:pPr>
    </w:p>
    <w:p>
      <w:pPr>
        <w:pStyle w:val="BodyText"/>
        <w:spacing w:line="240" w:lineRule="auto" w:before="36"/>
        <w:ind w:left="600" w:right="1428"/>
        <w:jc w:val="left"/>
      </w:pPr>
      <w:r>
        <w:rPr/>
        <w:t>本年其他减少额系处置子公司转出。</w:t>
      </w:r>
    </w:p>
    <w:p>
      <w:pPr>
        <w:spacing w:line="240" w:lineRule="auto" w:before="7"/>
        <w:rPr>
          <w:rFonts w:ascii="宋体" w:hAnsi="宋体" w:cs="宋体" w:eastAsia="宋体" w:hint="default"/>
          <w:sz w:val="28"/>
          <w:szCs w:val="28"/>
        </w:rPr>
      </w:pPr>
    </w:p>
    <w:p>
      <w:pPr>
        <w:pStyle w:val="Heading4"/>
        <w:spacing w:line="240" w:lineRule="auto"/>
        <w:ind w:left="600" w:right="1428"/>
        <w:jc w:val="left"/>
        <w:rPr>
          <w:b w:val="0"/>
          <w:bCs w:val="0"/>
        </w:rPr>
      </w:pPr>
      <w:r>
        <w:rPr/>
        <w:t>（十五）递延所得税资产</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600" w:right="1428"/>
        <w:jc w:val="left"/>
      </w:pPr>
      <w:r>
        <w:rPr/>
        <w:t>（</w:t>
      </w:r>
      <w:r>
        <w:rPr>
          <w:rFonts w:ascii="Arial" w:hAnsi="Arial" w:cs="Arial" w:eastAsia="Arial" w:hint="default"/>
        </w:rPr>
        <w:t>1</w:t>
      </w:r>
      <w:r>
        <w:rPr/>
        <w:t>）</w:t>
      </w:r>
      <w:r>
        <w:rPr>
          <w:spacing w:val="77"/>
        </w:rPr>
        <w:t> </w:t>
      </w:r>
      <w:r>
        <w:rPr/>
        <w:t>已确认的递延所得税资产明细列示如下：</w:t>
      </w:r>
    </w:p>
    <w:p>
      <w:pPr>
        <w:spacing w:line="240" w:lineRule="auto" w:before="8"/>
        <w:rPr>
          <w:rFonts w:ascii="宋体" w:hAnsi="宋体" w:cs="宋体" w:eastAsia="宋体" w:hint="default"/>
          <w:sz w:val="11"/>
          <w:szCs w:val="11"/>
        </w:rPr>
      </w:pPr>
    </w:p>
    <w:tbl>
      <w:tblPr>
        <w:tblW w:w="0" w:type="auto"/>
        <w:jc w:val="left"/>
        <w:tblInd w:w="242" w:type="dxa"/>
        <w:tblLayout w:type="fixed"/>
        <w:tblCellMar>
          <w:top w:w="0" w:type="dxa"/>
          <w:left w:w="0" w:type="dxa"/>
          <w:bottom w:w="0" w:type="dxa"/>
          <w:right w:w="0" w:type="dxa"/>
        </w:tblCellMar>
        <w:tblLook w:val="01E0"/>
      </w:tblPr>
      <w:tblGrid>
        <w:gridCol w:w="1886"/>
        <w:gridCol w:w="1726"/>
        <w:gridCol w:w="1695"/>
        <w:gridCol w:w="1728"/>
        <w:gridCol w:w="1824"/>
      </w:tblGrid>
      <w:tr>
        <w:trPr>
          <w:trHeight w:val="365" w:hRule="exact"/>
        </w:trPr>
        <w:tc>
          <w:tcPr>
            <w:tcW w:w="1886"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5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1886" w:type="dxa"/>
            <w:vMerge/>
            <w:tcBorders>
              <w:left w:val="nil" w:sz="6" w:space="0" w:color="auto"/>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4"/>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53" w:hRule="exact"/>
        </w:trPr>
        <w:tc>
          <w:tcPr>
            <w:tcW w:w="18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72,335,771.69</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10,858,388.84</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57,308,747.52</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9,917,400.88</w:t>
            </w:r>
          </w:p>
        </w:tc>
      </w:tr>
      <w:tr>
        <w:trPr>
          <w:trHeight w:val="355" w:hRule="exact"/>
        </w:trPr>
        <w:tc>
          <w:tcPr>
            <w:tcW w:w="18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8,985,648.00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1,347,847.20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11,380,392.00</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1,707,058.80</w:t>
            </w:r>
          </w:p>
        </w:tc>
      </w:tr>
      <w:tr>
        <w:trPr>
          <w:trHeight w:val="365" w:hRule="exact"/>
        </w:trPr>
        <w:tc>
          <w:tcPr>
            <w:tcW w:w="18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81,321,419.69</w:t>
            </w:r>
            <w:r>
              <w:rPr>
                <w:rFonts w:ascii="Arial"/>
                <w:b/>
                <w:spacing w:val="-1"/>
                <w:sz w:val="18"/>
              </w:rPr>
            </w:r>
            <w:r>
              <w:rPr>
                <w:rFonts w:ascii="Arial"/>
                <w:spacing w:val="-1"/>
                <w:sz w:val="18"/>
              </w:rPr>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12,206,236.04</w:t>
            </w:r>
            <w:r>
              <w:rPr>
                <w:rFonts w:ascii="Arial"/>
                <w:b/>
                <w:spacing w:val="-1"/>
                <w:sz w:val="18"/>
              </w:rPr>
            </w:r>
            <w:r>
              <w:rPr>
                <w:rFonts w:ascii="Arial"/>
                <w:spacing w:val="-1"/>
                <w:sz w:val="18"/>
              </w:rPr>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68,689,139.52</w:t>
            </w:r>
            <w:r>
              <w:rPr>
                <w:rFonts w:ascii="Arial"/>
                <w:b/>
                <w:spacing w:val="-1"/>
                <w:sz w:val="18"/>
              </w:rPr>
            </w:r>
            <w:r>
              <w:rPr>
                <w:rFonts w:ascii="Arial"/>
                <w:spacing w:val="-1"/>
                <w:sz w:val="18"/>
              </w:rPr>
            </w:r>
          </w:p>
        </w:tc>
        <w:tc>
          <w:tcPr>
            <w:tcW w:w="18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b/>
                <w:w w:val="99"/>
                <w:sz w:val="18"/>
              </w:rPr>
            </w:r>
            <w:r>
              <w:rPr>
                <w:rFonts w:ascii="Arial"/>
                <w:b/>
                <w:spacing w:val="-2"/>
                <w:sz w:val="18"/>
                <w:u w:val="single" w:color="000000"/>
              </w:rPr>
              <w:t>11,624,459.68</w:t>
            </w:r>
            <w:r>
              <w:rPr>
                <w:rFonts w:ascii="Arial"/>
                <w:b/>
                <w:spacing w:val="-2"/>
                <w:sz w:val="18"/>
              </w:rPr>
            </w:r>
            <w:r>
              <w:rPr>
                <w:rFonts w:ascii="Arial"/>
                <w:spacing w:val="-2"/>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260" w:right="0"/>
        </w:sectPr>
      </w:pPr>
    </w:p>
    <w:p>
      <w:pPr>
        <w:pStyle w:val="BodyText"/>
        <w:spacing w:line="240" w:lineRule="auto" w:before="30"/>
        <w:ind w:left="560" w:right="1205"/>
        <w:jc w:val="left"/>
      </w:pPr>
      <w:r>
        <w:rPr/>
        <w:pict>
          <v:group style="position:absolute;margin-left:70.584pt;margin-top:2.843696pt;width:436.3pt;height:.1pt;mso-position-horizontal-relative:page;mso-position-vertical-relative:paragraph;z-index:-636040" coordorigin="1412,57" coordsize="8726,2">
            <v:shape style="position:absolute;left:1412;top:57;width:8726;height:2" coordorigin="1412,57" coordsize="8726,0" path="m1412,57l10137,57e" filled="false" stroked="true" strokeweight=".72pt" strokecolor="#000000">
              <v:path arrowok="t"/>
            </v:shape>
            <w10:wrap type="none"/>
          </v:group>
        </w:pict>
      </w:r>
      <w:r>
        <w:rPr/>
        <w:t>（</w:t>
      </w:r>
      <w:r>
        <w:rPr>
          <w:rFonts w:ascii="Arial" w:hAnsi="Arial" w:cs="Arial" w:eastAsia="Arial" w:hint="default"/>
        </w:rPr>
        <w:t>2</w:t>
      </w:r>
      <w:r>
        <w:rPr/>
        <w:t>）未确认递延所得税资产的可抵扣暂时性差异或可抵扣亏损的情况</w:t>
      </w:r>
    </w:p>
    <w:p>
      <w:pPr>
        <w:spacing w:line="240" w:lineRule="auto" w:before="13"/>
        <w:rPr>
          <w:rFonts w:ascii="宋体" w:hAnsi="宋体" w:cs="宋体" w:eastAsia="宋体" w:hint="default"/>
          <w:sz w:val="20"/>
          <w:szCs w:val="20"/>
        </w:rPr>
      </w:pPr>
    </w:p>
    <w:tbl>
      <w:tblPr>
        <w:tblW w:w="0" w:type="auto"/>
        <w:jc w:val="left"/>
        <w:tblInd w:w="188" w:type="dxa"/>
        <w:tblLayout w:type="fixed"/>
        <w:tblCellMar>
          <w:top w:w="0" w:type="dxa"/>
          <w:left w:w="0" w:type="dxa"/>
          <w:bottom w:w="0" w:type="dxa"/>
          <w:right w:w="0" w:type="dxa"/>
        </w:tblCellMar>
        <w:tblLook w:val="01E0"/>
      </w:tblPr>
      <w:tblGrid>
        <w:gridCol w:w="3226"/>
        <w:gridCol w:w="2940"/>
        <w:gridCol w:w="2720"/>
      </w:tblGrid>
      <w:tr>
        <w:trPr>
          <w:trHeight w:val="363" w:hRule="exact"/>
        </w:trPr>
        <w:tc>
          <w:tcPr>
            <w:tcW w:w="32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132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34,772,785.26</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39,399,045.81</w:t>
            </w:r>
          </w:p>
        </w:tc>
      </w:tr>
      <w:tr>
        <w:trPr>
          <w:trHeight w:val="355"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3"/>
                <w:sz w:val="18"/>
              </w:rPr>
              <w:t>3,111,644.15</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2"/>
                <w:sz w:val="18"/>
              </w:rPr>
              <w:t>4,113,761.44</w:t>
            </w:r>
          </w:p>
        </w:tc>
      </w:tr>
      <w:tr>
        <w:trPr>
          <w:trHeight w:val="353"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2,393,836.41</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2,393,836.41</w:t>
            </w:r>
          </w:p>
        </w:tc>
      </w:tr>
      <w:tr>
        <w:trPr>
          <w:trHeight w:val="355"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14,737,374.37</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16,350,804.82</w:t>
            </w:r>
          </w:p>
        </w:tc>
      </w:tr>
      <w:tr>
        <w:trPr>
          <w:trHeight w:val="355"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254,697,635.96</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309,266,199.54</w:t>
            </w:r>
          </w:p>
        </w:tc>
      </w:tr>
      <w:tr>
        <w:trPr>
          <w:trHeight w:val="365" w:hRule="exact"/>
        </w:trPr>
        <w:tc>
          <w:tcPr>
            <w:tcW w:w="32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3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309,713,276.15</w:t>
            </w:r>
            <w:r>
              <w:rPr>
                <w:rFonts w:ascii="Arial"/>
                <w:b/>
                <w:spacing w:val="-1"/>
                <w:sz w:val="18"/>
              </w:rPr>
            </w:r>
            <w:r>
              <w:rPr>
                <w:rFonts w:ascii="Arial"/>
                <w:spacing w:val="-1"/>
                <w:sz w:val="18"/>
              </w:rPr>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371,523,648.02</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pStyle w:val="Heading4"/>
        <w:spacing w:line="240" w:lineRule="auto" w:before="36"/>
        <w:ind w:right="1205"/>
        <w:jc w:val="left"/>
        <w:rPr>
          <w:b w:val="0"/>
          <w:bCs w:val="0"/>
        </w:rPr>
      </w:pPr>
      <w:r>
        <w:rPr/>
        <w:t>（十六）资产减值准备</w:t>
      </w:r>
      <w:r>
        <w:rPr>
          <w:b w:val="0"/>
          <w:bCs w:val="0"/>
        </w:rPr>
      </w:r>
    </w:p>
    <w:p>
      <w:pPr>
        <w:spacing w:line="240" w:lineRule="auto" w:before="5"/>
        <w:rPr>
          <w:rFonts w:ascii="宋体" w:hAnsi="宋体" w:cs="宋体" w:eastAsia="宋体" w:hint="default"/>
          <w:b/>
          <w:bCs/>
          <w:sz w:val="17"/>
          <w:szCs w:val="17"/>
        </w:rPr>
      </w:pPr>
    </w:p>
    <w:tbl>
      <w:tblPr>
        <w:tblW w:w="0" w:type="auto"/>
        <w:jc w:val="left"/>
        <w:tblInd w:w="202" w:type="dxa"/>
        <w:tblLayout w:type="fixed"/>
        <w:tblCellMar>
          <w:top w:w="0" w:type="dxa"/>
          <w:left w:w="0" w:type="dxa"/>
          <w:bottom w:w="0" w:type="dxa"/>
          <w:right w:w="0" w:type="dxa"/>
        </w:tblCellMar>
        <w:tblLook w:val="01E0"/>
      </w:tblPr>
      <w:tblGrid>
        <w:gridCol w:w="2107"/>
        <w:gridCol w:w="1460"/>
        <w:gridCol w:w="1373"/>
        <w:gridCol w:w="1063"/>
        <w:gridCol w:w="1369"/>
        <w:gridCol w:w="1488"/>
      </w:tblGrid>
      <w:tr>
        <w:trPr>
          <w:trHeight w:val="362" w:hRule="exact"/>
        </w:trPr>
        <w:tc>
          <w:tcPr>
            <w:tcW w:w="2107"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tabs>
                <w:tab w:pos="475"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73"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4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5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8" w:type="dxa"/>
            <w:vMerge w:val="restart"/>
            <w:tcBorders>
              <w:top w:val="single" w:sz="12"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2107" w:type="dxa"/>
            <w:vMerge/>
            <w:tcBorders>
              <w:left w:val="nil" w:sz="6" w:space="0" w:color="auto"/>
              <w:bottom w:val="single" w:sz="6" w:space="0" w:color="000000"/>
              <w:right w:val="single" w:sz="6" w:space="0" w:color="000000"/>
            </w:tcBorders>
          </w:tcPr>
          <w:p>
            <w:pPr/>
          </w:p>
        </w:tc>
        <w:tc>
          <w:tcPr>
            <w:tcW w:w="1460" w:type="dxa"/>
            <w:vMerge/>
            <w:tcBorders>
              <w:left w:val="single" w:sz="6" w:space="0" w:color="000000"/>
              <w:bottom w:val="single" w:sz="6" w:space="0" w:color="000000"/>
              <w:right w:val="single" w:sz="6" w:space="0" w:color="000000"/>
            </w:tcBorders>
          </w:tcPr>
          <w:p>
            <w:pPr/>
          </w:p>
        </w:tc>
        <w:tc>
          <w:tcPr>
            <w:tcW w:w="1373" w:type="dxa"/>
            <w:vMerge/>
            <w:tcBorders>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88" w:type="dxa"/>
            <w:vMerge/>
            <w:tcBorders>
              <w:left w:val="single" w:sz="6" w:space="0" w:color="000000"/>
              <w:bottom w:val="single" w:sz="6" w:space="0" w:color="000000"/>
              <w:right w:val="nil" w:sz="6" w:space="0" w:color="auto"/>
            </w:tcBorders>
          </w:tcPr>
          <w:p>
            <w:pP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96,707,793.33</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2"/>
                <w:sz w:val="18"/>
              </w:rPr>
              <w:t>20,055,627.11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26,648,342.56</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127" w:right="0"/>
              <w:jc w:val="center"/>
              <w:rPr>
                <w:rFonts w:ascii="Arial" w:hAnsi="Arial" w:cs="Arial" w:eastAsia="Arial" w:hint="default"/>
                <w:sz w:val="18"/>
                <w:szCs w:val="18"/>
              </w:rPr>
            </w:pPr>
            <w:r>
              <w:rPr>
                <w:rFonts w:ascii="Arial"/>
                <w:sz w:val="18"/>
              </w:rPr>
              <w:t>90,115,077.88</w:t>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2"/>
                <w:sz w:val="18"/>
              </w:rPr>
              <w:t>4,113,761.44</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1,347,983.14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center"/>
              <w:rPr>
                <w:rFonts w:ascii="Arial" w:hAnsi="Arial" w:cs="Arial" w:eastAsia="Arial" w:hint="default"/>
                <w:sz w:val="18"/>
                <w:szCs w:val="18"/>
              </w:rPr>
            </w:pPr>
            <w:r>
              <w:rPr>
                <w:rFonts w:ascii="Arial"/>
                <w:sz w:val="18"/>
              </w:rPr>
              <w:t>2,350,100.43</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40" w:right="0"/>
              <w:jc w:val="center"/>
              <w:rPr>
                <w:rFonts w:ascii="Arial" w:hAnsi="Arial" w:cs="Arial" w:eastAsia="Arial" w:hint="default"/>
                <w:sz w:val="18"/>
                <w:szCs w:val="18"/>
              </w:rPr>
            </w:pPr>
            <w:r>
              <w:rPr>
                <w:rFonts w:ascii="Arial"/>
                <w:spacing w:val="-3"/>
                <w:sz w:val="18"/>
              </w:rPr>
              <w:t>3,111,644.15</w:t>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2,393,836.41</w:t>
            </w:r>
          </w:p>
        </w:tc>
        <w:tc>
          <w:tcPr>
            <w:tcW w:w="1373"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14" w:right="0"/>
              <w:jc w:val="center"/>
              <w:rPr>
                <w:rFonts w:ascii="Arial" w:hAnsi="Arial" w:cs="Arial" w:eastAsia="Arial" w:hint="default"/>
                <w:sz w:val="18"/>
                <w:szCs w:val="18"/>
              </w:rPr>
            </w:pPr>
            <w:r>
              <w:rPr>
                <w:rFonts w:ascii="Arial"/>
                <w:sz w:val="18"/>
              </w:rPr>
              <w:t>2,393,836.41</w:t>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16,350,804.82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8,900,000.00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10,513,430.45</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113" w:right="0"/>
              <w:jc w:val="center"/>
              <w:rPr>
                <w:rFonts w:ascii="Arial" w:hAnsi="Arial" w:cs="Arial" w:eastAsia="Arial" w:hint="default"/>
                <w:sz w:val="18"/>
                <w:szCs w:val="18"/>
              </w:rPr>
            </w:pPr>
            <w:r>
              <w:rPr>
                <w:rFonts w:ascii="Arial"/>
                <w:sz w:val="18"/>
              </w:rPr>
              <w:t>14,737,374.37</w:t>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46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24,296,603.77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center"/>
              <w:rPr>
                <w:rFonts w:ascii="Arial" w:hAnsi="Arial" w:cs="Arial" w:eastAsia="Arial" w:hint="default"/>
                <w:sz w:val="18"/>
                <w:szCs w:val="18"/>
              </w:rPr>
            </w:pPr>
            <w:r>
              <w:rPr>
                <w:rFonts w:ascii="Arial"/>
                <w:sz w:val="18"/>
              </w:rPr>
              <w:t>7,303,124.70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113" w:right="0"/>
              <w:jc w:val="center"/>
              <w:rPr>
                <w:rFonts w:ascii="Arial" w:hAnsi="Arial" w:cs="Arial" w:eastAsia="Arial" w:hint="default"/>
                <w:sz w:val="18"/>
                <w:szCs w:val="18"/>
              </w:rPr>
            </w:pPr>
            <w:r>
              <w:rPr>
                <w:rFonts w:ascii="Arial"/>
                <w:sz w:val="18"/>
              </w:rPr>
              <w:t>16,993,479.07</w:t>
            </w:r>
          </w:p>
        </w:tc>
      </w:tr>
      <w:tr>
        <w:trPr>
          <w:trHeight w:val="362" w:hRule="exact"/>
        </w:trPr>
        <w:tc>
          <w:tcPr>
            <w:tcW w:w="2107"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2"/>
                <w:sz w:val="18"/>
                <w:u w:val="single" w:color="000000"/>
              </w:rPr>
              <w:t>119,566,196.00</w:t>
            </w:r>
            <w:r>
              <w:rPr>
                <w:rFonts w:ascii="Arial"/>
                <w:b/>
                <w:spacing w:val="-2"/>
                <w:sz w:val="18"/>
              </w:rPr>
            </w:r>
            <w:r>
              <w:rPr>
                <w:rFonts w:ascii="Arial"/>
                <w:spacing w:val="-2"/>
                <w:sz w:val="18"/>
              </w:rPr>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54,600,214.02</w:t>
            </w:r>
            <w:r>
              <w:rPr>
                <w:rFonts w:ascii="Arial"/>
                <w:b/>
                <w:spacing w:val="-1"/>
                <w:sz w:val="18"/>
              </w:rPr>
            </w:r>
            <w:r>
              <w:rPr>
                <w:rFonts w:ascii="Arial"/>
                <w:spacing w:val="-1"/>
                <w:sz w:val="18"/>
              </w:rPr>
            </w:r>
          </w:p>
        </w:tc>
        <w:tc>
          <w:tcPr>
            <w:tcW w:w="1063" w:type="dxa"/>
            <w:tcBorders>
              <w:top w:val="single" w:sz="6" w:space="0" w:color="000000"/>
              <w:left w:val="single" w:sz="6"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Arial" w:hAnsi="Arial" w:cs="Arial" w:eastAsia="Arial" w:hint="default"/>
                <w:sz w:val="18"/>
                <w:szCs w:val="18"/>
              </w:rPr>
            </w:pPr>
            <w:r>
              <w:rPr>
                <w:rFonts w:ascii="Arial"/>
                <w:b/>
                <w:w w:val="99"/>
                <w:sz w:val="18"/>
              </w:rPr>
            </w:r>
            <w:r>
              <w:rPr>
                <w:rFonts w:ascii="Arial"/>
                <w:b/>
                <w:sz w:val="18"/>
                <w:u w:val="single" w:color="000000"/>
              </w:rPr>
              <w:t>46,814,998.14</w:t>
            </w:r>
            <w:r>
              <w:rPr>
                <w:rFonts w:ascii="Arial"/>
                <w:b/>
                <w:sz w:val="18"/>
              </w:rPr>
            </w:r>
            <w:r>
              <w:rPr>
                <w:rFonts w:ascii="Arial"/>
                <w:sz w:val="18"/>
              </w:rPr>
            </w: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24" w:right="0"/>
              <w:jc w:val="center"/>
              <w:rPr>
                <w:rFonts w:ascii="Arial" w:hAnsi="Arial" w:cs="Arial" w:eastAsia="Arial" w:hint="default"/>
                <w:sz w:val="18"/>
                <w:szCs w:val="18"/>
              </w:rPr>
            </w:pPr>
            <w:r>
              <w:rPr>
                <w:rFonts w:ascii="Arial"/>
                <w:b/>
                <w:w w:val="99"/>
                <w:sz w:val="18"/>
              </w:rPr>
            </w:r>
            <w:r>
              <w:rPr>
                <w:rFonts w:ascii="Arial"/>
                <w:b/>
                <w:sz w:val="18"/>
                <w:u w:val="single" w:color="000000"/>
              </w:rPr>
              <w:t>127,351,411.88</w:t>
            </w:r>
            <w:r>
              <w:rPr>
                <w:rFonts w:ascii="Arial"/>
                <w:b/>
                <w:sz w:val="18"/>
              </w:rPr>
            </w:r>
            <w:r>
              <w:rPr>
                <w:rFonts w:ascii="Arial"/>
                <w:sz w:val="18"/>
              </w:rPr>
            </w:r>
          </w:p>
        </w:tc>
      </w:tr>
    </w:tbl>
    <w:p>
      <w:pPr>
        <w:pStyle w:val="BodyText"/>
        <w:spacing w:line="340" w:lineRule="auto" w:before="86"/>
        <w:ind w:right="1436" w:firstLine="420"/>
        <w:jc w:val="both"/>
      </w:pPr>
      <w:r>
        <w:rPr>
          <w:spacing w:val="13"/>
        </w:rPr>
        <w:t>注：本年坏账准备转销 </w:t>
      </w:r>
      <w:r>
        <w:rPr>
          <w:rFonts w:ascii="Arial" w:hAnsi="Arial" w:cs="Arial" w:eastAsia="Arial" w:hint="default"/>
        </w:rPr>
        <w:t>26,648,342.56</w:t>
      </w:r>
      <w:r>
        <w:rPr>
          <w:rFonts w:ascii="Arial" w:hAnsi="Arial" w:cs="Arial" w:eastAsia="Arial" w:hint="default"/>
          <w:spacing w:val="29"/>
        </w:rPr>
        <w:t> </w:t>
      </w:r>
      <w:r>
        <w:rPr>
          <w:spacing w:val="13"/>
        </w:rPr>
        <w:t>元，其中：子公司本年核销无法收回的应收账款</w:t>
      </w:r>
      <w:r>
        <w:rPr>
          <w:w w:val="100"/>
        </w:rPr>
        <w:t> </w:t>
      </w:r>
      <w:r>
        <w:rPr>
          <w:rFonts w:ascii="Arial" w:hAnsi="Arial" w:cs="Arial" w:eastAsia="Arial" w:hint="default"/>
        </w:rPr>
        <w:t>241,618.30</w:t>
      </w:r>
      <w:r>
        <w:rPr>
          <w:rFonts w:ascii="Arial" w:hAnsi="Arial" w:cs="Arial" w:eastAsia="Arial" w:hint="default"/>
          <w:spacing w:val="6"/>
        </w:rPr>
        <w:t> </w:t>
      </w:r>
      <w:r>
        <w:rPr>
          <w:spacing w:val="-3"/>
        </w:rPr>
        <w:t>元，处置子公司转出</w:t>
      </w:r>
      <w:r>
        <w:rPr>
          <w:spacing w:val="-39"/>
        </w:rPr>
        <w:t> </w:t>
      </w:r>
      <w:r>
        <w:rPr>
          <w:rFonts w:ascii="Arial" w:hAnsi="Arial" w:cs="Arial" w:eastAsia="Arial" w:hint="default"/>
        </w:rPr>
        <w:t>26,406,724.26</w:t>
      </w:r>
      <w:r>
        <w:rPr>
          <w:rFonts w:ascii="Arial" w:hAnsi="Arial" w:cs="Arial" w:eastAsia="Arial" w:hint="default"/>
          <w:spacing w:val="6"/>
        </w:rPr>
        <w:t> </w:t>
      </w:r>
      <w:r>
        <w:rPr>
          <w:spacing w:val="-3"/>
        </w:rPr>
        <w:t>元。本年存货跌价准备、商誉减值准备、无形资产</w:t>
      </w:r>
      <w:r>
        <w:rPr>
          <w:spacing w:val="-99"/>
        </w:rPr>
        <w:t> </w:t>
      </w:r>
      <w:r>
        <w:rPr>
          <w:spacing w:val="-99"/>
        </w:rPr>
      </w:r>
      <w:r>
        <w:rPr/>
        <w:t>减值准备转销系处置子公司。</w:t>
      </w:r>
    </w:p>
    <w:p>
      <w:pPr>
        <w:spacing w:line="410" w:lineRule="auto" w:before="105"/>
        <w:ind w:left="560" w:right="5675" w:firstLine="0"/>
        <w:jc w:val="left"/>
        <w:rPr>
          <w:rFonts w:ascii="宋体" w:hAnsi="宋体" w:cs="宋体" w:eastAsia="宋体" w:hint="default"/>
          <w:sz w:val="21"/>
          <w:szCs w:val="21"/>
        </w:rPr>
      </w:pPr>
      <w:r>
        <w:rPr>
          <w:rFonts w:ascii="宋体" w:hAnsi="宋体" w:cs="宋体" w:eastAsia="宋体" w:hint="default"/>
          <w:b/>
          <w:bCs/>
          <w:sz w:val="21"/>
          <w:szCs w:val="21"/>
        </w:rPr>
        <w:t>（十七）所有权受到限制的资产</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所有权受到限制的资产明细如下：</w:t>
      </w:r>
    </w:p>
    <w:p>
      <w:pPr>
        <w:spacing w:line="240" w:lineRule="auto" w:before="10"/>
        <w:rPr>
          <w:rFonts w:ascii="宋体" w:hAnsi="宋体" w:cs="宋体" w:eastAsia="宋体" w:hint="default"/>
          <w:sz w:val="10"/>
          <w:szCs w:val="10"/>
        </w:rPr>
      </w:pPr>
    </w:p>
    <w:tbl>
      <w:tblPr>
        <w:tblW w:w="0" w:type="auto"/>
        <w:jc w:val="left"/>
        <w:tblInd w:w="231" w:type="dxa"/>
        <w:tblLayout w:type="fixed"/>
        <w:tblCellMar>
          <w:top w:w="0" w:type="dxa"/>
          <w:left w:w="0" w:type="dxa"/>
          <w:bottom w:w="0" w:type="dxa"/>
          <w:right w:w="0" w:type="dxa"/>
        </w:tblCellMar>
        <w:tblLook w:val="01E0"/>
      </w:tblPr>
      <w:tblGrid>
        <w:gridCol w:w="1457"/>
        <w:gridCol w:w="1565"/>
        <w:gridCol w:w="1358"/>
        <w:gridCol w:w="1551"/>
        <w:gridCol w:w="1575"/>
        <w:gridCol w:w="1339"/>
      </w:tblGrid>
      <w:tr>
        <w:trPr>
          <w:trHeight w:val="622" w:hRule="exact"/>
        </w:trPr>
        <w:tc>
          <w:tcPr>
            <w:tcW w:w="1457" w:type="dxa"/>
            <w:tcBorders>
              <w:top w:val="single" w:sz="12" w:space="0" w:color="000000"/>
              <w:left w:val="nil" w:sz="6" w:space="0" w:color="auto"/>
              <w:bottom w:val="single" w:sz="6" w:space="0" w:color="000000"/>
              <w:right w:val="single" w:sz="6" w:space="0" w:color="000000"/>
            </w:tcBorders>
          </w:tcPr>
          <w:p>
            <w:pPr>
              <w:pStyle w:val="TableParagraph"/>
              <w:spacing w:line="244" w:lineRule="auto" w:before="41"/>
              <w:ind w:left="189" w:right="177"/>
              <w:jc w:val="left"/>
              <w:rPr>
                <w:rFonts w:ascii="宋体" w:hAnsi="宋体" w:cs="宋体" w:eastAsia="宋体" w:hint="default"/>
                <w:sz w:val="18"/>
                <w:szCs w:val="18"/>
              </w:rPr>
            </w:pPr>
            <w:r>
              <w:rPr>
                <w:rFonts w:ascii="宋体" w:hAnsi="宋体" w:cs="宋体" w:eastAsia="宋体" w:hint="default"/>
                <w:sz w:val="18"/>
                <w:szCs w:val="18"/>
              </w:rPr>
              <w:t>所有权受到限 制的资产类别</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23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220"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31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23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339"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41"/>
              <w:ind w:left="482" w:right="127" w:hanging="360"/>
              <w:jc w:val="left"/>
              <w:rPr>
                <w:rFonts w:ascii="宋体" w:hAnsi="宋体" w:cs="宋体" w:eastAsia="宋体" w:hint="default"/>
                <w:sz w:val="18"/>
                <w:szCs w:val="18"/>
              </w:rPr>
            </w:pPr>
            <w:r>
              <w:rPr>
                <w:rFonts w:ascii="宋体" w:hAnsi="宋体" w:cs="宋体" w:eastAsia="宋体" w:hint="default"/>
                <w:sz w:val="18"/>
                <w:szCs w:val="18"/>
              </w:rPr>
              <w:t>资产受限制的 原因</w:t>
            </w:r>
          </w:p>
        </w:tc>
      </w:tr>
    </w:tbl>
    <w:p>
      <w:pPr>
        <w:spacing w:before="41"/>
        <w:ind w:left="339" w:right="1205" w:firstLine="0"/>
        <w:jc w:val="left"/>
        <w:rPr>
          <w:rFonts w:ascii="宋体" w:hAnsi="宋体" w:cs="宋体" w:eastAsia="宋体" w:hint="default"/>
          <w:sz w:val="18"/>
          <w:szCs w:val="18"/>
        </w:rPr>
      </w:pPr>
      <w:r>
        <w:rPr>
          <w:rFonts w:ascii="宋体" w:hAnsi="宋体" w:cs="宋体" w:eastAsia="宋体" w:hint="default"/>
          <w:color w:val="212121"/>
          <w:sz w:val="18"/>
          <w:szCs w:val="18"/>
        </w:rPr>
        <w:t>用于担保的资产</w:t>
      </w:r>
      <w:r>
        <w:rPr>
          <w:rFonts w:ascii="宋体" w:hAnsi="宋体" w:cs="宋体" w:eastAsia="宋体" w:hint="default"/>
          <w:sz w:val="18"/>
          <w:szCs w:val="18"/>
        </w:rPr>
      </w:r>
    </w:p>
    <w:p>
      <w:pPr>
        <w:spacing w:line="240" w:lineRule="auto" w:before="4"/>
        <w:rPr>
          <w:rFonts w:ascii="宋体" w:hAnsi="宋体" w:cs="宋体" w:eastAsia="宋体" w:hint="default"/>
          <w:sz w:val="6"/>
          <w:szCs w:val="6"/>
        </w:rPr>
      </w:pPr>
    </w:p>
    <w:tbl>
      <w:tblPr>
        <w:tblW w:w="0" w:type="auto"/>
        <w:jc w:val="left"/>
        <w:tblInd w:w="217" w:type="dxa"/>
        <w:tblLayout w:type="fixed"/>
        <w:tblCellMar>
          <w:top w:w="0" w:type="dxa"/>
          <w:left w:w="0" w:type="dxa"/>
          <w:bottom w:w="0" w:type="dxa"/>
          <w:right w:w="0" w:type="dxa"/>
        </w:tblCellMar>
        <w:tblLook w:val="01E0"/>
      </w:tblPr>
      <w:tblGrid>
        <w:gridCol w:w="1471"/>
        <w:gridCol w:w="1565"/>
        <w:gridCol w:w="1358"/>
        <w:gridCol w:w="1551"/>
        <w:gridCol w:w="1575"/>
        <w:gridCol w:w="1339"/>
      </w:tblGrid>
      <w:tr>
        <w:trPr>
          <w:trHeight w:val="355"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、货币资金</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100,497,500.00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 w:right="0"/>
              <w:jc w:val="center"/>
              <w:rPr>
                <w:rFonts w:ascii="Arial" w:hAnsi="Arial" w:cs="Arial" w:eastAsia="Arial" w:hint="default"/>
                <w:sz w:val="18"/>
                <w:szCs w:val="18"/>
              </w:rPr>
            </w:pPr>
            <w:r>
              <w:rPr>
                <w:rFonts w:ascii="Arial"/>
                <w:sz w:val="18"/>
              </w:rPr>
              <w:t>11,243,050.00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52,655,000.00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59,085,550.00</w:t>
            </w:r>
          </w:p>
        </w:tc>
        <w:tc>
          <w:tcPr>
            <w:tcW w:w="1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定期存款质押</w:t>
            </w:r>
          </w:p>
        </w:tc>
      </w:tr>
      <w:tr>
        <w:trPr>
          <w:trHeight w:val="355"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、固定资产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403,690,996.72</w:t>
            </w:r>
          </w:p>
        </w:tc>
        <w:tc>
          <w:tcPr>
            <w:tcW w:w="135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59,706,345.99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343,984,650.73</w:t>
            </w:r>
          </w:p>
        </w:tc>
        <w:tc>
          <w:tcPr>
            <w:tcW w:w="1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55"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、无形资产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161,069,320.63</w:t>
            </w:r>
          </w:p>
        </w:tc>
        <w:tc>
          <w:tcPr>
            <w:tcW w:w="135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2,457,175.31</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158,612,145.32</w:t>
            </w:r>
          </w:p>
        </w:tc>
        <w:tc>
          <w:tcPr>
            <w:tcW w:w="1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56"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、在建工程</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5,942,743.08</w:t>
            </w:r>
          </w:p>
        </w:tc>
        <w:tc>
          <w:tcPr>
            <w:tcW w:w="135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5,942,743.08</w:t>
            </w:r>
          </w:p>
        </w:tc>
        <w:tc>
          <w:tcPr>
            <w:tcW w:w="1575"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62" w:hRule="exact"/>
        </w:trPr>
        <w:tc>
          <w:tcPr>
            <w:tcW w:w="1471"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671,200,560.43</w:t>
            </w:r>
            <w:r>
              <w:rPr>
                <w:rFonts w:ascii="Arial"/>
                <w:b/>
                <w:spacing w:val="-1"/>
                <w:sz w:val="18"/>
              </w:rPr>
            </w:r>
            <w:r>
              <w:rPr>
                <w:rFonts w:ascii="Arial"/>
                <w:spacing w:val="-1"/>
                <w:sz w:val="18"/>
              </w:rPr>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3" w:right="0"/>
              <w:jc w:val="center"/>
              <w:rPr>
                <w:rFonts w:ascii="Arial" w:hAnsi="Arial" w:cs="Arial" w:eastAsia="Arial" w:hint="default"/>
                <w:sz w:val="18"/>
                <w:szCs w:val="18"/>
              </w:rPr>
            </w:pPr>
            <w:r>
              <w:rPr>
                <w:rFonts w:ascii="Arial"/>
                <w:b/>
                <w:w w:val="99"/>
                <w:sz w:val="18"/>
              </w:rPr>
            </w:r>
            <w:r>
              <w:rPr>
                <w:rFonts w:ascii="Arial"/>
                <w:b/>
                <w:sz w:val="18"/>
                <w:u w:val="single" w:color="000000"/>
              </w:rPr>
              <w:t>11,243,050.00</w:t>
            </w:r>
            <w:r>
              <w:rPr>
                <w:rFonts w:ascii="Arial"/>
                <w:b/>
                <w:sz w:val="18"/>
              </w:rPr>
            </w:r>
            <w:r>
              <w:rPr>
                <w:rFonts w:ascii="Arial"/>
                <w:sz w:val="18"/>
              </w:rPr>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120,761,264.38</w:t>
            </w:r>
            <w:r>
              <w:rPr>
                <w:rFonts w:ascii="Arial"/>
                <w:b/>
                <w:spacing w:val="-1"/>
                <w:sz w:val="18"/>
              </w:rPr>
            </w:r>
            <w:r>
              <w:rPr>
                <w:rFonts w:ascii="Arial"/>
                <w:spacing w:val="-1"/>
                <w:sz w:val="18"/>
              </w:rPr>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561,682,346.05</w:t>
            </w:r>
            <w:r>
              <w:rPr>
                <w:rFonts w:ascii="Arial"/>
                <w:b/>
                <w:spacing w:val="-1"/>
                <w:sz w:val="18"/>
              </w:rPr>
            </w:r>
            <w:r>
              <w:rPr>
                <w:rFonts w:ascii="Arial"/>
                <w:spacing w:val="-1"/>
                <w:sz w:val="18"/>
              </w:rPr>
            </w:r>
          </w:p>
        </w:tc>
        <w:tc>
          <w:tcPr>
            <w:tcW w:w="133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spacing w:line="410" w:lineRule="auto" w:before="36"/>
        <w:ind w:left="560" w:right="5675" w:firstLine="0"/>
        <w:jc w:val="left"/>
        <w:rPr>
          <w:rFonts w:ascii="宋体" w:hAnsi="宋体" w:cs="宋体" w:eastAsia="宋体" w:hint="default"/>
          <w:sz w:val="21"/>
          <w:szCs w:val="21"/>
        </w:rPr>
      </w:pPr>
      <w:r>
        <w:rPr>
          <w:rFonts w:ascii="宋体" w:hAnsi="宋体" w:cs="宋体" w:eastAsia="宋体" w:hint="default"/>
          <w:b/>
          <w:bCs/>
          <w:sz w:val="21"/>
          <w:szCs w:val="21"/>
        </w:rPr>
        <w:t>（十八）短期借款</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2"/>
          <w:sz w:val="21"/>
          <w:szCs w:val="21"/>
        </w:rPr>
        <w:t>短期借款明细项目列示如下：</w:t>
      </w:r>
    </w:p>
    <w:p>
      <w:pPr>
        <w:spacing w:line="240" w:lineRule="auto" w:before="10"/>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2305"/>
        <w:gridCol w:w="2285"/>
        <w:gridCol w:w="2350"/>
        <w:gridCol w:w="1920"/>
      </w:tblGrid>
      <w:tr>
        <w:trPr>
          <w:trHeight w:val="362" w:hRule="exact"/>
        </w:trPr>
        <w:tc>
          <w:tcPr>
            <w:tcW w:w="23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9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77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50,000,000.00</w:t>
            </w: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919" w:right="0"/>
              <w:jc w:val="left"/>
              <w:rPr>
                <w:rFonts w:ascii="Arial" w:hAnsi="Arial" w:cs="Arial" w:eastAsia="Arial" w:hint="default"/>
                <w:sz w:val="18"/>
                <w:szCs w:val="18"/>
              </w:rPr>
            </w:pPr>
            <w:r>
              <w:rPr>
                <w:rFonts w:ascii="Arial"/>
                <w:sz w:val="18"/>
              </w:rPr>
              <w:t>145,000,000.00</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65,600,000.00</w:t>
            </w:r>
          </w:p>
        </w:tc>
        <w:tc>
          <w:tcPr>
            <w:tcW w:w="19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790"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bl>
    <w:p>
      <w:pPr>
        <w:spacing w:after="0" w:line="240" w:lineRule="auto"/>
        <w:jc w:val="left"/>
        <w:rPr>
          <w:rFonts w:ascii="Arial" w:hAnsi="Arial" w:cs="Arial" w:eastAsia="Arial" w:hint="default"/>
          <w:sz w:val="18"/>
          <w:szCs w:val="18"/>
        </w:rPr>
        <w:sectPr>
          <w:pgSz w:w="11910" w:h="16840"/>
          <w:pgMar w:header="884" w:footer="1013" w:top="1080" w:bottom="1200" w:left="130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10"/>
        <w:gridCol w:w="2285"/>
        <w:gridCol w:w="2350"/>
        <w:gridCol w:w="1920"/>
      </w:tblGrid>
      <w:tr>
        <w:trPr>
          <w:trHeight w:val="370" w:hRule="exact"/>
        </w:trPr>
        <w:tc>
          <w:tcPr>
            <w:tcW w:w="241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8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178,000,000.00</w:t>
            </w:r>
          </w:p>
        </w:tc>
        <w:tc>
          <w:tcPr>
            <w:tcW w:w="235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337,500,000.00</w:t>
            </w:r>
          </w:p>
        </w:tc>
        <w:tc>
          <w:tcPr>
            <w:tcW w:w="192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363" w:hRule="exact"/>
        </w:trPr>
        <w:tc>
          <w:tcPr>
            <w:tcW w:w="24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323,000,000.00</w:t>
            </w:r>
            <w:r>
              <w:rPr>
                <w:rFonts w:ascii="Arial"/>
                <w:b/>
                <w:spacing w:val="-1"/>
                <w:sz w:val="18"/>
              </w:rPr>
            </w:r>
            <w:r>
              <w:rPr>
                <w:rFonts w:ascii="Arial"/>
                <w:spacing w:val="-1"/>
                <w:sz w:val="18"/>
              </w:rPr>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453,100,000.00</w:t>
            </w:r>
            <w:r>
              <w:rPr>
                <w:rFonts w:ascii="Arial"/>
                <w:b/>
                <w:spacing w:val="-1"/>
                <w:sz w:val="18"/>
              </w:rPr>
            </w:r>
            <w:r>
              <w:rPr>
                <w:rFonts w:ascii="Arial"/>
                <w:spacing w:val="-1"/>
                <w:sz w:val="18"/>
              </w:rPr>
            </w:r>
          </w:p>
        </w:tc>
        <w:tc>
          <w:tcPr>
            <w:tcW w:w="1920"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80" w:right="1326"/>
        <w:jc w:val="left"/>
      </w:pPr>
      <w:r>
        <w:rPr/>
        <w:t>注</w:t>
      </w:r>
      <w:r>
        <w:rPr>
          <w:spacing w:val="-54"/>
        </w:rPr>
        <w:t> </w:t>
      </w:r>
      <w:r>
        <w:rPr>
          <w:rFonts w:ascii="Arial" w:hAnsi="Arial" w:cs="Arial" w:eastAsia="Arial" w:hint="default"/>
        </w:rPr>
        <w:t>1</w:t>
      </w:r>
      <w:r>
        <w:rPr/>
        <w:t>：抵押借款</w:t>
      </w:r>
      <w:r>
        <w:rPr>
          <w:spacing w:val="-54"/>
        </w:rPr>
        <w:t> </w:t>
      </w:r>
      <w:r>
        <w:rPr>
          <w:rFonts w:ascii="Arial" w:hAnsi="Arial" w:cs="Arial" w:eastAsia="Arial" w:hint="default"/>
        </w:rPr>
        <w:t>14,500.00</w:t>
      </w:r>
      <w:r>
        <w:rPr>
          <w:rFonts w:ascii="Arial" w:hAnsi="Arial" w:cs="Arial" w:eastAsia="Arial" w:hint="default"/>
          <w:spacing w:val="-6"/>
        </w:rPr>
        <w:t> </w:t>
      </w:r>
      <w:r>
        <w:rPr/>
        <w:t>万元，其中：</w:t>
      </w:r>
    </w:p>
    <w:p>
      <w:pPr>
        <w:spacing w:line="240" w:lineRule="auto" w:before="7"/>
        <w:rPr>
          <w:rFonts w:ascii="宋体" w:hAnsi="宋体" w:cs="宋体" w:eastAsia="宋体" w:hint="default"/>
          <w:sz w:val="27"/>
          <w:szCs w:val="27"/>
        </w:rPr>
      </w:pPr>
    </w:p>
    <w:p>
      <w:pPr>
        <w:pStyle w:val="BodyText"/>
        <w:spacing w:line="240" w:lineRule="auto"/>
        <w:ind w:left="580" w:right="1326"/>
        <w:jc w:val="left"/>
      </w:pPr>
      <w:r>
        <w:rPr/>
        <w:t>（</w:t>
      </w:r>
      <w:r>
        <w:rPr>
          <w:rFonts w:ascii="Arial" w:hAnsi="Arial" w:cs="Arial" w:eastAsia="Arial" w:hint="default"/>
        </w:rPr>
        <w:t>1</w:t>
      </w:r>
      <w:r>
        <w:rPr/>
        <w:t>）公司以账面价值为</w:t>
      </w:r>
      <w:r>
        <w:rPr>
          <w:spacing w:val="-47"/>
        </w:rPr>
        <w:t> </w:t>
      </w:r>
      <w:r>
        <w:rPr>
          <w:rFonts w:ascii="Arial" w:hAnsi="Arial" w:cs="Arial" w:eastAsia="Arial" w:hint="default"/>
        </w:rPr>
        <w:t>16,507,856.13 </w:t>
      </w:r>
      <w:r>
        <w:rPr/>
        <w:t>元的房屋建筑物及账面价值为</w:t>
      </w:r>
      <w:r>
        <w:rPr>
          <w:spacing w:val="-45"/>
        </w:rPr>
        <w:t> </w:t>
      </w:r>
      <w:r>
        <w:rPr>
          <w:rFonts w:ascii="Arial" w:hAnsi="Arial" w:cs="Arial" w:eastAsia="Arial" w:hint="default"/>
        </w:rPr>
        <w:t>6,722,000.65</w:t>
      </w:r>
      <w:r>
        <w:rPr>
          <w:rFonts w:ascii="Arial" w:hAnsi="Arial" w:cs="Arial" w:eastAsia="Arial" w:hint="default"/>
          <w:spacing w:val="3"/>
        </w:rPr>
        <w:t> </w:t>
      </w:r>
      <w:r>
        <w:rPr/>
        <w:t>元的土地</w:t>
      </w:r>
    </w:p>
    <w:p>
      <w:pPr>
        <w:pStyle w:val="BodyText"/>
        <w:spacing w:line="240" w:lineRule="auto" w:before="120"/>
        <w:ind w:left="160" w:right="1326"/>
        <w:jc w:val="left"/>
      </w:pPr>
      <w:r>
        <w:rPr/>
        <w:t>使用权为</w:t>
      </w:r>
      <w:r>
        <w:rPr>
          <w:spacing w:val="-55"/>
        </w:rPr>
        <w:t> </w:t>
      </w:r>
      <w:r>
        <w:rPr>
          <w:rFonts w:ascii="Arial" w:hAnsi="Arial" w:cs="Arial" w:eastAsia="Arial" w:hint="default"/>
        </w:rPr>
        <w:t>800.00</w:t>
      </w:r>
      <w:r>
        <w:rPr>
          <w:rFonts w:ascii="Arial" w:hAnsi="Arial" w:cs="Arial" w:eastAsia="Arial" w:hint="default"/>
          <w:spacing w:val="-8"/>
        </w:rPr>
        <w:t> </w:t>
      </w:r>
      <w:r>
        <w:rPr/>
        <w:t>万元短期借款提供抵押担保；</w:t>
      </w:r>
    </w:p>
    <w:p>
      <w:pPr>
        <w:spacing w:line="240" w:lineRule="auto" w:before="5"/>
        <w:rPr>
          <w:rFonts w:ascii="宋体" w:hAnsi="宋体" w:cs="宋体" w:eastAsia="宋体" w:hint="default"/>
          <w:sz w:val="27"/>
          <w:szCs w:val="27"/>
        </w:rPr>
      </w:pPr>
    </w:p>
    <w:p>
      <w:pPr>
        <w:pStyle w:val="BodyText"/>
        <w:spacing w:line="240" w:lineRule="auto"/>
        <w:ind w:left="580" w:right="1326"/>
        <w:jc w:val="left"/>
      </w:pPr>
      <w:r>
        <w:rPr>
          <w:spacing w:val="-9"/>
        </w:rPr>
        <w:t>（</w:t>
      </w:r>
      <w:r>
        <w:rPr>
          <w:rFonts w:ascii="Arial" w:hAnsi="Arial" w:cs="Arial" w:eastAsia="Arial" w:hint="default"/>
          <w:spacing w:val="-9"/>
        </w:rPr>
        <w:t>2</w:t>
      </w:r>
      <w:r>
        <w:rPr>
          <w:spacing w:val="-9"/>
        </w:rPr>
        <w:t>）公司以账面价值为</w:t>
      </w:r>
      <w:r>
        <w:rPr>
          <w:spacing w:val="-50"/>
        </w:rPr>
        <w:t> </w:t>
      </w:r>
      <w:r>
        <w:rPr>
          <w:rFonts w:ascii="Arial" w:hAnsi="Arial" w:cs="Arial" w:eastAsia="Arial" w:hint="default"/>
        </w:rPr>
        <w:t>88,691,680.09</w:t>
      </w:r>
      <w:r>
        <w:rPr>
          <w:rFonts w:ascii="Arial" w:hAnsi="Arial" w:cs="Arial" w:eastAsia="Arial" w:hint="default"/>
          <w:spacing w:val="-4"/>
        </w:rPr>
        <w:t> </w:t>
      </w:r>
      <w:r>
        <w:rPr/>
        <w:t>元的土地使用权及账面价值为</w:t>
      </w:r>
      <w:r>
        <w:rPr>
          <w:spacing w:val="-51"/>
        </w:rPr>
        <w:t> </w:t>
      </w:r>
      <w:r>
        <w:rPr>
          <w:rFonts w:ascii="Arial" w:hAnsi="Arial" w:cs="Arial" w:eastAsia="Arial" w:hint="default"/>
        </w:rPr>
        <w:t>64,464,463.14</w:t>
      </w:r>
      <w:r>
        <w:rPr>
          <w:rFonts w:ascii="Arial" w:hAnsi="Arial" w:cs="Arial" w:eastAsia="Arial" w:hint="default"/>
          <w:spacing w:val="-5"/>
        </w:rPr>
        <w:t> </w:t>
      </w:r>
      <w:r>
        <w:rPr/>
        <w:t>元的房屋</w:t>
      </w:r>
    </w:p>
    <w:p>
      <w:pPr>
        <w:pStyle w:val="BodyText"/>
        <w:spacing w:line="240" w:lineRule="auto" w:before="120"/>
        <w:ind w:left="143" w:right="5950"/>
        <w:jc w:val="center"/>
      </w:pPr>
      <w:r>
        <w:rPr/>
        <w:t>建筑物为</w:t>
      </w:r>
      <w:r>
        <w:rPr>
          <w:spacing w:val="-55"/>
        </w:rPr>
        <w:t> </w:t>
      </w:r>
      <w:r>
        <w:rPr>
          <w:rFonts w:ascii="Arial" w:hAnsi="Arial" w:cs="Arial" w:eastAsia="Arial" w:hint="default"/>
        </w:rPr>
        <w:t>5,000.00</w:t>
      </w:r>
      <w:r>
        <w:rPr>
          <w:rFonts w:ascii="Arial" w:hAnsi="Arial" w:cs="Arial" w:eastAsia="Arial" w:hint="default"/>
          <w:spacing w:val="-8"/>
        </w:rPr>
        <w:t> </w:t>
      </w:r>
      <w:r>
        <w:rPr/>
        <w:t>万元短期借款提供抵押担保；</w:t>
      </w:r>
    </w:p>
    <w:p>
      <w:pPr>
        <w:spacing w:line="240" w:lineRule="auto" w:before="7"/>
        <w:rPr>
          <w:rFonts w:ascii="宋体" w:hAnsi="宋体" w:cs="宋体" w:eastAsia="宋体" w:hint="default"/>
          <w:sz w:val="27"/>
          <w:szCs w:val="27"/>
        </w:rPr>
      </w:pPr>
    </w:p>
    <w:p>
      <w:pPr>
        <w:pStyle w:val="BodyText"/>
        <w:spacing w:line="240" w:lineRule="auto"/>
        <w:ind w:left="580" w:right="1326"/>
        <w:jc w:val="left"/>
      </w:pPr>
      <w:r>
        <w:rPr/>
        <w:t>（</w:t>
      </w:r>
      <w:r>
        <w:rPr>
          <w:rFonts w:ascii="Arial" w:hAnsi="Arial" w:cs="Arial" w:eastAsia="Arial" w:hint="default"/>
        </w:rPr>
        <w:t>3</w:t>
      </w:r>
      <w:r>
        <w:rPr/>
        <w:t>）公司以账面价值为</w:t>
      </w:r>
      <w:r>
        <w:rPr>
          <w:spacing w:val="-43"/>
        </w:rPr>
        <w:t> </w:t>
      </w:r>
      <w:r>
        <w:rPr>
          <w:rFonts w:ascii="Arial" w:hAnsi="Arial" w:cs="Arial" w:eastAsia="Arial" w:hint="default"/>
        </w:rPr>
        <w:t>11,988,591.64</w:t>
      </w:r>
      <w:r>
        <w:rPr>
          <w:rFonts w:ascii="Arial" w:hAnsi="Arial" w:cs="Arial" w:eastAsia="Arial" w:hint="default"/>
          <w:spacing w:val="1"/>
        </w:rPr>
        <w:t> </w:t>
      </w:r>
      <w:r>
        <w:rPr/>
        <w:t>元的房屋建筑物及账面价值为</w:t>
      </w:r>
      <w:r>
        <w:rPr>
          <w:spacing w:val="-46"/>
        </w:rPr>
        <w:t> </w:t>
      </w:r>
      <w:r>
        <w:rPr>
          <w:rFonts w:ascii="Arial" w:hAnsi="Arial" w:cs="Arial" w:eastAsia="Arial" w:hint="default"/>
        </w:rPr>
        <w:t>4,927,432.30</w:t>
      </w:r>
      <w:r>
        <w:rPr>
          <w:rFonts w:ascii="Arial" w:hAnsi="Arial" w:cs="Arial" w:eastAsia="Arial" w:hint="default"/>
          <w:spacing w:val="2"/>
        </w:rPr>
        <w:t> </w:t>
      </w:r>
      <w:r>
        <w:rPr/>
        <w:t>元的土地</w:t>
      </w:r>
    </w:p>
    <w:p>
      <w:pPr>
        <w:pStyle w:val="BodyText"/>
        <w:spacing w:line="240" w:lineRule="auto" w:before="119"/>
        <w:ind w:left="143" w:right="5950"/>
        <w:jc w:val="center"/>
      </w:pPr>
      <w:r>
        <w:rPr/>
        <w:t>使用权为</w:t>
      </w:r>
      <w:r>
        <w:rPr>
          <w:spacing w:val="-55"/>
        </w:rPr>
        <w:t> </w:t>
      </w:r>
      <w:r>
        <w:rPr>
          <w:rFonts w:ascii="Arial" w:hAnsi="Arial" w:cs="Arial" w:eastAsia="Arial" w:hint="default"/>
        </w:rPr>
        <w:t>1,200.00</w:t>
      </w:r>
      <w:r>
        <w:rPr>
          <w:rFonts w:ascii="Arial" w:hAnsi="Arial" w:cs="Arial" w:eastAsia="Arial" w:hint="default"/>
          <w:spacing w:val="-8"/>
        </w:rPr>
        <w:t> </w:t>
      </w:r>
      <w:r>
        <w:rPr/>
        <w:t>万元短期借款提供抵押担保；</w:t>
      </w:r>
    </w:p>
    <w:p>
      <w:pPr>
        <w:spacing w:line="240" w:lineRule="auto" w:before="7"/>
        <w:rPr>
          <w:rFonts w:ascii="宋体" w:hAnsi="宋体" w:cs="宋体" w:eastAsia="宋体" w:hint="default"/>
          <w:sz w:val="27"/>
          <w:szCs w:val="27"/>
        </w:rPr>
      </w:pPr>
    </w:p>
    <w:p>
      <w:pPr>
        <w:pStyle w:val="BodyText"/>
        <w:spacing w:line="240" w:lineRule="auto"/>
        <w:ind w:left="580" w:right="1326"/>
        <w:jc w:val="left"/>
      </w:pPr>
      <w:r>
        <w:rPr>
          <w:spacing w:val="-9"/>
        </w:rPr>
        <w:t>（</w:t>
      </w:r>
      <w:r>
        <w:rPr>
          <w:rFonts w:ascii="Arial" w:hAnsi="Arial" w:cs="Arial" w:eastAsia="Arial" w:hint="default"/>
          <w:spacing w:val="-9"/>
        </w:rPr>
        <w:t>4</w:t>
      </w:r>
      <w:r>
        <w:rPr>
          <w:spacing w:val="-9"/>
        </w:rPr>
        <w:t>）公司以账面价值为</w:t>
      </w:r>
      <w:r>
        <w:rPr>
          <w:spacing w:val="-50"/>
        </w:rPr>
        <w:t> </w:t>
      </w:r>
      <w:r>
        <w:rPr>
          <w:rFonts w:ascii="Arial" w:hAnsi="Arial" w:cs="Arial" w:eastAsia="Arial" w:hint="default"/>
        </w:rPr>
        <w:t>26,144,801.10</w:t>
      </w:r>
      <w:r>
        <w:rPr>
          <w:rFonts w:ascii="Arial" w:hAnsi="Arial" w:cs="Arial" w:eastAsia="Arial" w:hint="default"/>
          <w:spacing w:val="-4"/>
        </w:rPr>
        <w:t> </w:t>
      </w:r>
      <w:r>
        <w:rPr/>
        <w:t>元的房屋建筑物及账面价值为</w:t>
      </w:r>
      <w:r>
        <w:rPr>
          <w:spacing w:val="-51"/>
        </w:rPr>
        <w:t> </w:t>
      </w:r>
      <w:r>
        <w:rPr>
          <w:rFonts w:ascii="Arial" w:hAnsi="Arial" w:cs="Arial" w:eastAsia="Arial" w:hint="default"/>
        </w:rPr>
        <w:t>12,505,832.40</w:t>
      </w:r>
      <w:r>
        <w:rPr>
          <w:rFonts w:ascii="Arial" w:hAnsi="Arial" w:cs="Arial" w:eastAsia="Arial" w:hint="default"/>
          <w:spacing w:val="-5"/>
        </w:rPr>
        <w:t> </w:t>
      </w:r>
      <w:r>
        <w:rPr/>
        <w:t>元的土地</w:t>
      </w:r>
    </w:p>
    <w:p>
      <w:pPr>
        <w:pStyle w:val="BodyText"/>
        <w:spacing w:line="340" w:lineRule="auto" w:before="118"/>
        <w:ind w:left="160" w:right="1430"/>
        <w:jc w:val="left"/>
      </w:pPr>
      <w:r>
        <w:rPr>
          <w:spacing w:val="-1"/>
          <w:w w:val="100"/>
        </w:rPr>
        <w:t>使用权为</w:t>
      </w:r>
      <w:r>
        <w:rPr>
          <w:spacing w:val="-51"/>
          <w:w w:val="100"/>
        </w:rPr>
        <w:t> </w:t>
      </w:r>
      <w:r>
        <w:rPr>
          <w:rFonts w:ascii="Arial" w:hAnsi="Arial" w:cs="Arial" w:eastAsia="Arial" w:hint="default"/>
          <w:spacing w:val="-1"/>
          <w:w w:val="100"/>
        </w:rPr>
        <w:t>7,500.00</w:t>
      </w:r>
      <w:r>
        <w:rPr>
          <w:rFonts w:ascii="Arial" w:hAnsi="Arial" w:cs="Arial" w:eastAsia="Arial" w:hint="default"/>
          <w:spacing w:val="-4"/>
          <w:w w:val="100"/>
        </w:rPr>
        <w:t> </w:t>
      </w:r>
      <w:r>
        <w:rPr>
          <w:spacing w:val="-4"/>
          <w:w w:val="100"/>
        </w:rPr>
        <w:t>万元短期借款提供抵押担保，同时华方医药科技有限公司为该借款提供了保证担</w:t>
      </w:r>
      <w:r>
        <w:rPr>
          <w:w w:val="100"/>
        </w:rPr>
        <w:t> </w:t>
      </w:r>
      <w:r>
        <w:rPr/>
        <w:t>保；</w:t>
      </w:r>
    </w:p>
    <w:p>
      <w:pPr>
        <w:pStyle w:val="BodyText"/>
        <w:spacing w:line="240" w:lineRule="auto" w:before="167"/>
        <w:ind w:left="580" w:right="1326"/>
        <w:jc w:val="left"/>
      </w:pPr>
      <w:r>
        <w:rPr/>
        <w:t>注</w:t>
      </w:r>
      <w:r>
        <w:rPr>
          <w:spacing w:val="-54"/>
        </w:rPr>
        <w:t> </w:t>
      </w:r>
      <w:r>
        <w:rPr>
          <w:rFonts w:ascii="Arial" w:hAnsi="Arial" w:cs="Arial" w:eastAsia="Arial" w:hint="default"/>
        </w:rPr>
        <w:t>2</w:t>
      </w:r>
      <w:r>
        <w:rPr/>
        <w:t>：保证借款</w:t>
      </w:r>
      <w:r>
        <w:rPr>
          <w:spacing w:val="-54"/>
        </w:rPr>
        <w:t> </w:t>
      </w:r>
      <w:r>
        <w:rPr>
          <w:rFonts w:ascii="Arial" w:hAnsi="Arial" w:cs="Arial" w:eastAsia="Arial" w:hint="default"/>
        </w:rPr>
        <w:t>17,800.00</w:t>
      </w:r>
      <w:r>
        <w:rPr>
          <w:rFonts w:ascii="Arial" w:hAnsi="Arial" w:cs="Arial" w:eastAsia="Arial" w:hint="default"/>
          <w:spacing w:val="-6"/>
        </w:rPr>
        <w:t> </w:t>
      </w:r>
      <w:r>
        <w:rPr/>
        <w:t>万元，其中：</w:t>
      </w:r>
    </w:p>
    <w:p>
      <w:pPr>
        <w:spacing w:line="240" w:lineRule="auto" w:before="3"/>
        <w:rPr>
          <w:rFonts w:ascii="宋体" w:hAnsi="宋体" w:cs="宋体" w:eastAsia="宋体" w:hint="default"/>
          <w:sz w:val="18"/>
          <w:szCs w:val="18"/>
        </w:rPr>
      </w:pPr>
    </w:p>
    <w:p>
      <w:pPr>
        <w:pStyle w:val="BodyText"/>
        <w:spacing w:line="340" w:lineRule="auto"/>
        <w:ind w:left="160" w:right="1428" w:firstLine="420"/>
        <w:jc w:val="left"/>
      </w:pPr>
      <w:r>
        <w:rPr/>
        <w:t>（</w:t>
      </w:r>
      <w:r>
        <w:rPr>
          <w:rFonts w:ascii="Arial" w:hAnsi="Arial" w:cs="Arial" w:eastAsia="Arial" w:hint="default"/>
        </w:rPr>
        <w:t>1</w:t>
      </w:r>
      <w:r>
        <w:rPr/>
        <w:t>）华方医药科技有限公司为子公司 </w:t>
      </w:r>
      <w:r>
        <w:rPr>
          <w:rFonts w:ascii="Arial" w:hAnsi="Arial" w:cs="Arial" w:eastAsia="Arial" w:hint="default"/>
        </w:rPr>
        <w:t>16,700.00</w:t>
      </w:r>
      <w:r>
        <w:rPr>
          <w:rFonts w:ascii="Arial" w:hAnsi="Arial" w:cs="Arial" w:eastAsia="Arial" w:hint="default"/>
          <w:spacing w:val="34"/>
        </w:rPr>
        <w:t> </w:t>
      </w:r>
      <w:r>
        <w:rPr/>
        <w:t>万元银行借款提供连带责任担保，详见附注</w:t>
      </w:r>
      <w:r>
        <w:rPr>
          <w:w w:val="100"/>
        </w:rPr>
        <w:t> </w:t>
      </w:r>
      <w:r>
        <w:rPr>
          <w:spacing w:val="-21"/>
          <w:w w:val="100"/>
        </w:rPr>
        <w:t>六、（二）、</w:t>
      </w:r>
      <w:r>
        <w:rPr>
          <w:rFonts w:ascii="Arial" w:hAnsi="Arial" w:cs="Arial" w:eastAsia="Arial" w:hint="default"/>
          <w:spacing w:val="-21"/>
          <w:w w:val="100"/>
        </w:rPr>
        <w:t>4</w:t>
      </w:r>
      <w:r>
        <w:rPr>
          <w:spacing w:val="-21"/>
          <w:w w:val="100"/>
        </w:rPr>
        <w:t>、</w:t>
      </w:r>
      <w:r>
        <w:rPr>
          <w:rFonts w:ascii="Arial" w:hAnsi="Arial" w:cs="Arial" w:eastAsia="Arial" w:hint="default"/>
          <w:spacing w:val="-21"/>
          <w:w w:val="100"/>
        </w:rPr>
        <w:t>A</w:t>
      </w:r>
      <w:r>
        <w:rPr>
          <w:spacing w:val="-21"/>
          <w:w w:val="100"/>
        </w:rPr>
        <w:t>、（</w:t>
      </w:r>
      <w:r>
        <w:rPr>
          <w:rFonts w:ascii="Arial" w:hAnsi="Arial" w:cs="Arial" w:eastAsia="Arial" w:hint="default"/>
          <w:spacing w:val="-21"/>
          <w:w w:val="100"/>
        </w:rPr>
        <w:t>2</w:t>
      </w:r>
      <w:r>
        <w:rPr>
          <w:spacing w:val="-21"/>
          <w:w w:val="100"/>
        </w:rPr>
        <w:t>）所述；</w:t>
      </w:r>
    </w:p>
    <w:p>
      <w:pPr>
        <w:pStyle w:val="BodyText"/>
        <w:spacing w:line="338" w:lineRule="auto" w:before="142"/>
        <w:ind w:left="160" w:right="735" w:firstLine="420"/>
        <w:jc w:val="left"/>
      </w:pPr>
      <w:r>
        <w:rPr>
          <w:spacing w:val="-7"/>
          <w:w w:val="100"/>
        </w:rPr>
        <w:t>（</w:t>
      </w:r>
      <w:r>
        <w:rPr>
          <w:rFonts w:ascii="Arial" w:hAnsi="Arial" w:cs="Arial" w:eastAsia="Arial" w:hint="default"/>
          <w:spacing w:val="-7"/>
          <w:w w:val="100"/>
        </w:rPr>
        <w:t>2</w:t>
      </w:r>
      <w:r>
        <w:rPr>
          <w:spacing w:val="-7"/>
          <w:w w:val="100"/>
        </w:rPr>
        <w:t>）本公司为子公司</w:t>
      </w:r>
      <w:r>
        <w:rPr>
          <w:spacing w:val="-48"/>
          <w:w w:val="100"/>
        </w:rPr>
        <w:t> </w:t>
      </w:r>
      <w:r>
        <w:rPr>
          <w:rFonts w:ascii="Arial" w:hAnsi="Arial" w:cs="Arial" w:eastAsia="Arial" w:hint="default"/>
          <w:spacing w:val="-1"/>
          <w:w w:val="100"/>
        </w:rPr>
        <w:t>1,100.00</w:t>
      </w:r>
      <w:r>
        <w:rPr>
          <w:rFonts w:ascii="Arial" w:hAnsi="Arial" w:cs="Arial" w:eastAsia="Arial" w:hint="default"/>
          <w:spacing w:val="-2"/>
          <w:w w:val="100"/>
        </w:rPr>
        <w:t> </w:t>
      </w:r>
      <w:r>
        <w:rPr>
          <w:spacing w:val="-15"/>
          <w:w w:val="100"/>
        </w:rPr>
        <w:t>万元银行借款提供连带责任担保，详见附注六、（二）、</w:t>
      </w:r>
      <w:r>
        <w:rPr>
          <w:rFonts w:ascii="Arial" w:hAnsi="Arial" w:cs="Arial" w:eastAsia="Arial" w:hint="default"/>
          <w:spacing w:val="-15"/>
          <w:w w:val="100"/>
        </w:rPr>
        <w:t>4</w:t>
      </w:r>
      <w:r>
        <w:rPr>
          <w:spacing w:val="-15"/>
          <w:w w:val="100"/>
        </w:rPr>
        <w:t>、</w:t>
      </w:r>
      <w:r>
        <w:rPr>
          <w:rFonts w:ascii="Arial" w:hAnsi="Arial" w:cs="Arial" w:eastAsia="Arial" w:hint="default"/>
          <w:spacing w:val="-15"/>
          <w:w w:val="100"/>
        </w:rPr>
        <w:t>B</w:t>
      </w:r>
      <w:r>
        <w:rPr>
          <w:spacing w:val="-15"/>
          <w:w w:val="100"/>
        </w:rPr>
        <w:t>（</w:t>
      </w:r>
      <w:r>
        <w:rPr>
          <w:rFonts w:ascii="Arial" w:hAnsi="Arial" w:cs="Arial" w:eastAsia="Arial" w:hint="default"/>
          <w:spacing w:val="-15"/>
          <w:w w:val="100"/>
        </w:rPr>
        <w:t>3</w:t>
      </w:r>
      <w:r>
        <w:rPr>
          <w:spacing w:val="-15"/>
          <w:w w:val="100"/>
        </w:rPr>
        <w:t>）</w:t>
      </w:r>
      <w:r>
        <w:rPr>
          <w:w w:val="100"/>
        </w:rPr>
        <w:t> </w:t>
      </w:r>
      <w:r>
        <w:rPr/>
        <w:t>所述。</w:t>
      </w:r>
    </w:p>
    <w:p>
      <w:pPr>
        <w:spacing w:line="240" w:lineRule="auto" w:before="9"/>
        <w:rPr>
          <w:rFonts w:ascii="宋体" w:hAnsi="宋体" w:cs="宋体" w:eastAsia="宋体" w:hint="default"/>
          <w:sz w:val="26"/>
          <w:szCs w:val="26"/>
        </w:rPr>
      </w:pPr>
    </w:p>
    <w:p>
      <w:pPr>
        <w:pStyle w:val="Heading4"/>
        <w:spacing w:line="240" w:lineRule="auto"/>
        <w:ind w:left="580" w:right="1326"/>
        <w:jc w:val="left"/>
        <w:rPr>
          <w:b w:val="0"/>
          <w:bCs w:val="0"/>
        </w:rPr>
      </w:pPr>
      <w:r>
        <w:rPr/>
        <w:t>（十九）应付票据</w:t>
      </w:r>
      <w:r>
        <w:rPr>
          <w:b w:val="0"/>
          <w:bCs w:val="0"/>
        </w:rPr>
      </w:r>
    </w:p>
    <w:p>
      <w:pPr>
        <w:spacing w:line="240" w:lineRule="auto" w:before="5"/>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225"/>
        <w:gridCol w:w="2213"/>
        <w:gridCol w:w="2213"/>
        <w:gridCol w:w="2208"/>
      </w:tblGrid>
      <w:tr>
        <w:trPr>
          <w:trHeight w:val="365"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917"/>
              <w:jc w:val="right"/>
              <w:rPr>
                <w:rFonts w:ascii="宋体" w:hAnsi="宋体" w:cs="宋体" w:eastAsia="宋体" w:hint="default"/>
                <w:sz w:val="18"/>
                <w:szCs w:val="18"/>
              </w:rPr>
            </w:pPr>
            <w:r>
              <w:rPr>
                <w:rFonts w:ascii="宋体" w:hAnsi="宋体" w:cs="宋体" w:eastAsia="宋体" w:hint="default"/>
                <w:sz w:val="18"/>
                <w:szCs w:val="18"/>
              </w:rPr>
              <w:t>种类</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5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5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196,774,000.00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172,156,723.85</w:t>
            </w:r>
          </w:p>
        </w:tc>
        <w:tc>
          <w:tcPr>
            <w:tcW w:w="2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62"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196,774,000.00</w:t>
            </w:r>
            <w:r>
              <w:rPr>
                <w:rFonts w:ascii="Arial"/>
                <w:b/>
                <w:spacing w:val="-1"/>
                <w:sz w:val="18"/>
              </w:rPr>
            </w:r>
            <w:r>
              <w:rPr>
                <w:rFonts w:ascii="Arial"/>
                <w:spacing w:val="-1"/>
                <w:sz w:val="18"/>
              </w:rPr>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172,156,723.85</w:t>
            </w:r>
            <w:r>
              <w:rPr>
                <w:rFonts w:ascii="Arial"/>
                <w:b/>
                <w:spacing w:val="-1"/>
                <w:sz w:val="18"/>
              </w:rPr>
            </w:r>
            <w:r>
              <w:rPr>
                <w:rFonts w:ascii="Arial"/>
                <w:spacing w:val="-1"/>
                <w:sz w:val="18"/>
              </w:rPr>
            </w:r>
          </w:p>
        </w:tc>
        <w:tc>
          <w:tcPr>
            <w:tcW w:w="2208"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80" w:right="1326"/>
        <w:jc w:val="left"/>
      </w:pPr>
      <w:r>
        <w:rPr/>
        <w:t>下一会计期间将到期的金额</w:t>
      </w:r>
      <w:r>
        <w:rPr>
          <w:spacing w:val="-54"/>
        </w:rPr>
        <w:t> </w:t>
      </w:r>
      <w:r>
        <w:rPr>
          <w:rFonts w:ascii="Arial" w:hAnsi="Arial" w:cs="Arial" w:eastAsia="Arial" w:hint="default"/>
        </w:rPr>
        <w:t>196,774,000.00</w:t>
      </w:r>
      <w:r>
        <w:rPr>
          <w:rFonts w:ascii="Arial" w:hAnsi="Arial" w:cs="Arial" w:eastAsia="Arial" w:hint="default"/>
          <w:spacing w:val="-7"/>
        </w:rPr>
        <w:t> </w:t>
      </w:r>
      <w:r>
        <w:rPr>
          <w:spacing w:val="-3"/>
        </w:rPr>
        <w:t>元。</w:t>
      </w:r>
      <w:r>
        <w:rPr/>
      </w:r>
    </w:p>
    <w:p>
      <w:pPr>
        <w:spacing w:line="240" w:lineRule="auto" w:before="5"/>
        <w:rPr>
          <w:rFonts w:ascii="宋体" w:hAnsi="宋体" w:cs="宋体" w:eastAsia="宋体" w:hint="default"/>
          <w:sz w:val="18"/>
          <w:szCs w:val="18"/>
        </w:rPr>
      </w:pPr>
    </w:p>
    <w:p>
      <w:pPr>
        <w:pStyle w:val="BodyText"/>
        <w:spacing w:line="240" w:lineRule="auto"/>
        <w:ind w:left="580" w:right="1326"/>
        <w:jc w:val="left"/>
      </w:pPr>
      <w:r>
        <w:rPr>
          <w:spacing w:val="-4"/>
        </w:rPr>
        <w:t>注：公司以定期银行存款</w:t>
      </w:r>
      <w:r>
        <w:rPr>
          <w:spacing w:val="-42"/>
        </w:rPr>
        <w:t> </w:t>
      </w:r>
      <w:r>
        <w:rPr>
          <w:rFonts w:ascii="Arial" w:hAnsi="Arial" w:cs="Arial" w:eastAsia="Arial" w:hint="default"/>
        </w:rPr>
        <w:t>5,908.56 </w:t>
      </w:r>
      <w:r>
        <w:rPr/>
        <w:t>元为开具银行承兑汇票</w:t>
      </w:r>
      <w:r>
        <w:rPr>
          <w:spacing w:val="-46"/>
        </w:rPr>
        <w:t> </w:t>
      </w:r>
      <w:r>
        <w:rPr>
          <w:rFonts w:ascii="Arial" w:hAnsi="Arial" w:cs="Arial" w:eastAsia="Arial" w:hint="default"/>
          <w:spacing w:val="-3"/>
        </w:rPr>
        <w:t>11,907.90</w:t>
      </w:r>
      <w:r>
        <w:rPr>
          <w:rFonts w:ascii="Arial" w:hAnsi="Arial" w:cs="Arial" w:eastAsia="Arial" w:hint="default"/>
          <w:spacing w:val="1"/>
        </w:rPr>
        <w:t> </w:t>
      </w:r>
      <w:r>
        <w:rPr>
          <w:spacing w:val="-4"/>
        </w:rPr>
        <w:t>万元提供了质押担保；以</w:t>
      </w:r>
    </w:p>
    <w:p>
      <w:pPr>
        <w:pStyle w:val="BodyText"/>
        <w:spacing w:line="240" w:lineRule="auto" w:before="119"/>
        <w:ind w:left="160" w:right="1326"/>
        <w:jc w:val="left"/>
      </w:pPr>
      <w:r>
        <w:rPr/>
        <w:t>账面价值为</w:t>
      </w:r>
      <w:r>
        <w:rPr>
          <w:spacing w:val="-47"/>
        </w:rPr>
        <w:t> </w:t>
      </w:r>
      <w:r>
        <w:rPr>
          <w:rFonts w:ascii="Arial" w:hAnsi="Arial" w:cs="Arial" w:eastAsia="Arial" w:hint="default"/>
        </w:rPr>
        <w:t>6,446.45</w:t>
      </w:r>
      <w:r>
        <w:rPr>
          <w:rFonts w:ascii="Arial" w:hAnsi="Arial" w:cs="Arial" w:eastAsia="Arial" w:hint="default"/>
          <w:spacing w:val="3"/>
        </w:rPr>
        <w:t> </w:t>
      </w:r>
      <w:r>
        <w:rPr/>
        <w:t>万元的房屋建筑物，连同账面价值为</w:t>
      </w:r>
      <w:r>
        <w:rPr>
          <w:spacing w:val="-46"/>
        </w:rPr>
        <w:t> </w:t>
      </w:r>
      <w:r>
        <w:rPr>
          <w:rFonts w:ascii="Arial" w:hAnsi="Arial" w:cs="Arial" w:eastAsia="Arial" w:hint="default"/>
        </w:rPr>
        <w:t>8,869.17</w:t>
      </w:r>
      <w:r>
        <w:rPr>
          <w:rFonts w:ascii="Arial" w:hAnsi="Arial" w:cs="Arial" w:eastAsia="Arial" w:hint="default"/>
          <w:spacing w:val="3"/>
        </w:rPr>
        <w:t> </w:t>
      </w:r>
      <w:r>
        <w:rPr/>
        <w:t>万元的土地使用权为公司在中</w:t>
      </w:r>
    </w:p>
    <w:p>
      <w:pPr>
        <w:pStyle w:val="BodyText"/>
        <w:spacing w:line="240" w:lineRule="auto" w:before="120"/>
        <w:ind w:left="160" w:right="1326"/>
        <w:jc w:val="left"/>
      </w:pPr>
      <w:r>
        <w:rPr/>
        <w:t>国工商银行众安支行的借款提供</w:t>
      </w:r>
      <w:r>
        <w:rPr>
          <w:spacing w:val="-51"/>
        </w:rPr>
        <w:t> </w:t>
      </w:r>
      <w:r>
        <w:rPr>
          <w:rFonts w:ascii="Arial" w:hAnsi="Arial" w:cs="Arial" w:eastAsia="Arial" w:hint="default"/>
        </w:rPr>
        <w:t>12,143.00</w:t>
      </w:r>
      <w:r>
        <w:rPr>
          <w:rFonts w:ascii="Arial" w:hAnsi="Arial" w:cs="Arial" w:eastAsia="Arial" w:hint="default"/>
          <w:spacing w:val="-4"/>
        </w:rPr>
        <w:t> </w:t>
      </w:r>
      <w:r>
        <w:rPr/>
        <w:t>万元最高额担保，截止</w:t>
      </w:r>
      <w:r>
        <w:rPr>
          <w:spacing w:val="-51"/>
        </w:rPr>
        <w:t> </w:t>
      </w:r>
      <w:r>
        <w:rPr>
          <w:rFonts w:ascii="Arial" w:hAnsi="Arial" w:cs="Arial" w:eastAsia="Arial" w:hint="default"/>
        </w:rPr>
        <w:t>2010</w:t>
      </w:r>
      <w:r>
        <w:rPr>
          <w:rFonts w:ascii="Arial" w:hAnsi="Arial" w:cs="Arial" w:eastAsia="Arial" w:hint="default"/>
          <w:spacing w:val="-7"/>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7"/>
        </w:rPr>
        <w:t> </w:t>
      </w:r>
      <w:r>
        <w:rPr/>
        <w:t>日，公司在该</w:t>
      </w:r>
    </w:p>
    <w:p>
      <w:pPr>
        <w:pStyle w:val="BodyText"/>
        <w:spacing w:line="240" w:lineRule="auto" w:before="118"/>
        <w:ind w:left="160" w:right="1326"/>
        <w:jc w:val="left"/>
      </w:pPr>
      <w:r>
        <w:rPr/>
        <w:t>合同下取得借款</w:t>
      </w:r>
      <w:r>
        <w:rPr>
          <w:spacing w:val="-48"/>
        </w:rPr>
        <w:t> </w:t>
      </w:r>
      <w:r>
        <w:rPr>
          <w:rFonts w:ascii="Arial" w:hAnsi="Arial" w:cs="Arial" w:eastAsia="Arial" w:hint="default"/>
        </w:rPr>
        <w:t>5,000.00</w:t>
      </w:r>
      <w:r>
        <w:rPr>
          <w:rFonts w:ascii="Arial" w:hAnsi="Arial" w:cs="Arial" w:eastAsia="Arial" w:hint="default"/>
          <w:spacing w:val="-3"/>
        </w:rPr>
        <w:t> </w:t>
      </w:r>
      <w:r>
        <w:rPr>
          <w:spacing w:val="-5"/>
        </w:rPr>
        <w:t>万元，开具汇票</w:t>
      </w:r>
      <w:r>
        <w:rPr>
          <w:spacing w:val="-48"/>
        </w:rPr>
        <w:t> </w:t>
      </w:r>
      <w:r>
        <w:rPr>
          <w:rFonts w:ascii="Arial" w:hAnsi="Arial" w:cs="Arial" w:eastAsia="Arial" w:hint="default"/>
        </w:rPr>
        <w:t>3,886.00</w:t>
      </w:r>
      <w:r>
        <w:rPr>
          <w:rFonts w:ascii="Arial" w:hAnsi="Arial" w:cs="Arial" w:eastAsia="Arial" w:hint="default"/>
          <w:spacing w:val="-3"/>
        </w:rPr>
        <w:t> </w:t>
      </w:r>
      <w:r>
        <w:rPr>
          <w:spacing w:val="-4"/>
        </w:rPr>
        <w:t>万元（其中承兑汇票保证金</w:t>
      </w:r>
      <w:r>
        <w:rPr>
          <w:spacing w:val="-48"/>
        </w:rPr>
        <w:t> </w:t>
      </w:r>
      <w:r>
        <w:rPr>
          <w:rFonts w:ascii="Arial" w:hAnsi="Arial" w:cs="Arial" w:eastAsia="Arial" w:hint="default"/>
        </w:rPr>
        <w:t>388.60</w:t>
      </w:r>
      <w:r>
        <w:rPr>
          <w:rFonts w:ascii="Arial" w:hAnsi="Arial" w:cs="Arial" w:eastAsia="Arial" w:hint="default"/>
          <w:spacing w:val="-3"/>
        </w:rPr>
        <w:t> </w:t>
      </w:r>
      <w:r>
        <w:rPr>
          <w:spacing w:val="-6"/>
        </w:rPr>
        <w:t>万元，抵押</w:t>
      </w:r>
    </w:p>
    <w:p>
      <w:pPr>
        <w:pStyle w:val="BodyText"/>
        <w:spacing w:line="340" w:lineRule="auto" w:before="120"/>
        <w:ind w:left="160" w:right="1326"/>
        <w:jc w:val="left"/>
      </w:pPr>
      <w:r>
        <w:rPr>
          <w:spacing w:val="-9"/>
          <w:w w:val="100"/>
        </w:rPr>
        <w:t>担保金额为扣除保证金后的余额）；华方医药科技有限公司为其中</w:t>
      </w:r>
      <w:r>
        <w:rPr>
          <w:spacing w:val="-42"/>
          <w:w w:val="100"/>
        </w:rPr>
        <w:t> </w:t>
      </w:r>
      <w:r>
        <w:rPr>
          <w:rFonts w:ascii="Arial" w:hAnsi="Arial" w:cs="Arial" w:eastAsia="Arial" w:hint="default"/>
          <w:spacing w:val="-1"/>
          <w:w w:val="100"/>
        </w:rPr>
        <w:t>10,907.90</w:t>
      </w:r>
      <w:r>
        <w:rPr>
          <w:rFonts w:ascii="Arial" w:hAnsi="Arial" w:cs="Arial" w:eastAsia="Arial" w:hint="default"/>
          <w:spacing w:val="3"/>
          <w:w w:val="100"/>
        </w:rPr>
        <w:t> </w:t>
      </w:r>
      <w:r>
        <w:rPr>
          <w:spacing w:val="-2"/>
          <w:w w:val="100"/>
        </w:rPr>
        <w:t>万元银行承兑汇票提供</w:t>
      </w:r>
      <w:r>
        <w:rPr>
          <w:spacing w:val="-101"/>
          <w:w w:val="100"/>
        </w:rPr>
        <w:t> </w:t>
      </w:r>
      <w:r>
        <w:rPr>
          <w:spacing w:val="-101"/>
          <w:w w:val="100"/>
        </w:rPr>
      </w:r>
      <w:r>
        <w:rPr/>
        <w:t>了连带责任担保。</w:t>
      </w:r>
    </w:p>
    <w:p>
      <w:pPr>
        <w:spacing w:line="240" w:lineRule="auto" w:before="2"/>
        <w:rPr>
          <w:rFonts w:ascii="宋体" w:hAnsi="宋体" w:cs="宋体" w:eastAsia="宋体" w:hint="default"/>
          <w:sz w:val="17"/>
          <w:szCs w:val="17"/>
        </w:rPr>
      </w:pPr>
    </w:p>
    <w:p>
      <w:pPr>
        <w:pStyle w:val="Heading4"/>
        <w:spacing w:line="240" w:lineRule="auto"/>
        <w:ind w:left="580" w:right="1326"/>
        <w:jc w:val="left"/>
        <w:rPr>
          <w:b w:val="0"/>
          <w:bCs w:val="0"/>
        </w:rPr>
      </w:pPr>
      <w:r>
        <w:rPr/>
        <w:t>（二十）应付账款</w:t>
      </w:r>
      <w:r>
        <w:rPr>
          <w:b w:val="0"/>
          <w:bCs w:val="0"/>
        </w:rPr>
      </w:r>
    </w:p>
    <w:p>
      <w:pPr>
        <w:spacing w:line="240" w:lineRule="auto" w:before="9"/>
        <w:rPr>
          <w:rFonts w:ascii="宋体" w:hAnsi="宋体" w:cs="宋体" w:eastAsia="宋体" w:hint="default"/>
          <w:b/>
          <w:bCs/>
          <w:sz w:val="19"/>
          <w:szCs w:val="19"/>
        </w:rPr>
      </w:pPr>
    </w:p>
    <w:p>
      <w:pPr>
        <w:pStyle w:val="BodyText"/>
        <w:spacing w:line="240" w:lineRule="auto"/>
        <w:ind w:left="580" w:right="1326"/>
        <w:jc w:val="left"/>
      </w:pPr>
      <w:r>
        <w:rPr/>
        <w:t>（</w:t>
      </w:r>
      <w:r>
        <w:rPr>
          <w:rFonts w:ascii="Arial" w:hAnsi="Arial" w:cs="Arial" w:eastAsia="Arial" w:hint="default"/>
        </w:rPr>
        <w:t>1</w:t>
      </w:r>
      <w:r>
        <w:rPr/>
        <w:t>）截至</w:t>
      </w:r>
      <w:r>
        <w:rPr>
          <w:spacing w:val="-55"/>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日止，无账龄超过一年的大额应付账款。</w:t>
      </w:r>
    </w:p>
    <w:p>
      <w:pPr>
        <w:spacing w:after="0" w:line="240" w:lineRule="auto"/>
        <w:jc w:val="left"/>
        <w:sectPr>
          <w:pgSz w:w="11910" w:h="16840"/>
          <w:pgMar w:header="884" w:footer="1013" w:top="1080" w:bottom="1200" w:left="1280" w:right="0"/>
        </w:sectPr>
      </w:pPr>
    </w:p>
    <w:p>
      <w:pPr>
        <w:pStyle w:val="BodyText"/>
        <w:spacing w:line="316" w:lineRule="auto" w:before="32"/>
        <w:ind w:right="1430" w:firstLine="420"/>
        <w:jc w:val="left"/>
      </w:pPr>
      <w:r>
        <w:rPr/>
        <w:pict>
          <v:group style="position:absolute;margin-left:70.584pt;margin-top:2.823701pt;width:436.3pt;height:.1pt;mso-position-horizontal-relative:page;mso-position-vertical-relative:paragraph;z-index:-636016" coordorigin="1412,56" coordsize="8726,2">
            <v:shape style="position:absolute;left:1412;top:56;width:8726;height:2" coordorigin="1412,56" coordsize="8726,0" path="m1412,56l10137,56e" filled="false" stroked="true" strokeweight=".72pt" strokecolor="#000000">
              <v:path arrowok="t"/>
            </v:shape>
            <w10:wrap type="none"/>
          </v:group>
        </w:pict>
      </w:r>
      <w:r>
        <w:rPr/>
        <w:t>（</w:t>
      </w:r>
      <w:r>
        <w:rPr>
          <w:rFonts w:ascii="Arial" w:hAnsi="Arial" w:cs="Arial" w:eastAsia="Arial" w:hint="default"/>
        </w:rPr>
        <w:t>2</w:t>
      </w:r>
      <w:r>
        <w:rPr/>
        <w:t>）本报告期应付账款中应付持有本公司</w:t>
      </w:r>
      <w:r>
        <w:rPr>
          <w:spacing w:val="-53"/>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）以上表决权股份的股东单位或关联方</w:t>
      </w:r>
      <w:r>
        <w:rPr>
          <w:w w:val="100"/>
        </w:rPr>
        <w:t> </w:t>
      </w:r>
      <w:r>
        <w:rPr/>
        <w:t>的款项情况。</w:t>
      </w:r>
    </w:p>
    <w:p>
      <w:pPr>
        <w:spacing w:line="240" w:lineRule="auto" w:before="6"/>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289"/>
        <w:gridCol w:w="2796"/>
        <w:gridCol w:w="2799"/>
      </w:tblGrid>
      <w:tr>
        <w:trPr>
          <w:trHeight w:val="365"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3"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328,047.43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3,816,297.57</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5,693,045.66</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10,572,050.86</w:t>
            </w:r>
          </w:p>
        </w:tc>
      </w:tr>
      <w:tr>
        <w:trPr>
          <w:trHeight w:val="365"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6,021,093.09</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14,388,348.43</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pStyle w:val="Heading4"/>
        <w:tabs>
          <w:tab w:pos="1839" w:val="left" w:leader="none"/>
        </w:tabs>
        <w:spacing w:line="240" w:lineRule="auto" w:before="36"/>
        <w:ind w:right="1205"/>
        <w:jc w:val="left"/>
        <w:rPr>
          <w:b w:val="0"/>
          <w:bCs w:val="0"/>
        </w:rPr>
      </w:pPr>
      <w:r>
        <w:rPr>
          <w:spacing w:val="-1"/>
        </w:rPr>
        <w:t>（二十一）</w:t>
        <w:tab/>
        <w:t>预收款项</w:t>
      </w:r>
      <w:r>
        <w:rPr>
          <w:b w:val="0"/>
          <w:bCs w:val="0"/>
          <w:spacing w:val="-1"/>
        </w:rPr>
      </w:r>
    </w:p>
    <w:p>
      <w:pPr>
        <w:spacing w:line="240" w:lineRule="auto" w:before="7"/>
        <w:rPr>
          <w:rFonts w:ascii="宋体" w:hAnsi="宋体" w:cs="宋体" w:eastAsia="宋体" w:hint="default"/>
          <w:b/>
          <w:bCs/>
          <w:sz w:val="19"/>
          <w:szCs w:val="19"/>
        </w:rPr>
      </w:pPr>
    </w:p>
    <w:p>
      <w:pPr>
        <w:pStyle w:val="BodyText"/>
        <w:spacing w:line="240" w:lineRule="auto"/>
        <w:ind w:left="560" w:right="1205"/>
        <w:jc w:val="left"/>
      </w:pPr>
      <w:r>
        <w:rPr/>
        <w:t>（</w:t>
      </w:r>
      <w:r>
        <w:rPr>
          <w:rFonts w:ascii="Arial" w:hAnsi="Arial" w:cs="Arial" w:eastAsia="Arial" w:hint="default"/>
        </w:rPr>
        <w:t>1</w:t>
      </w:r>
      <w:r>
        <w:rPr/>
        <w:t>）截至</w:t>
      </w:r>
      <w:r>
        <w:rPr>
          <w:spacing w:val="-55"/>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日止，无账龄超过一年的大额预收款项。</w:t>
      </w:r>
    </w:p>
    <w:p>
      <w:pPr>
        <w:spacing w:line="240" w:lineRule="auto" w:before="11"/>
        <w:rPr>
          <w:rFonts w:ascii="宋体" w:hAnsi="宋体" w:cs="宋体" w:eastAsia="宋体" w:hint="default"/>
          <w:sz w:val="17"/>
          <w:szCs w:val="17"/>
        </w:rPr>
      </w:pPr>
    </w:p>
    <w:p>
      <w:pPr>
        <w:pStyle w:val="BodyText"/>
        <w:spacing w:line="316" w:lineRule="auto"/>
        <w:ind w:right="1430" w:firstLine="420"/>
        <w:jc w:val="left"/>
      </w:pPr>
      <w:r>
        <w:rPr/>
        <w:t>（</w:t>
      </w:r>
      <w:r>
        <w:rPr>
          <w:rFonts w:ascii="Arial" w:hAnsi="Arial" w:cs="Arial" w:eastAsia="Arial" w:hint="default"/>
        </w:rPr>
        <w:t>2</w:t>
      </w:r>
      <w:r>
        <w:rPr/>
        <w:t>）本报告期预收款项中预收持有本公司</w:t>
      </w:r>
      <w:r>
        <w:rPr>
          <w:spacing w:val="-53"/>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）以上表决权股份的股东单位或关联方</w:t>
      </w:r>
      <w:r>
        <w:rPr>
          <w:w w:val="100"/>
        </w:rPr>
        <w:t> </w:t>
      </w:r>
      <w:r>
        <w:rPr/>
        <w:t>的款项情况。</w:t>
      </w:r>
    </w:p>
    <w:p>
      <w:pPr>
        <w:spacing w:line="240" w:lineRule="auto" w:before="6"/>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289"/>
        <w:gridCol w:w="2796"/>
        <w:gridCol w:w="2799"/>
      </w:tblGrid>
      <w:tr>
        <w:trPr>
          <w:trHeight w:val="362"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3,881,881.08</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3,881,881.08</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tabs>
          <w:tab w:pos="1839" w:val="left" w:leader="none"/>
        </w:tabs>
        <w:spacing w:line="408" w:lineRule="auto" w:before="36"/>
        <w:ind w:left="666" w:right="7499" w:hanging="106"/>
        <w:jc w:val="left"/>
        <w:rPr>
          <w:rFonts w:ascii="宋体" w:hAnsi="宋体" w:cs="宋体" w:eastAsia="宋体" w:hint="default"/>
          <w:sz w:val="21"/>
          <w:szCs w:val="21"/>
        </w:rPr>
      </w:pPr>
      <w:r>
        <w:rPr>
          <w:rFonts w:ascii="宋体" w:hAnsi="宋体" w:cs="宋体" w:eastAsia="宋体" w:hint="default"/>
          <w:b/>
          <w:bCs/>
          <w:spacing w:val="-1"/>
          <w:sz w:val="21"/>
          <w:szCs w:val="21"/>
        </w:rPr>
        <w:t>（二十二）</w:t>
        <w:tab/>
        <w:t>应付职工薪酬</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应付职工薪酬明细如下：</w:t>
      </w:r>
    </w:p>
    <w:p>
      <w:pPr>
        <w:spacing w:line="240" w:lineRule="auto" w:before="12"/>
        <w:rPr>
          <w:rFonts w:ascii="宋体" w:hAnsi="宋体" w:cs="宋体" w:eastAsia="宋体" w:hint="default"/>
          <w:sz w:val="10"/>
          <w:szCs w:val="10"/>
        </w:rPr>
      </w:pPr>
    </w:p>
    <w:tbl>
      <w:tblPr>
        <w:tblW w:w="0" w:type="auto"/>
        <w:jc w:val="left"/>
        <w:tblInd w:w="178" w:type="dxa"/>
        <w:tblLayout w:type="fixed"/>
        <w:tblCellMar>
          <w:top w:w="0" w:type="dxa"/>
          <w:left w:w="0" w:type="dxa"/>
          <w:bottom w:w="0" w:type="dxa"/>
          <w:right w:w="0" w:type="dxa"/>
        </w:tblCellMar>
        <w:tblLook w:val="01E0"/>
      </w:tblPr>
      <w:tblGrid>
        <w:gridCol w:w="2343"/>
        <w:gridCol w:w="1656"/>
        <w:gridCol w:w="1676"/>
        <w:gridCol w:w="1676"/>
        <w:gridCol w:w="1558"/>
      </w:tblGrid>
      <w:tr>
        <w:trPr>
          <w:trHeight w:val="362" w:hRule="exact"/>
        </w:trPr>
        <w:tc>
          <w:tcPr>
            <w:tcW w:w="23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3,344,902.41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103,577,217.74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104,743,453.53</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2,178,666.62</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604,618.42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7,675,516.11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7,647,914.58</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632,219.95</w:t>
            </w:r>
          </w:p>
        </w:tc>
      </w:tr>
      <w:tr>
        <w:trPr>
          <w:trHeight w:val="35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679,809.74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16,038,026.14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16,477,798.89</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240,036.99</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5,338.87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4,947,339.56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4,918,050.07</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34,628.36</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481,942.37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9,564,618.61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9,942,172.10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104,388.88</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186,083.82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1,072,701.93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1,159,643.31</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99,142.44</w:t>
            </w:r>
          </w:p>
        </w:tc>
      </w:tr>
      <w:tr>
        <w:trPr>
          <w:trHeight w:val="353"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2,049.58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329,977.74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331,192.31</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835.01</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4"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4,395.10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123,388.30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126,741.10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1,042.30</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2"/>
                <w:sz w:val="18"/>
              </w:rPr>
              <w:t>110,938.87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7,459,803.88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7,472,591.18</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98,151.57</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11,380,392.00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2,394,744.00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8,985,648.00</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2,108,673.12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1,490,411.86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2,226,007.12</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1,373,077.86</w:t>
            </w:r>
          </w:p>
        </w:tc>
      </w:tr>
      <w:tr>
        <w:trPr>
          <w:trHeight w:val="365" w:hRule="exact"/>
        </w:trPr>
        <w:tc>
          <w:tcPr>
            <w:tcW w:w="23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18,229,334.56</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136,240,975.73</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140,962,509.30</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13,507,800.99</w:t>
            </w:r>
            <w:r>
              <w:rPr>
                <w:rFonts w:ascii="Arial"/>
                <w:b/>
                <w:spacing w:val="-1"/>
                <w:sz w:val="18"/>
              </w:rPr>
            </w:r>
            <w:r>
              <w:rPr>
                <w:rFonts w:ascii="Arial"/>
                <w:spacing w:val="-1"/>
                <w:sz w:val="18"/>
              </w:rPr>
            </w:r>
          </w:p>
        </w:tc>
      </w:tr>
    </w:tbl>
    <w:p>
      <w:pPr>
        <w:pStyle w:val="BodyText"/>
        <w:spacing w:line="355" w:lineRule="auto" w:before="86"/>
        <w:ind w:right="1205" w:firstLine="420"/>
        <w:jc w:val="left"/>
      </w:pPr>
      <w:r>
        <w:rPr>
          <w:spacing w:val="-2"/>
        </w:rPr>
        <w:t>注：职工福利费年末数，系子公司浙江华立电子技术有限公司（外商投资企业）从税后利润中</w:t>
      </w:r>
      <w:r>
        <w:rPr>
          <w:w w:val="100"/>
        </w:rPr>
        <w:t> </w:t>
      </w:r>
      <w:r>
        <w:rPr/>
        <w:t>提取的职工奖励及福利基金。</w:t>
      </w:r>
    </w:p>
    <w:p>
      <w:pPr>
        <w:pStyle w:val="Heading4"/>
        <w:tabs>
          <w:tab w:pos="1839" w:val="left" w:leader="none"/>
        </w:tabs>
        <w:spacing w:line="240" w:lineRule="auto" w:before="154"/>
        <w:ind w:right="1205"/>
        <w:jc w:val="left"/>
        <w:rPr>
          <w:b w:val="0"/>
          <w:bCs w:val="0"/>
        </w:rPr>
      </w:pPr>
      <w:r>
        <w:rPr>
          <w:spacing w:val="-1"/>
        </w:rPr>
        <w:t>（二十三）</w:t>
        <w:tab/>
        <w:t>应交税费</w:t>
      </w:r>
      <w:r>
        <w:rPr>
          <w:b w:val="0"/>
          <w:bCs w:val="0"/>
          <w:spacing w:val="-1"/>
        </w:rPr>
      </w:r>
    </w:p>
    <w:p>
      <w:pPr>
        <w:spacing w:line="240" w:lineRule="auto" w:before="5"/>
        <w:rPr>
          <w:rFonts w:ascii="宋体" w:hAnsi="宋体" w:cs="宋体" w:eastAsia="宋体" w:hint="default"/>
          <w:b/>
          <w:bCs/>
          <w:sz w:val="17"/>
          <w:szCs w:val="17"/>
        </w:rPr>
      </w:pPr>
    </w:p>
    <w:tbl>
      <w:tblPr>
        <w:tblW w:w="0" w:type="auto"/>
        <w:jc w:val="left"/>
        <w:tblInd w:w="200" w:type="dxa"/>
        <w:tblLayout w:type="fixed"/>
        <w:tblCellMar>
          <w:top w:w="0" w:type="dxa"/>
          <w:left w:w="0" w:type="dxa"/>
          <w:bottom w:w="0" w:type="dxa"/>
          <w:right w:w="0" w:type="dxa"/>
        </w:tblCellMar>
        <w:tblLook w:val="01E0"/>
      </w:tblPr>
      <w:tblGrid>
        <w:gridCol w:w="2537"/>
        <w:gridCol w:w="3164"/>
        <w:gridCol w:w="3164"/>
      </w:tblGrid>
      <w:tr>
        <w:trPr>
          <w:trHeight w:val="336" w:hRule="exact"/>
        </w:trPr>
        <w:tc>
          <w:tcPr>
            <w:tcW w:w="25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3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31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103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9,555,018.05</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7,077,766.62</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7,400.90</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5,407.95</w:t>
            </w:r>
          </w:p>
        </w:tc>
      </w:tr>
      <w:tr>
        <w:trPr>
          <w:trHeight w:val="329"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sz w:val="18"/>
              </w:rPr>
              <w:t>958,889.24</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5,854,352.45</w:t>
            </w:r>
          </w:p>
        </w:tc>
      </w:tr>
      <w:tr>
        <w:trPr>
          <w:trHeight w:val="334" w:hRule="exact"/>
        </w:trPr>
        <w:tc>
          <w:tcPr>
            <w:tcW w:w="25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291,961.99</w:t>
            </w:r>
          </w:p>
        </w:tc>
        <w:tc>
          <w:tcPr>
            <w:tcW w:w="31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247,638.92</w:t>
            </w:r>
          </w:p>
        </w:tc>
      </w:tr>
    </w:tbl>
    <w:p>
      <w:pPr>
        <w:spacing w:after="0" w:line="240" w:lineRule="auto"/>
        <w:jc w:val="right"/>
        <w:rPr>
          <w:rFonts w:ascii="Arial" w:hAnsi="Arial" w:cs="Arial" w:eastAsia="Arial" w:hint="default"/>
          <w:sz w:val="18"/>
          <w:szCs w:val="18"/>
        </w:rPr>
        <w:sectPr>
          <w:pgSz w:w="11910" w:h="16840"/>
          <w:pgMar w:header="884" w:footer="1013" w:top="1080" w:bottom="1200" w:left="1300" w:right="0"/>
        </w:sectPr>
      </w:pP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2641"/>
        <w:gridCol w:w="3164"/>
        <w:gridCol w:w="3164"/>
      </w:tblGrid>
      <w:tr>
        <w:trPr>
          <w:trHeight w:val="341" w:hRule="exact"/>
        </w:trPr>
        <w:tc>
          <w:tcPr>
            <w:tcW w:w="264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6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771,294.04</w:t>
            </w:r>
          </w:p>
        </w:tc>
        <w:tc>
          <w:tcPr>
            <w:tcW w:w="3164"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1,749,339.51</w:t>
            </w:r>
          </w:p>
        </w:tc>
      </w:tr>
      <w:tr>
        <w:trPr>
          <w:trHeight w:val="329"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sz w:val="18"/>
              </w:rPr>
              <w:t>533,815.96</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1,219,386.86</w:t>
            </w:r>
          </w:p>
        </w:tc>
      </w:tr>
      <w:tr>
        <w:trPr>
          <w:trHeight w:val="334" w:hRule="exact"/>
        </w:trPr>
        <w:tc>
          <w:tcPr>
            <w:tcW w:w="26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2"/>
                <w:sz w:val="18"/>
                <w:u w:val="single" w:color="000000"/>
              </w:rPr>
              <w:t>12,118,380.18</w:t>
            </w:r>
            <w:r>
              <w:rPr>
                <w:rFonts w:ascii="Arial"/>
                <w:b/>
                <w:spacing w:val="-2"/>
                <w:sz w:val="18"/>
              </w:rPr>
            </w:r>
            <w:r>
              <w:rPr>
                <w:rFonts w:ascii="Arial"/>
                <w:spacing w:val="-2"/>
                <w:sz w:val="18"/>
              </w:rPr>
            </w:r>
          </w:p>
        </w:tc>
        <w:tc>
          <w:tcPr>
            <w:tcW w:w="31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16,153,892.31</w:t>
            </w:r>
            <w:r>
              <w:rPr>
                <w:rFonts w:ascii="Arial"/>
                <w:b/>
                <w:spacing w:val="-1"/>
                <w:sz w:val="18"/>
              </w:rPr>
            </w:r>
            <w:r>
              <w:rPr>
                <w:rFonts w:ascii="Arial"/>
                <w:spacing w:val="-1"/>
                <w:sz w:val="18"/>
              </w:rPr>
            </w:r>
          </w:p>
        </w:tc>
      </w:tr>
    </w:tbl>
    <w:p>
      <w:pPr>
        <w:tabs>
          <w:tab w:pos="1859" w:val="left" w:leader="none"/>
        </w:tabs>
        <w:spacing w:before="8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（二十四）</w:t>
        <w:tab/>
        <w:t>应付股利</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535"/>
        <w:gridCol w:w="2110"/>
        <w:gridCol w:w="2108"/>
        <w:gridCol w:w="2108"/>
      </w:tblGrid>
      <w:tr>
        <w:trPr>
          <w:trHeight w:val="336" w:hRule="exact"/>
        </w:trPr>
        <w:tc>
          <w:tcPr>
            <w:tcW w:w="25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1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年未支付原因</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7,926,663.53</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7,926,663.53</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海南禹航投资有限公司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4,233,600.00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4,233,600.00</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其他法人股东</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2,174,764.00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2,496,664.00</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9"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子公司个人股东</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1,525,009.46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1,284,530.80</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34" w:hRule="exact"/>
        </w:trPr>
        <w:tc>
          <w:tcPr>
            <w:tcW w:w="25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15,860,036.99</w:t>
            </w:r>
            <w:r>
              <w:rPr>
                <w:rFonts w:ascii="Arial"/>
                <w:b/>
                <w:spacing w:val="-1"/>
                <w:sz w:val="18"/>
              </w:rPr>
            </w:r>
            <w:r>
              <w:rPr>
                <w:rFonts w:ascii="Arial"/>
                <w:spacing w:val="-1"/>
                <w:sz w:val="18"/>
              </w:rPr>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15,941,458.33</w:t>
            </w:r>
            <w:r>
              <w:rPr>
                <w:rFonts w:ascii="Arial"/>
                <w:b/>
                <w:spacing w:val="-1"/>
                <w:sz w:val="18"/>
              </w:rPr>
            </w:r>
            <w:r>
              <w:rPr>
                <w:rFonts w:ascii="Arial"/>
                <w:spacing w:val="-1"/>
                <w:sz w:val="18"/>
              </w:rPr>
            </w:r>
          </w:p>
        </w:tc>
        <w:tc>
          <w:tcPr>
            <w:tcW w:w="21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tabs>
          <w:tab w:pos="1859" w:val="left" w:leader="none"/>
        </w:tabs>
        <w:spacing w:before="3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（二十五）</w:t>
        <w:tab/>
        <w:t>其他应付款</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15"/>
          <w:szCs w:val="15"/>
        </w:rPr>
      </w:pPr>
    </w:p>
    <w:p>
      <w:pPr>
        <w:pStyle w:val="BodyText"/>
        <w:spacing w:line="316" w:lineRule="auto"/>
        <w:ind w:left="160" w:right="1432" w:firstLine="420"/>
        <w:jc w:val="left"/>
      </w:pPr>
      <w:r>
        <w:rPr/>
        <w:t>（</w:t>
      </w:r>
      <w:r>
        <w:rPr>
          <w:rFonts w:ascii="Arial" w:hAnsi="Arial" w:cs="Arial" w:eastAsia="Arial" w:hint="default"/>
        </w:rPr>
        <w:t>1</w:t>
      </w:r>
      <w:r>
        <w:rPr/>
        <w:t>）本报告期其他应付款中应付持有本公司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w:t>
      </w:r>
      <w:r>
        <w:rPr>
          <w:w w:val="100"/>
        </w:rPr>
        <w:t> </w:t>
      </w:r>
      <w:r>
        <w:rPr/>
        <w:t>方的款项情况</w:t>
      </w:r>
    </w:p>
    <w:p>
      <w:pPr>
        <w:spacing w:line="240" w:lineRule="auto" w:before="6"/>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3289"/>
        <w:gridCol w:w="2796"/>
        <w:gridCol w:w="2799"/>
      </w:tblGrid>
      <w:tr>
        <w:trPr>
          <w:trHeight w:val="365"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855,212.31</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225,494.16</w:t>
            </w:r>
          </w:p>
        </w:tc>
      </w:tr>
      <w:tr>
        <w:trPr>
          <w:trHeight w:val="353"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2,888,891.41</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5,924.30</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30,000.60</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250,000.00</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219,814.83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219,814.83</w:t>
            </w:r>
          </w:p>
        </w:tc>
      </w:tr>
      <w:tr>
        <w:trPr>
          <w:trHeight w:val="365"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4,249,843.45</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445,308.99</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2</w:t>
      </w:r>
      <w:r>
        <w:rPr/>
        <w:t>）金额较大的其他应付款明细列示如下：</w:t>
      </w:r>
    </w:p>
    <w:p>
      <w:pPr>
        <w:spacing w:line="240" w:lineRule="auto" w:before="8"/>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3265"/>
        <w:gridCol w:w="2796"/>
        <w:gridCol w:w="2799"/>
      </w:tblGrid>
      <w:tr>
        <w:trPr>
          <w:trHeight w:val="362" w:hRule="exact"/>
        </w:trPr>
        <w:tc>
          <w:tcPr>
            <w:tcW w:w="32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4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浙江华扬实业发展有限公司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36,932,500.00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浙江恒诚供应链发展有限公司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39,176,033.33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广东柏迪鑫投资有限公司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3,000,000.00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2" w:hRule="exact"/>
        </w:trPr>
        <w:tc>
          <w:tcPr>
            <w:tcW w:w="326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79,108,533.33</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80" w:right="1326"/>
        <w:jc w:val="left"/>
      </w:pPr>
      <w:r>
        <w:rPr/>
        <w:t>（</w:t>
      </w:r>
      <w:r>
        <w:rPr>
          <w:rFonts w:ascii="Arial" w:hAnsi="Arial" w:cs="Arial" w:eastAsia="Arial" w:hint="default"/>
        </w:rPr>
        <w:t>3</w:t>
      </w:r>
      <w:r>
        <w:rPr/>
        <w:t>）账龄超过一年的大额其他应付款的明细如下：</w:t>
      </w:r>
    </w:p>
    <w:p>
      <w:pPr>
        <w:spacing w:line="240" w:lineRule="auto" w:before="13"/>
        <w:rPr>
          <w:rFonts w:ascii="宋体" w:hAnsi="宋体" w:cs="宋体" w:eastAsia="宋体" w:hint="default"/>
          <w:sz w:val="20"/>
          <w:szCs w:val="20"/>
        </w:rPr>
      </w:pPr>
    </w:p>
    <w:tbl>
      <w:tblPr>
        <w:tblW w:w="0" w:type="auto"/>
        <w:jc w:val="left"/>
        <w:tblInd w:w="208" w:type="dxa"/>
        <w:tblLayout w:type="fixed"/>
        <w:tblCellMar>
          <w:top w:w="0" w:type="dxa"/>
          <w:left w:w="0" w:type="dxa"/>
          <w:bottom w:w="0" w:type="dxa"/>
          <w:right w:w="0" w:type="dxa"/>
        </w:tblCellMar>
        <w:tblLook w:val="01E0"/>
      </w:tblPr>
      <w:tblGrid>
        <w:gridCol w:w="2487"/>
        <w:gridCol w:w="2095"/>
        <w:gridCol w:w="2139"/>
        <w:gridCol w:w="2165"/>
      </w:tblGrid>
      <w:tr>
        <w:trPr>
          <w:trHeight w:val="363" w:hRule="exact"/>
        </w:trPr>
        <w:tc>
          <w:tcPr>
            <w:tcW w:w="24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9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1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355" w:hRule="exact"/>
        </w:trPr>
        <w:tc>
          <w:tcPr>
            <w:tcW w:w="24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浙江华扬实业发展有限公司</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34,000,000.00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1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55" w:hRule="exact"/>
        </w:trPr>
        <w:tc>
          <w:tcPr>
            <w:tcW w:w="24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广东柏迪鑫投资有限公司</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3,000,000.00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1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交易事项未结束</w:t>
            </w:r>
          </w:p>
        </w:tc>
      </w:tr>
      <w:tr>
        <w:trPr>
          <w:trHeight w:val="362" w:hRule="exact"/>
        </w:trPr>
        <w:tc>
          <w:tcPr>
            <w:tcW w:w="24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37,000,000.00</w:t>
            </w:r>
            <w:r>
              <w:rPr>
                <w:rFonts w:ascii="Arial"/>
                <w:b/>
                <w:spacing w:val="-1"/>
                <w:sz w:val="18"/>
              </w:rPr>
            </w:r>
            <w:r>
              <w:rPr>
                <w:rFonts w:ascii="Arial"/>
                <w:spacing w:val="-1"/>
                <w:sz w:val="18"/>
              </w:rPr>
            </w:r>
          </w:p>
        </w:tc>
        <w:tc>
          <w:tcPr>
            <w:tcW w:w="2139" w:type="dxa"/>
            <w:tcBorders>
              <w:top w:val="single" w:sz="6" w:space="0" w:color="000000"/>
              <w:left w:val="single" w:sz="6" w:space="0" w:color="000000"/>
              <w:bottom w:val="single" w:sz="12" w:space="0" w:color="000000"/>
              <w:right w:val="single" w:sz="6" w:space="0" w:color="000000"/>
            </w:tcBorders>
          </w:tcPr>
          <w:p>
            <w:pPr/>
          </w:p>
        </w:tc>
        <w:tc>
          <w:tcPr>
            <w:tcW w:w="2165" w:type="dxa"/>
            <w:tcBorders>
              <w:top w:val="single" w:sz="6" w:space="0" w:color="000000"/>
              <w:left w:val="single" w:sz="6" w:space="0" w:color="000000"/>
              <w:bottom w:val="single" w:sz="12" w:space="0" w:color="000000"/>
              <w:right w:val="nil" w:sz="6" w:space="0" w:color="auto"/>
            </w:tcBorders>
          </w:tcPr>
          <w:p>
            <w:pPr/>
          </w:p>
        </w:tc>
      </w:tr>
    </w:tbl>
    <w:p>
      <w:pPr>
        <w:pStyle w:val="Heading4"/>
        <w:tabs>
          <w:tab w:pos="1859" w:val="left" w:leader="none"/>
        </w:tabs>
        <w:spacing w:line="240" w:lineRule="auto" w:before="86"/>
        <w:ind w:left="580" w:right="1326"/>
        <w:jc w:val="left"/>
        <w:rPr>
          <w:b w:val="0"/>
          <w:bCs w:val="0"/>
        </w:rPr>
      </w:pPr>
      <w:r>
        <w:rPr>
          <w:spacing w:val="-1"/>
        </w:rPr>
        <w:t>（二十六）</w:t>
        <w:tab/>
        <w:t>一年内到期的非流动负债</w:t>
      </w:r>
      <w:r>
        <w:rPr>
          <w:b w:val="0"/>
          <w:bCs w:val="0"/>
          <w:spacing w:val="-1"/>
        </w:rPr>
      </w:r>
    </w:p>
    <w:p>
      <w:pPr>
        <w:spacing w:line="240" w:lineRule="auto" w:before="12"/>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）一年内到期的非流动负债明细如下：</w:t>
      </w:r>
    </w:p>
    <w:p>
      <w:pPr>
        <w:spacing w:line="240" w:lineRule="auto" w:before="11"/>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2921"/>
        <w:gridCol w:w="3209"/>
        <w:gridCol w:w="2734"/>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5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年内到期的长期借款</w:t>
            </w:r>
          </w:p>
        </w:tc>
        <w:tc>
          <w:tcPr>
            <w:tcW w:w="32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1939" w:right="0"/>
              <w:jc w:val="left"/>
              <w:rPr>
                <w:rFonts w:ascii="Arial" w:hAnsi="Arial" w:cs="Arial" w:eastAsia="Arial" w:hint="default"/>
                <w:sz w:val="18"/>
                <w:szCs w:val="18"/>
              </w:rPr>
            </w:pPr>
            <w:r>
              <w:rPr>
                <w:rFonts w:ascii="Arial"/>
                <w:sz w:val="18"/>
              </w:rPr>
              <w:t>91,000,000.00</w:t>
            </w:r>
          </w:p>
        </w:tc>
        <w:tc>
          <w:tcPr>
            <w:tcW w:w="2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left="1366" w:right="0"/>
              <w:jc w:val="left"/>
              <w:rPr>
                <w:rFonts w:ascii="Arial" w:hAnsi="Arial" w:cs="Arial" w:eastAsia="Arial" w:hint="default"/>
                <w:sz w:val="18"/>
                <w:szCs w:val="18"/>
              </w:rPr>
            </w:pPr>
            <w:r>
              <w:rPr>
                <w:rFonts w:ascii="Arial"/>
                <w:sz w:val="18"/>
              </w:rPr>
              <w:t>122,000,000.00</w:t>
            </w:r>
          </w:p>
        </w:tc>
      </w:tr>
    </w:tbl>
    <w:p>
      <w:pPr>
        <w:spacing w:after="0" w:line="240" w:lineRule="auto"/>
        <w:jc w:val="lef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025"/>
        <w:gridCol w:w="3209"/>
        <w:gridCol w:w="2734"/>
      </w:tblGrid>
      <w:tr>
        <w:trPr>
          <w:trHeight w:val="379" w:hRule="exact"/>
        </w:trPr>
        <w:tc>
          <w:tcPr>
            <w:tcW w:w="3025" w:type="dxa"/>
            <w:tcBorders>
              <w:top w:val="single" w:sz="17" w:space="0" w:color="000000"/>
              <w:left w:val="nil" w:sz="6" w:space="0" w:color="auto"/>
              <w:bottom w:val="single" w:sz="12" w:space="0" w:color="000000"/>
              <w:right w:val="single" w:sz="6" w:space="0" w:color="000000"/>
            </w:tcBorders>
          </w:tcPr>
          <w:p>
            <w:pPr>
              <w:pStyle w:val="TableParagraph"/>
              <w:spacing w:line="240" w:lineRule="auto" w:before="22"/>
              <w:ind w:left="1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61"/>
              <w:ind w:left="1939" w:right="0"/>
              <w:jc w:val="left"/>
              <w:rPr>
                <w:rFonts w:ascii="Arial" w:hAnsi="Arial" w:cs="Arial" w:eastAsia="Arial" w:hint="default"/>
                <w:sz w:val="18"/>
                <w:szCs w:val="18"/>
              </w:rPr>
            </w:pPr>
            <w:r>
              <w:rPr>
                <w:rFonts w:ascii="Arial"/>
                <w:b/>
                <w:w w:val="99"/>
                <w:sz w:val="18"/>
              </w:rPr>
            </w:r>
            <w:r>
              <w:rPr>
                <w:rFonts w:ascii="Arial"/>
                <w:b/>
                <w:sz w:val="18"/>
                <w:u w:val="single" w:color="000000"/>
              </w:rPr>
              <w:t>91,000,000.00</w:t>
            </w:r>
            <w:r>
              <w:rPr>
                <w:rFonts w:ascii="Arial"/>
                <w:b/>
                <w:sz w:val="18"/>
              </w:rPr>
            </w:r>
            <w:r>
              <w:rPr>
                <w:rFonts w:ascii="Arial"/>
                <w:sz w:val="18"/>
              </w:rPr>
            </w:r>
          </w:p>
        </w:tc>
        <w:tc>
          <w:tcPr>
            <w:tcW w:w="2734" w:type="dxa"/>
            <w:tcBorders>
              <w:top w:val="single" w:sz="17" w:space="0" w:color="000000"/>
              <w:left w:val="single" w:sz="6" w:space="0" w:color="000000"/>
              <w:bottom w:val="single" w:sz="12" w:space="0" w:color="000000"/>
              <w:right w:val="nil" w:sz="6" w:space="0" w:color="auto"/>
            </w:tcBorders>
          </w:tcPr>
          <w:p>
            <w:pPr>
              <w:pStyle w:val="TableParagraph"/>
              <w:spacing w:line="240" w:lineRule="auto" w:before="61"/>
              <w:ind w:left="1366" w:right="0"/>
              <w:jc w:val="left"/>
              <w:rPr>
                <w:rFonts w:ascii="Arial" w:hAnsi="Arial" w:cs="Arial" w:eastAsia="Arial" w:hint="default"/>
                <w:sz w:val="18"/>
                <w:szCs w:val="18"/>
              </w:rPr>
            </w:pPr>
            <w:r>
              <w:rPr>
                <w:rFonts w:ascii="Arial"/>
                <w:b/>
                <w:w w:val="99"/>
                <w:sz w:val="18"/>
              </w:rPr>
            </w:r>
            <w:r>
              <w:rPr>
                <w:rFonts w:ascii="Arial"/>
                <w:b/>
                <w:sz w:val="18"/>
                <w:u w:val="single" w:color="000000"/>
              </w:rPr>
              <w:t>122,000,000.00</w:t>
            </w:r>
            <w:r>
              <w:rPr>
                <w:rFonts w:ascii="Arial"/>
                <w:b/>
                <w:sz w:val="18"/>
              </w:rPr>
            </w:r>
            <w:r>
              <w:rPr>
                <w:rFonts w:ascii="Arial"/>
                <w:sz w:val="18"/>
              </w:rPr>
            </w:r>
          </w:p>
        </w:tc>
      </w:tr>
    </w:tbl>
    <w:p>
      <w:pPr>
        <w:pStyle w:val="BodyText"/>
        <w:spacing w:line="240" w:lineRule="auto" w:before="86"/>
        <w:ind w:left="580" w:right="1326"/>
        <w:jc w:val="left"/>
      </w:pPr>
      <w:r>
        <w:rPr/>
        <w:t>（</w:t>
      </w:r>
      <w:r>
        <w:rPr>
          <w:rFonts w:ascii="Arial" w:hAnsi="Arial" w:cs="Arial" w:eastAsia="Arial" w:hint="default"/>
        </w:rPr>
        <w:t>2</w:t>
      </w:r>
      <w:r>
        <w:rPr/>
        <w:t>）</w:t>
      </w:r>
      <w:r>
        <w:rPr>
          <w:rFonts w:ascii="Arial" w:hAnsi="Arial" w:cs="Arial" w:eastAsia="Arial" w:hint="default"/>
        </w:rPr>
        <w:t>1</w:t>
      </w:r>
      <w:r>
        <w:rPr>
          <w:rFonts w:ascii="Arial" w:hAnsi="Arial" w:cs="Arial" w:eastAsia="Arial" w:hint="default"/>
          <w:spacing w:val="-11"/>
        </w:rPr>
        <w:t> </w:t>
      </w:r>
      <w:r>
        <w:rPr/>
        <w:t>年内到期的长期借款</w:t>
      </w:r>
    </w:p>
    <w:p>
      <w:pPr>
        <w:spacing w:line="240" w:lineRule="auto" w:before="3"/>
        <w:rPr>
          <w:rFonts w:ascii="宋体" w:hAnsi="宋体" w:cs="宋体" w:eastAsia="宋体" w:hint="default"/>
          <w:sz w:val="18"/>
          <w:szCs w:val="18"/>
        </w:rPr>
      </w:pPr>
    </w:p>
    <w:p>
      <w:pPr>
        <w:pStyle w:val="BodyText"/>
        <w:spacing w:line="240" w:lineRule="auto"/>
        <w:ind w:left="580" w:right="1326"/>
        <w:jc w:val="left"/>
      </w:pPr>
      <w:r>
        <w:rPr>
          <w:rFonts w:ascii="Arial" w:hAnsi="Arial" w:cs="Arial" w:eastAsia="Arial" w:hint="default"/>
        </w:rPr>
        <w:t>A</w:t>
      </w:r>
      <w:r>
        <w:rPr/>
        <w:t>、</w:t>
      </w:r>
      <w:r>
        <w:rPr>
          <w:rFonts w:ascii="Arial" w:hAnsi="Arial" w:cs="Arial" w:eastAsia="Arial" w:hint="default"/>
        </w:rPr>
        <w:t>1</w:t>
      </w:r>
      <w:r>
        <w:rPr>
          <w:rFonts w:ascii="Arial" w:hAnsi="Arial" w:cs="Arial" w:eastAsia="Arial" w:hint="default"/>
          <w:spacing w:val="-8"/>
        </w:rPr>
        <w:t> </w:t>
      </w:r>
      <w:r>
        <w:rPr/>
        <w:t>年内到期的长期借款明细如下：</w:t>
      </w:r>
    </w:p>
    <w:p>
      <w:pPr>
        <w:spacing w:line="240" w:lineRule="auto" w:before="11"/>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2921"/>
        <w:gridCol w:w="3209"/>
        <w:gridCol w:w="2734"/>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105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81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91,000,000.00</w:t>
            </w:r>
          </w:p>
        </w:tc>
        <w:tc>
          <w:tcPr>
            <w:tcW w:w="2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22,000,000.00</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9" w:type="dxa"/>
            <w:tcBorders>
              <w:top w:val="single" w:sz="6" w:space="0" w:color="000000"/>
              <w:left w:val="single" w:sz="6" w:space="0" w:color="000000"/>
              <w:bottom w:val="single" w:sz="6" w:space="0" w:color="000000"/>
              <w:right w:val="single" w:sz="6" w:space="0" w:color="000000"/>
            </w:tcBorders>
          </w:tcPr>
          <w:p>
            <w:pPr/>
          </w:p>
        </w:tc>
        <w:tc>
          <w:tcPr>
            <w:tcW w:w="2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100,000,000.00</w:t>
            </w: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91,000,000.00</w:t>
            </w:r>
            <w:r>
              <w:rPr>
                <w:rFonts w:ascii="Arial"/>
                <w:b/>
                <w:spacing w:val="-1"/>
                <w:sz w:val="18"/>
              </w:rPr>
            </w:r>
            <w:r>
              <w:rPr>
                <w:rFonts w:ascii="Arial"/>
                <w:spacing w:val="-1"/>
                <w:sz w:val="18"/>
              </w:rPr>
            </w:r>
          </w:p>
        </w:tc>
        <w:tc>
          <w:tcPr>
            <w:tcW w:w="2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122,000,000.00</w:t>
            </w:r>
            <w:r>
              <w:rPr>
                <w:rFonts w:ascii="Arial"/>
                <w:b/>
                <w:spacing w:val="-1"/>
                <w:sz w:val="18"/>
              </w:rPr>
            </w:r>
            <w:r>
              <w:rPr>
                <w:rFonts w:ascii="Arial"/>
                <w:spacing w:val="-1"/>
                <w:sz w:val="18"/>
              </w:rPr>
            </w:r>
          </w:p>
        </w:tc>
      </w:tr>
    </w:tbl>
    <w:p>
      <w:pPr>
        <w:pStyle w:val="BodyText"/>
        <w:spacing w:line="240" w:lineRule="auto" w:before="86"/>
        <w:ind w:left="585" w:right="1326"/>
        <w:jc w:val="left"/>
      </w:pPr>
      <w:r>
        <w:rPr/>
        <w:t>公司以账面价值为</w:t>
      </w:r>
      <w:r>
        <w:rPr>
          <w:spacing w:val="-75"/>
        </w:rPr>
        <w:t> </w:t>
      </w:r>
      <w:r>
        <w:rPr>
          <w:rFonts w:ascii="Arial" w:hAnsi="Arial" w:cs="Arial" w:eastAsia="Arial" w:hint="default"/>
        </w:rPr>
        <w:t>224,878,938.72</w:t>
      </w:r>
      <w:r>
        <w:rPr>
          <w:rFonts w:ascii="Arial" w:hAnsi="Arial" w:cs="Arial" w:eastAsia="Arial" w:hint="default"/>
          <w:spacing w:val="-30"/>
        </w:rPr>
        <w:t> </w:t>
      </w:r>
      <w:r>
        <w:rPr/>
        <w:t>元的房屋建筑物及账面价值为</w:t>
      </w:r>
      <w:r>
        <w:rPr>
          <w:spacing w:val="-74"/>
        </w:rPr>
        <w:t> </w:t>
      </w:r>
      <w:r>
        <w:rPr>
          <w:rFonts w:ascii="Arial" w:hAnsi="Arial" w:cs="Arial" w:eastAsia="Arial" w:hint="default"/>
        </w:rPr>
        <w:t>45,765,199.88</w:t>
      </w:r>
      <w:r>
        <w:rPr>
          <w:rFonts w:ascii="Arial" w:hAnsi="Arial" w:cs="Arial" w:eastAsia="Arial" w:hint="default"/>
          <w:spacing w:val="-26"/>
        </w:rPr>
        <w:t> </w:t>
      </w:r>
      <w:r>
        <w:rPr/>
        <w:t>元的土地使用</w:t>
      </w:r>
    </w:p>
    <w:p>
      <w:pPr>
        <w:pStyle w:val="BodyText"/>
        <w:spacing w:line="240" w:lineRule="auto" w:before="80"/>
        <w:ind w:left="160" w:right="1326"/>
        <w:jc w:val="left"/>
      </w:pPr>
      <w:r>
        <w:rPr/>
        <w:t>权为</w:t>
      </w:r>
      <w:r>
        <w:rPr>
          <w:spacing w:val="-55"/>
        </w:rPr>
        <w:t> </w:t>
      </w:r>
      <w:r>
        <w:rPr>
          <w:rFonts w:ascii="Arial" w:hAnsi="Arial" w:cs="Arial" w:eastAsia="Arial" w:hint="default"/>
        </w:rPr>
        <w:t>9,100.00</w:t>
      </w:r>
      <w:r>
        <w:rPr>
          <w:rFonts w:ascii="Arial" w:hAnsi="Arial" w:cs="Arial" w:eastAsia="Arial" w:hint="default"/>
          <w:spacing w:val="-8"/>
        </w:rPr>
        <w:t> </w:t>
      </w:r>
      <w:r>
        <w:rPr/>
        <w:t>万元长期借款提供抵押担保。</w:t>
      </w:r>
    </w:p>
    <w:p>
      <w:pPr>
        <w:pStyle w:val="BodyText"/>
        <w:spacing w:line="240" w:lineRule="auto" w:before="197"/>
        <w:ind w:left="580" w:right="1326"/>
        <w:jc w:val="left"/>
      </w:pPr>
      <w:r>
        <w:rPr>
          <w:rFonts w:ascii="Arial" w:hAnsi="Arial" w:cs="Arial" w:eastAsia="Arial" w:hint="default"/>
        </w:rPr>
        <w:t>B</w:t>
      </w:r>
      <w:r>
        <w:rPr/>
        <w:t>、</w:t>
      </w:r>
      <w:r>
        <w:rPr>
          <w:rFonts w:ascii="Arial" w:hAnsi="Arial" w:cs="Arial" w:eastAsia="Arial" w:hint="default"/>
        </w:rPr>
        <w:t>1</w:t>
      </w:r>
      <w:r>
        <w:rPr>
          <w:rFonts w:ascii="Arial" w:hAnsi="Arial" w:cs="Arial" w:eastAsia="Arial" w:hint="default"/>
          <w:spacing w:val="-11"/>
        </w:rPr>
        <w:t> </w:t>
      </w:r>
      <w:r>
        <w:rPr/>
        <w:t>年内到期的长期借款按贷款单位列示如下：</w:t>
      </w: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588"/>
        <w:gridCol w:w="1315"/>
        <w:gridCol w:w="1071"/>
        <w:gridCol w:w="986"/>
        <w:gridCol w:w="1325"/>
        <w:gridCol w:w="1779"/>
      </w:tblGrid>
      <w:tr>
        <w:trPr>
          <w:trHeight w:val="502" w:hRule="exact"/>
        </w:trPr>
        <w:tc>
          <w:tcPr>
            <w:tcW w:w="25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1"/>
              <w:ind w:left="20"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79" w:right="379" w:firstLine="88"/>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7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56" w:right="257" w:firstLine="91"/>
              <w:jc w:val="left"/>
              <w:rPr>
                <w:rFonts w:ascii="宋体" w:hAnsi="宋体" w:cs="宋体" w:eastAsia="宋体" w:hint="default"/>
                <w:sz w:val="18"/>
                <w:szCs w:val="18"/>
              </w:rPr>
            </w:pPr>
            <w:r>
              <w:rPr>
                <w:rFonts w:ascii="宋体" w:hAnsi="宋体" w:cs="宋体" w:eastAsia="宋体" w:hint="default"/>
                <w:sz w:val="18"/>
                <w:szCs w:val="18"/>
              </w:rPr>
              <w:t>借款 终止日</w:t>
            </w:r>
          </w:p>
        </w:tc>
        <w:tc>
          <w:tcPr>
            <w:tcW w:w="9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22"/>
              <w:jc w:val="right"/>
              <w:rPr>
                <w:rFonts w:ascii="宋体" w:hAnsi="宋体" w:cs="宋体" w:eastAsia="宋体" w:hint="default"/>
                <w:sz w:val="18"/>
                <w:szCs w:val="18"/>
              </w:rPr>
            </w:pPr>
            <w:r>
              <w:rPr>
                <w:rFonts w:ascii="宋体" w:hAnsi="宋体" w:cs="宋体" w:eastAsia="宋体" w:hint="default"/>
                <w:w w:val="95"/>
                <w:sz w:val="18"/>
                <w:szCs w:val="18"/>
              </w:rPr>
              <w:t>年利率（</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7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left="34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中国工商银行杭州余杭支行</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18"/>
                <w:szCs w:val="18"/>
              </w:rPr>
            </w:pPr>
            <w:r>
              <w:rPr>
                <w:rFonts w:ascii="Arial"/>
                <w:sz w:val="18"/>
              </w:rPr>
              <w:t>2005-6-30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18"/>
                <w:szCs w:val="18"/>
              </w:rPr>
            </w:pPr>
            <w:r>
              <w:rPr>
                <w:rFonts w:ascii="Arial"/>
                <w:sz w:val="18"/>
              </w:rPr>
              <w:t>2011-6-29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Arial" w:hAnsi="Arial" w:cs="Arial" w:eastAsia="Arial" w:hint="default"/>
                <w:sz w:val="18"/>
                <w:szCs w:val="18"/>
              </w:rPr>
            </w:pPr>
            <w:r>
              <w:rPr>
                <w:rFonts w:ascii="Arial"/>
                <w:spacing w:val="-1"/>
                <w:sz w:val="18"/>
              </w:rPr>
              <w:t>6.2268</w:t>
            </w:r>
          </w:p>
        </w:tc>
        <w:tc>
          <w:tcPr>
            <w:tcW w:w="17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31,000,000.00</w:t>
            </w:r>
          </w:p>
        </w:tc>
      </w:tr>
      <w:tr>
        <w:trPr>
          <w:trHeight w:val="355" w:hRule="exact"/>
        </w:trPr>
        <w:tc>
          <w:tcPr>
            <w:tcW w:w="2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中国工商银行杭州余杭支行</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2006-3-16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2011-3-10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6.0480</w:t>
            </w:r>
          </w:p>
        </w:tc>
        <w:tc>
          <w:tcPr>
            <w:tcW w:w="17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20,000,000.00</w:t>
            </w:r>
          </w:p>
        </w:tc>
      </w:tr>
      <w:tr>
        <w:trPr>
          <w:trHeight w:val="355" w:hRule="exact"/>
        </w:trPr>
        <w:tc>
          <w:tcPr>
            <w:tcW w:w="2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中国农业银行杭州西湖支行</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2006-5-10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2011-5-09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5.7600</w:t>
            </w:r>
          </w:p>
        </w:tc>
        <w:tc>
          <w:tcPr>
            <w:tcW w:w="17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40,000,000.00</w:t>
            </w:r>
          </w:p>
        </w:tc>
      </w:tr>
      <w:tr>
        <w:trPr>
          <w:trHeight w:val="365" w:hRule="exact"/>
        </w:trPr>
        <w:tc>
          <w:tcPr>
            <w:tcW w:w="2588"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6" w:space="0" w:color="000000"/>
              <w:left w:val="single" w:sz="6" w:space="0" w:color="000000"/>
              <w:bottom w:val="single" w:sz="12" w:space="0" w:color="000000"/>
              <w:right w:val="single" w:sz="6" w:space="0" w:color="000000"/>
            </w:tcBorders>
          </w:tcPr>
          <w:p>
            <w:pPr/>
          </w:p>
        </w:tc>
        <w:tc>
          <w:tcPr>
            <w:tcW w:w="1071" w:type="dxa"/>
            <w:tcBorders>
              <w:top w:val="single" w:sz="6" w:space="0" w:color="000000"/>
              <w:left w:val="single" w:sz="6" w:space="0" w:color="000000"/>
              <w:bottom w:val="single" w:sz="12" w:space="0" w:color="000000"/>
              <w:right w:val="single" w:sz="6" w:space="0" w:color="000000"/>
            </w:tcBorders>
          </w:tcPr>
          <w:p>
            <w:pPr/>
          </w:p>
        </w:tc>
        <w:tc>
          <w:tcPr>
            <w:tcW w:w="986"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7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91,000,000.00</w:t>
            </w:r>
            <w:r>
              <w:rPr>
                <w:rFonts w:ascii="Arial"/>
                <w:b/>
                <w:spacing w:val="-1"/>
                <w:sz w:val="18"/>
              </w:rPr>
            </w:r>
            <w:r>
              <w:rPr>
                <w:rFonts w:ascii="Arial"/>
                <w:spacing w:val="-1"/>
                <w:sz w:val="18"/>
              </w:rPr>
            </w:r>
          </w:p>
        </w:tc>
      </w:tr>
    </w:tbl>
    <w:p>
      <w:pPr>
        <w:pStyle w:val="Heading4"/>
        <w:tabs>
          <w:tab w:pos="1859" w:val="left" w:leader="none"/>
        </w:tabs>
        <w:spacing w:line="240" w:lineRule="auto" w:before="86"/>
        <w:ind w:left="580" w:right="1326"/>
        <w:jc w:val="left"/>
        <w:rPr>
          <w:b w:val="0"/>
          <w:bCs w:val="0"/>
        </w:rPr>
      </w:pPr>
      <w:r>
        <w:rPr>
          <w:spacing w:val="-1"/>
        </w:rPr>
        <w:t>（二十七）</w:t>
        <w:tab/>
      </w:r>
      <w:r>
        <w:rPr/>
        <w:t>股本</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left="580" w:right="1326"/>
        <w:jc w:val="left"/>
      </w:pPr>
      <w:r>
        <w:rPr/>
        <w:t>（</w:t>
      </w:r>
      <w:r>
        <w:rPr>
          <w:rFonts w:ascii="Arial" w:hAnsi="Arial" w:cs="Arial" w:eastAsia="Arial" w:hint="default"/>
        </w:rPr>
        <w:t>1</w:t>
      </w:r>
      <w:r>
        <w:rPr/>
        <w:t>）本年股本变动情况如下：</w:t>
      </w:r>
    </w:p>
    <w:p>
      <w:pPr>
        <w:spacing w:line="240" w:lineRule="auto" w:before="5"/>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057"/>
        <w:gridCol w:w="1069"/>
        <w:gridCol w:w="715"/>
        <w:gridCol w:w="698"/>
        <w:gridCol w:w="435"/>
        <w:gridCol w:w="581"/>
        <w:gridCol w:w="792"/>
        <w:gridCol w:w="862"/>
        <w:gridCol w:w="1085"/>
        <w:gridCol w:w="806"/>
      </w:tblGrid>
      <w:tr>
        <w:trPr>
          <w:trHeight w:val="377" w:hRule="exact"/>
        </w:trPr>
        <w:tc>
          <w:tcPr>
            <w:tcW w:w="205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78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34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36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本 期 增 减</w:t>
            </w:r>
          </w:p>
        </w:tc>
        <w:tc>
          <w:tcPr>
            <w:tcW w:w="189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39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838" w:hRule="exact"/>
        </w:trPr>
        <w:tc>
          <w:tcPr>
            <w:tcW w:w="2057" w:type="dxa"/>
            <w:vMerge/>
            <w:tcBorders>
              <w:left w:val="nil" w:sz="6" w:space="0" w:color="auto"/>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249" w:right="72"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32"/>
              <w:ind w:left="100" w:right="10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股数</w:t>
            </w:r>
          </w:p>
        </w:tc>
        <w:tc>
          <w:tcPr>
            <w:tcW w:w="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7"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国家持股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国有法人持股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其他内资持股</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Arial" w:hAnsi="Arial" w:cs="Arial" w:eastAsia="Arial" w:hint="default"/>
                <w:sz w:val="18"/>
                <w:szCs w:val="18"/>
              </w:rPr>
            </w:pPr>
            <w:r>
              <w:rPr>
                <w:rFonts w:ascii="Arial"/>
                <w:w w:val="95"/>
                <w:sz w:val="18"/>
              </w:rPr>
              <w:t>0.01</w:t>
            </w:r>
            <w:r>
              <w:rPr>
                <w:rFonts w:ascii="Arial"/>
                <w:sz w:val="18"/>
              </w:rPr>
            </w: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16" w:right="0"/>
              <w:jc w:val="left"/>
              <w:rPr>
                <w:rFonts w:ascii="Arial" w:hAnsi="Arial" w:cs="Arial" w:eastAsia="Arial" w:hint="default"/>
                <w:sz w:val="18"/>
                <w:szCs w:val="18"/>
              </w:rPr>
            </w:pPr>
            <w:r>
              <w:rPr>
                <w:rFonts w:ascii="Arial"/>
                <w:sz w:val="18"/>
              </w:rPr>
              <w:t>-58,680</w:t>
            </w: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602"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4"/>
              <w:ind w:left="43" w:right="21"/>
              <w:jc w:val="left"/>
              <w:rPr>
                <w:rFonts w:ascii="宋体" w:hAnsi="宋体" w:cs="宋体" w:eastAsia="宋体" w:hint="default"/>
                <w:sz w:val="18"/>
                <w:szCs w:val="18"/>
              </w:rPr>
            </w:pPr>
            <w:r>
              <w:rPr>
                <w:rFonts w:ascii="宋体" w:hAnsi="宋体" w:cs="宋体" w:eastAsia="宋体" w:hint="default"/>
                <w:sz w:val="18"/>
                <w:szCs w:val="18"/>
              </w:rPr>
              <w:t>其中：境内非国有法人持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Arial" w:hAnsi="Arial" w:cs="Arial" w:eastAsia="Arial" w:hint="default"/>
                <w:sz w:val="18"/>
                <w:szCs w:val="18"/>
              </w:rPr>
            </w:pPr>
            <w:r>
              <w:rPr>
                <w:rFonts w:ascii="Arial"/>
                <w:w w:val="95"/>
                <w:sz w:val="18"/>
              </w:rPr>
              <w:t>0.01</w:t>
            </w:r>
            <w:r>
              <w:rPr>
                <w:rFonts w:ascii="Arial"/>
                <w:sz w:val="18"/>
              </w:rPr>
            </w: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16" w:right="0"/>
              <w:jc w:val="left"/>
              <w:rPr>
                <w:rFonts w:ascii="Arial" w:hAnsi="Arial" w:cs="Arial" w:eastAsia="Arial" w:hint="default"/>
                <w:sz w:val="18"/>
                <w:szCs w:val="18"/>
              </w:rPr>
            </w:pPr>
            <w:r>
              <w:rPr>
                <w:rFonts w:ascii="Arial"/>
                <w:sz w:val="18"/>
              </w:rPr>
              <w:t>-58,680</w:t>
            </w: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68"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．境外持股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4"/>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Arial" w:hAnsi="Arial" w:cs="Arial" w:eastAsia="Arial" w:hint="default"/>
                <w:sz w:val="18"/>
                <w:szCs w:val="18"/>
              </w:rPr>
            </w:pPr>
            <w:r>
              <w:rPr>
                <w:rFonts w:ascii="Arial"/>
                <w:w w:val="95"/>
                <w:sz w:val="18"/>
              </w:rPr>
              <w:t>0.01</w:t>
            </w:r>
            <w:r>
              <w:rPr>
                <w:rFonts w:ascii="Arial"/>
                <w:sz w:val="18"/>
              </w:rPr>
            </w: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16" w:right="0"/>
              <w:jc w:val="left"/>
              <w:rPr>
                <w:rFonts w:ascii="Arial" w:hAnsi="Arial" w:cs="Arial" w:eastAsia="Arial" w:hint="default"/>
                <w:sz w:val="18"/>
                <w:szCs w:val="18"/>
              </w:rPr>
            </w:pPr>
            <w:r>
              <w:rPr>
                <w:rFonts w:ascii="Arial"/>
                <w:sz w:val="18"/>
              </w:rPr>
              <w:t>-58,680</w:t>
            </w: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人民币普通股</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487,673,315</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Arial" w:hAnsi="Arial" w:cs="Arial" w:eastAsia="Arial" w:hint="default"/>
                <w:sz w:val="18"/>
                <w:szCs w:val="18"/>
              </w:rPr>
            </w:pPr>
            <w:r>
              <w:rPr>
                <w:rFonts w:ascii="Arial"/>
                <w:w w:val="95"/>
                <w:sz w:val="18"/>
              </w:rPr>
              <w:t>99.99</w:t>
            </w:r>
            <w:r>
              <w:rPr>
                <w:rFonts w:ascii="Arial"/>
                <w:sz w:val="18"/>
              </w:rPr>
            </w: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spacing w:val="-1"/>
                <w:sz w:val="18"/>
              </w:rPr>
              <w:t>58,680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76" w:right="0"/>
              <w:jc w:val="left"/>
              <w:rPr>
                <w:rFonts w:ascii="Arial" w:hAnsi="Arial" w:cs="Arial" w:eastAsia="Arial" w:hint="default"/>
                <w:sz w:val="18"/>
                <w:szCs w:val="18"/>
              </w:rPr>
            </w:pPr>
            <w:r>
              <w:rPr>
                <w:rFonts w:ascii="Arial"/>
                <w:sz w:val="18"/>
              </w:rPr>
              <w:t>58,680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 w:right="0"/>
              <w:jc w:val="center"/>
              <w:rPr>
                <w:rFonts w:ascii="Arial" w:hAnsi="Arial" w:cs="Arial" w:eastAsia="Arial" w:hint="default"/>
                <w:sz w:val="18"/>
                <w:szCs w:val="18"/>
              </w:rPr>
            </w:pPr>
            <w:r>
              <w:rPr>
                <w:rFonts w:ascii="Arial"/>
                <w:sz w:val="18"/>
              </w:rPr>
              <w:t>487,731,995</w:t>
            </w:r>
          </w:p>
        </w:tc>
        <w:tc>
          <w:tcPr>
            <w:tcW w:w="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220" w:right="0"/>
              <w:jc w:val="left"/>
              <w:rPr>
                <w:rFonts w:ascii="Arial" w:hAnsi="Arial" w:cs="Arial" w:eastAsia="Arial" w:hint="default"/>
                <w:sz w:val="18"/>
                <w:szCs w:val="18"/>
              </w:rPr>
            </w:pPr>
            <w:r>
              <w:rPr>
                <w:rFonts w:ascii="Arial"/>
                <w:sz w:val="18"/>
              </w:rPr>
              <w:t>100.00</w:t>
            </w: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境内上市的外资股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境外上市的外资股</w:t>
            </w:r>
          </w:p>
        </w:tc>
        <w:tc>
          <w:tcPr>
            <w:tcW w:w="106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nil" w:sz="6" w:space="0" w:color="auto"/>
            </w:tcBorders>
          </w:tcPr>
          <w:p>
            <w:pPr/>
          </w:p>
        </w:tc>
      </w:tr>
      <w:tr>
        <w:trPr>
          <w:trHeight w:val="377" w:hRule="exact"/>
        </w:trPr>
        <w:tc>
          <w:tcPr>
            <w:tcW w:w="20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1"/>
                <w:sz w:val="18"/>
                <w:szCs w:val="18"/>
              </w:rPr>
              <w:t> </w:t>
            </w:r>
            <w:r>
              <w:rPr>
                <w:rFonts w:ascii="宋体" w:hAnsi="宋体" w:cs="宋体" w:eastAsia="宋体" w:hint="default"/>
                <w:sz w:val="18"/>
                <w:szCs w:val="18"/>
              </w:rPr>
              <w:t>其他</w:t>
            </w:r>
          </w:p>
        </w:tc>
        <w:tc>
          <w:tcPr>
            <w:tcW w:w="1069" w:type="dxa"/>
            <w:tcBorders>
              <w:top w:val="single" w:sz="6" w:space="0" w:color="000000"/>
              <w:left w:val="single" w:sz="6" w:space="0" w:color="000000"/>
              <w:bottom w:val="single" w:sz="12" w:space="0" w:color="000000"/>
              <w:right w:val="single" w:sz="6" w:space="0" w:color="000000"/>
            </w:tcBorders>
          </w:tcPr>
          <w:p>
            <w:pPr/>
          </w:p>
        </w:tc>
        <w:tc>
          <w:tcPr>
            <w:tcW w:w="715" w:type="dxa"/>
            <w:tcBorders>
              <w:top w:val="single" w:sz="6" w:space="0" w:color="000000"/>
              <w:left w:val="single" w:sz="6" w:space="0" w:color="000000"/>
              <w:bottom w:val="single" w:sz="12" w:space="0" w:color="000000"/>
              <w:right w:val="single" w:sz="6" w:space="0" w:color="000000"/>
            </w:tcBorders>
          </w:tcPr>
          <w:p>
            <w:pPr/>
          </w:p>
        </w:tc>
        <w:tc>
          <w:tcPr>
            <w:tcW w:w="698" w:type="dxa"/>
            <w:tcBorders>
              <w:top w:val="single" w:sz="6" w:space="0" w:color="000000"/>
              <w:left w:val="single" w:sz="6" w:space="0" w:color="000000"/>
              <w:bottom w:val="single" w:sz="12" w:space="0" w:color="000000"/>
              <w:right w:val="single" w:sz="6" w:space="0" w:color="000000"/>
            </w:tcBorders>
          </w:tcPr>
          <w:p>
            <w:pPr/>
          </w:p>
        </w:tc>
        <w:tc>
          <w:tcPr>
            <w:tcW w:w="435" w:type="dxa"/>
            <w:tcBorders>
              <w:top w:val="single" w:sz="6" w:space="0" w:color="000000"/>
              <w:left w:val="single" w:sz="6" w:space="0" w:color="000000"/>
              <w:bottom w:val="single" w:sz="12" w:space="0" w:color="000000"/>
              <w:right w:val="single" w:sz="6" w:space="0" w:color="000000"/>
            </w:tcBorders>
          </w:tcPr>
          <w:p>
            <w:pPr/>
          </w:p>
        </w:tc>
        <w:tc>
          <w:tcPr>
            <w:tcW w:w="581" w:type="dxa"/>
            <w:tcBorders>
              <w:top w:val="single" w:sz="6" w:space="0" w:color="000000"/>
              <w:left w:val="single" w:sz="6" w:space="0" w:color="000000"/>
              <w:bottom w:val="single" w:sz="12" w:space="0" w:color="000000"/>
              <w:right w:val="single" w:sz="6" w:space="0" w:color="000000"/>
            </w:tcBorders>
          </w:tcPr>
          <w:p>
            <w:pPr/>
          </w:p>
        </w:tc>
        <w:tc>
          <w:tcPr>
            <w:tcW w:w="792" w:type="dxa"/>
            <w:tcBorders>
              <w:top w:val="single" w:sz="6" w:space="0" w:color="000000"/>
              <w:left w:val="single" w:sz="6" w:space="0" w:color="000000"/>
              <w:bottom w:val="single" w:sz="12" w:space="0" w:color="000000"/>
              <w:right w:val="single" w:sz="6" w:space="0" w:color="000000"/>
            </w:tcBorders>
          </w:tcPr>
          <w:p>
            <w:pPr/>
          </w:p>
        </w:tc>
        <w:tc>
          <w:tcPr>
            <w:tcW w:w="862" w:type="dxa"/>
            <w:tcBorders>
              <w:top w:val="single" w:sz="6" w:space="0" w:color="000000"/>
              <w:left w:val="single" w:sz="6"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6" w:space="0" w:color="000000"/>
            </w:tcBorders>
          </w:tcPr>
          <w:p>
            <w:pPr/>
          </w:p>
        </w:tc>
        <w:tc>
          <w:tcPr>
            <w:tcW w:w="80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57"/>
        <w:gridCol w:w="1069"/>
        <w:gridCol w:w="715"/>
        <w:gridCol w:w="698"/>
        <w:gridCol w:w="435"/>
        <w:gridCol w:w="581"/>
        <w:gridCol w:w="792"/>
        <w:gridCol w:w="862"/>
        <w:gridCol w:w="1085"/>
        <w:gridCol w:w="806"/>
      </w:tblGrid>
      <w:tr>
        <w:trPr>
          <w:trHeight w:val="384" w:hRule="exact"/>
        </w:trPr>
        <w:tc>
          <w:tcPr>
            <w:tcW w:w="2057" w:type="dxa"/>
            <w:vMerge w:val="restart"/>
            <w:tcBorders>
              <w:top w:val="single" w:sz="17"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784"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29"/>
              <w:ind w:left="34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368" w:type="dxa"/>
            <w:gridSpan w:val="5"/>
            <w:tcBorders>
              <w:top w:val="single" w:sz="17"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本 期 增 减</w:t>
            </w:r>
          </w:p>
        </w:tc>
        <w:tc>
          <w:tcPr>
            <w:tcW w:w="189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39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838" w:hRule="exact"/>
        </w:trPr>
        <w:tc>
          <w:tcPr>
            <w:tcW w:w="2057" w:type="dxa"/>
            <w:vMerge/>
            <w:tcBorders>
              <w:left w:val="nil" w:sz="6" w:space="0" w:color="auto"/>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249" w:right="72"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32"/>
              <w:ind w:left="100" w:right="10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股数</w:t>
            </w:r>
          </w:p>
        </w:tc>
        <w:tc>
          <w:tcPr>
            <w:tcW w:w="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7"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 w:right="0"/>
              <w:jc w:val="center"/>
              <w:rPr>
                <w:rFonts w:ascii="Arial" w:hAnsi="Arial" w:cs="Arial" w:eastAsia="Arial" w:hint="default"/>
                <w:sz w:val="18"/>
                <w:szCs w:val="18"/>
              </w:rPr>
            </w:pPr>
            <w:r>
              <w:rPr>
                <w:rFonts w:ascii="Arial"/>
                <w:sz w:val="18"/>
              </w:rPr>
              <w:t>487,673,315</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Arial" w:hAnsi="Arial" w:cs="Arial" w:eastAsia="Arial" w:hint="default"/>
                <w:sz w:val="18"/>
                <w:szCs w:val="18"/>
              </w:rPr>
            </w:pPr>
            <w:r>
              <w:rPr>
                <w:rFonts w:ascii="Arial"/>
                <w:w w:val="95"/>
                <w:sz w:val="18"/>
              </w:rPr>
              <w:t>99.99</w:t>
            </w:r>
            <w:r>
              <w:rPr>
                <w:rFonts w:ascii="Arial"/>
                <w:sz w:val="18"/>
              </w:rPr>
            </w:r>
          </w:p>
        </w:tc>
        <w:tc>
          <w:tcPr>
            <w:tcW w:w="698"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8" w:right="0"/>
              <w:jc w:val="left"/>
              <w:rPr>
                <w:rFonts w:ascii="Arial" w:hAnsi="Arial" w:cs="Arial" w:eastAsia="Arial" w:hint="default"/>
                <w:sz w:val="18"/>
                <w:szCs w:val="18"/>
              </w:rPr>
            </w:pPr>
            <w:r>
              <w:rPr>
                <w:rFonts w:ascii="Arial"/>
                <w:sz w:val="18"/>
              </w:rPr>
              <w:t>58,680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76" w:right="0"/>
              <w:jc w:val="left"/>
              <w:rPr>
                <w:rFonts w:ascii="Arial" w:hAnsi="Arial" w:cs="Arial" w:eastAsia="Arial" w:hint="default"/>
                <w:sz w:val="18"/>
                <w:szCs w:val="18"/>
              </w:rPr>
            </w:pPr>
            <w:r>
              <w:rPr>
                <w:rFonts w:ascii="Arial"/>
                <w:sz w:val="18"/>
              </w:rPr>
              <w:t>58,680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 w:right="0"/>
              <w:jc w:val="center"/>
              <w:rPr>
                <w:rFonts w:ascii="Arial" w:hAnsi="Arial" w:cs="Arial" w:eastAsia="Arial" w:hint="default"/>
                <w:sz w:val="18"/>
                <w:szCs w:val="18"/>
              </w:rPr>
            </w:pPr>
            <w:r>
              <w:rPr>
                <w:rFonts w:ascii="Arial"/>
                <w:sz w:val="18"/>
              </w:rPr>
              <w:t>487,731,995</w:t>
            </w:r>
          </w:p>
        </w:tc>
        <w:tc>
          <w:tcPr>
            <w:tcW w:w="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220" w:right="0"/>
              <w:jc w:val="left"/>
              <w:rPr>
                <w:rFonts w:ascii="Arial" w:hAnsi="Arial" w:cs="Arial" w:eastAsia="Arial" w:hint="default"/>
                <w:sz w:val="18"/>
                <w:szCs w:val="18"/>
              </w:rPr>
            </w:pPr>
            <w:r>
              <w:rPr>
                <w:rFonts w:ascii="Arial"/>
                <w:sz w:val="18"/>
              </w:rPr>
              <w:t>100.00</w:t>
            </w:r>
          </w:p>
        </w:tc>
      </w:tr>
      <w:tr>
        <w:trPr>
          <w:trHeight w:val="379" w:hRule="exact"/>
        </w:trPr>
        <w:tc>
          <w:tcPr>
            <w:tcW w:w="20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14" w:right="0"/>
              <w:jc w:val="center"/>
              <w:rPr>
                <w:rFonts w:ascii="Arial" w:hAnsi="Arial" w:cs="Arial" w:eastAsia="Arial" w:hint="default"/>
                <w:sz w:val="18"/>
                <w:szCs w:val="18"/>
              </w:rPr>
            </w:pPr>
            <w:r>
              <w:rPr>
                <w:rFonts w:ascii="Arial"/>
                <w:b/>
                <w:w w:val="99"/>
                <w:sz w:val="18"/>
              </w:rPr>
            </w:r>
            <w:r>
              <w:rPr>
                <w:rFonts w:ascii="Arial"/>
                <w:b/>
                <w:sz w:val="18"/>
                <w:u w:val="single" w:color="000000"/>
              </w:rPr>
              <w:t>487,731,995</w:t>
            </w:r>
            <w:r>
              <w:rPr>
                <w:rFonts w:ascii="Arial"/>
                <w:b/>
                <w:sz w:val="18"/>
              </w:rPr>
            </w:r>
            <w:r>
              <w:rPr>
                <w:rFonts w:ascii="Arial"/>
                <w:sz w:val="18"/>
              </w:rPr>
            </w:r>
          </w:p>
        </w:tc>
        <w:tc>
          <w:tcPr>
            <w:tcW w:w="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18"/>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698" w:type="dxa"/>
            <w:tcBorders>
              <w:top w:val="single" w:sz="6" w:space="0" w:color="000000"/>
              <w:left w:val="single" w:sz="6" w:space="0" w:color="000000"/>
              <w:bottom w:val="single" w:sz="12" w:space="0" w:color="000000"/>
              <w:right w:val="single" w:sz="6" w:space="0" w:color="000000"/>
            </w:tcBorders>
          </w:tcPr>
          <w:p>
            <w:pPr/>
          </w:p>
        </w:tc>
        <w:tc>
          <w:tcPr>
            <w:tcW w:w="435" w:type="dxa"/>
            <w:tcBorders>
              <w:top w:val="single" w:sz="6" w:space="0" w:color="000000"/>
              <w:left w:val="single" w:sz="6" w:space="0" w:color="000000"/>
              <w:bottom w:val="single" w:sz="12" w:space="0" w:color="000000"/>
              <w:right w:val="single" w:sz="6" w:space="0" w:color="000000"/>
            </w:tcBorders>
          </w:tcPr>
          <w:p>
            <w:pPr/>
          </w:p>
        </w:tc>
        <w:tc>
          <w:tcPr>
            <w:tcW w:w="581" w:type="dxa"/>
            <w:tcBorders>
              <w:top w:val="single" w:sz="6" w:space="0" w:color="000000"/>
              <w:left w:val="single" w:sz="6" w:space="0" w:color="000000"/>
              <w:bottom w:val="single" w:sz="12" w:space="0" w:color="000000"/>
              <w:right w:val="single" w:sz="6" w:space="0" w:color="000000"/>
            </w:tcBorders>
          </w:tcPr>
          <w:p>
            <w:pPr/>
          </w:p>
        </w:tc>
        <w:tc>
          <w:tcPr>
            <w:tcW w:w="792" w:type="dxa"/>
            <w:tcBorders>
              <w:top w:val="single" w:sz="6" w:space="0" w:color="000000"/>
              <w:left w:val="single" w:sz="6" w:space="0" w:color="000000"/>
              <w:bottom w:val="single" w:sz="12" w:space="0" w:color="000000"/>
              <w:right w:val="single" w:sz="6" w:space="0" w:color="000000"/>
            </w:tcBorders>
          </w:tcPr>
          <w:p>
            <w:pPr/>
          </w:p>
        </w:tc>
        <w:tc>
          <w:tcPr>
            <w:tcW w:w="862" w:type="dxa"/>
            <w:tcBorders>
              <w:top w:val="single" w:sz="6" w:space="0" w:color="000000"/>
              <w:left w:val="single" w:sz="6"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26" w:right="0"/>
              <w:jc w:val="center"/>
              <w:rPr>
                <w:rFonts w:ascii="Arial" w:hAnsi="Arial" w:cs="Arial" w:eastAsia="Arial" w:hint="default"/>
                <w:sz w:val="18"/>
                <w:szCs w:val="18"/>
              </w:rPr>
            </w:pPr>
            <w:r>
              <w:rPr>
                <w:rFonts w:ascii="Arial"/>
                <w:b/>
                <w:w w:val="99"/>
                <w:sz w:val="18"/>
              </w:rPr>
            </w:r>
            <w:r>
              <w:rPr>
                <w:rFonts w:ascii="Arial"/>
                <w:b/>
                <w:sz w:val="18"/>
                <w:u w:val="single" w:color="000000"/>
              </w:rPr>
              <w:t>487,731,995</w:t>
            </w:r>
            <w:r>
              <w:rPr>
                <w:rFonts w:ascii="Arial"/>
                <w:b/>
                <w:sz w:val="18"/>
              </w:rPr>
            </w:r>
            <w:r>
              <w:rPr>
                <w:rFonts w:ascii="Arial"/>
                <w:sz w:val="18"/>
              </w:rPr>
            </w:r>
          </w:p>
        </w:tc>
        <w:tc>
          <w:tcPr>
            <w:tcW w:w="8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left="220" w:right="0"/>
              <w:jc w:val="left"/>
              <w:rPr>
                <w:rFonts w:ascii="Arial" w:hAnsi="Arial" w:cs="Arial" w:eastAsia="Arial" w:hint="default"/>
                <w:sz w:val="18"/>
                <w:szCs w:val="18"/>
              </w:rPr>
            </w:pPr>
            <w:r>
              <w:rPr>
                <w:rFonts w:ascii="Arial"/>
                <w:b/>
                <w:w w:val="99"/>
                <w:sz w:val="18"/>
              </w:rPr>
            </w:r>
            <w:r>
              <w:rPr>
                <w:rFonts w:ascii="Arial"/>
                <w:b/>
                <w:sz w:val="18"/>
                <w:u w:val="single" w:color="000000"/>
              </w:rPr>
              <w:t>100.00</w:t>
            </w:r>
            <w:r>
              <w:rPr>
                <w:rFonts w:ascii="Arial"/>
                <w:b/>
                <w:sz w:val="18"/>
              </w:rPr>
            </w:r>
            <w:r>
              <w:rPr>
                <w:rFonts w:ascii="Arial"/>
                <w:sz w:val="18"/>
              </w:rPr>
            </w:r>
          </w:p>
        </w:tc>
      </w:tr>
    </w:tbl>
    <w:p>
      <w:pPr>
        <w:pStyle w:val="BodyText"/>
        <w:spacing w:line="355" w:lineRule="auto" w:before="86"/>
        <w:ind w:left="180" w:right="0" w:firstLine="420"/>
        <w:jc w:val="left"/>
      </w:pPr>
      <w:r>
        <w:rPr>
          <w:spacing w:val="-5"/>
        </w:rPr>
        <w:t>注：有限售条件股份本年减少、无限售条件股份本年增加，系本年有限售条件股份限售期结束，</w:t>
      </w:r>
      <w:r>
        <w:rPr>
          <w:w w:val="100"/>
        </w:rPr>
        <w:t> </w:t>
      </w:r>
      <w:r>
        <w:rPr/>
        <w:t>转为无限售条件股份。</w:t>
      </w:r>
    </w:p>
    <w:p>
      <w:pPr>
        <w:pStyle w:val="BodyText"/>
        <w:spacing w:line="340" w:lineRule="auto" w:before="34"/>
        <w:ind w:left="180" w:right="1428" w:firstLine="420"/>
        <w:jc w:val="left"/>
      </w:pPr>
      <w:r>
        <w:rPr/>
        <w:t>截至</w:t>
      </w:r>
      <w:r>
        <w:rPr>
          <w:spacing w:val="-55"/>
        </w:rPr>
        <w:t> </w:t>
      </w:r>
      <w:r>
        <w:rPr>
          <w:rFonts w:ascii="Arial" w:hAnsi="Arial" w:cs="Arial" w:eastAsia="Arial" w:hint="default"/>
        </w:rPr>
        <w:t>2010</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10"/>
        </w:rPr>
        <w:t> </w:t>
      </w:r>
      <w:r>
        <w:rPr/>
        <w:t>日，华立集团股份有限公司持有</w:t>
      </w:r>
      <w:r>
        <w:rPr>
          <w:spacing w:val="-55"/>
        </w:rPr>
        <w:t> </w:t>
      </w:r>
      <w:r>
        <w:rPr>
          <w:rFonts w:ascii="Arial" w:hAnsi="Arial" w:cs="Arial" w:eastAsia="Arial" w:hint="default"/>
        </w:rPr>
        <w:t>114,690,754</w:t>
      </w:r>
      <w:r>
        <w:rPr>
          <w:rFonts w:ascii="Arial" w:hAnsi="Arial" w:cs="Arial" w:eastAsia="Arial" w:hint="default"/>
          <w:spacing w:val="-10"/>
        </w:rPr>
        <w:t> </w:t>
      </w:r>
      <w:r>
        <w:rPr/>
        <w:t>股无限售条件流通股，占</w:t>
      </w:r>
      <w:r>
        <w:rPr>
          <w:w w:val="100"/>
        </w:rPr>
        <w:t> </w:t>
      </w:r>
      <w:r>
        <w:rPr/>
        <w:t>股本的</w:t>
      </w:r>
      <w:r>
        <w:rPr>
          <w:spacing w:val="-53"/>
        </w:rPr>
        <w:t> </w:t>
      </w:r>
      <w:r>
        <w:rPr>
          <w:rFonts w:ascii="Arial" w:hAnsi="Arial" w:cs="Arial" w:eastAsia="Arial" w:hint="default"/>
        </w:rPr>
        <w:t>23.52%</w:t>
      </w:r>
      <w:r>
        <w:rPr/>
        <w:t>。</w:t>
      </w:r>
    </w:p>
    <w:p>
      <w:pPr>
        <w:tabs>
          <w:tab w:pos="1879" w:val="left" w:leader="none"/>
        </w:tabs>
        <w:spacing w:line="410" w:lineRule="auto" w:before="79"/>
        <w:ind w:left="600" w:right="7309" w:firstLine="0"/>
        <w:jc w:val="left"/>
        <w:rPr>
          <w:rFonts w:ascii="宋体" w:hAnsi="宋体" w:cs="宋体" w:eastAsia="宋体" w:hint="default"/>
          <w:sz w:val="21"/>
          <w:szCs w:val="21"/>
        </w:rPr>
      </w:pPr>
      <w:r>
        <w:rPr>
          <w:rFonts w:ascii="宋体" w:hAnsi="宋体" w:cs="宋体" w:eastAsia="宋体" w:hint="default"/>
          <w:b/>
          <w:bCs/>
          <w:spacing w:val="-1"/>
          <w:sz w:val="21"/>
          <w:szCs w:val="21"/>
        </w:rPr>
        <w:t>（二十八）</w:t>
        <w:tab/>
        <w:t>资本公积</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本年资本公积变动情况如下：</w:t>
      </w:r>
    </w:p>
    <w:p>
      <w:pPr>
        <w:spacing w:line="240" w:lineRule="auto" w:before="7"/>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2367"/>
        <w:gridCol w:w="1608"/>
        <w:gridCol w:w="1640"/>
        <w:gridCol w:w="1625"/>
        <w:gridCol w:w="1620"/>
      </w:tblGrid>
      <w:tr>
        <w:trPr>
          <w:trHeight w:val="365" w:hRule="exact"/>
        </w:trPr>
        <w:tc>
          <w:tcPr>
            <w:tcW w:w="23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987"/>
              <w:jc w:val="right"/>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6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3" w:hRule="exact"/>
        </w:trPr>
        <w:tc>
          <w:tcPr>
            <w:tcW w:w="23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股本溢价（注）</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21,464,667.47</w:t>
            </w:r>
          </w:p>
        </w:tc>
        <w:tc>
          <w:tcPr>
            <w:tcW w:w="164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57" w:right="0"/>
              <w:jc w:val="left"/>
              <w:rPr>
                <w:rFonts w:ascii="Arial" w:hAnsi="Arial" w:cs="Arial" w:eastAsia="Arial" w:hint="default"/>
                <w:sz w:val="18"/>
                <w:szCs w:val="18"/>
              </w:rPr>
            </w:pPr>
            <w:r>
              <w:rPr>
                <w:rFonts w:ascii="Arial"/>
                <w:sz w:val="18"/>
              </w:rPr>
              <w:t>19,669,636.42</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1,795,031.05</w:t>
            </w:r>
          </w:p>
        </w:tc>
      </w:tr>
      <w:tr>
        <w:trPr>
          <w:trHeight w:val="355" w:hRule="exact"/>
        </w:trPr>
        <w:tc>
          <w:tcPr>
            <w:tcW w:w="23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9,149,973.75</w:t>
            </w:r>
          </w:p>
        </w:tc>
        <w:tc>
          <w:tcPr>
            <w:tcW w:w="164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9,149,973.75</w:t>
            </w:r>
          </w:p>
        </w:tc>
      </w:tr>
      <w:tr>
        <w:trPr>
          <w:trHeight w:val="365" w:hRule="exact"/>
        </w:trPr>
        <w:tc>
          <w:tcPr>
            <w:tcW w:w="23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987"/>
              <w:jc w:val="right"/>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30,614,641.22</w:t>
            </w:r>
            <w:r>
              <w:rPr>
                <w:rFonts w:ascii="Arial"/>
                <w:b/>
                <w:spacing w:val="-1"/>
                <w:sz w:val="18"/>
              </w:rPr>
            </w:r>
            <w:r>
              <w:rPr>
                <w:rFonts w:ascii="Arial"/>
                <w:spacing w:val="-1"/>
                <w:sz w:val="18"/>
              </w:rPr>
            </w:r>
          </w:p>
        </w:tc>
        <w:tc>
          <w:tcPr>
            <w:tcW w:w="1640" w:type="dxa"/>
            <w:tcBorders>
              <w:top w:val="single" w:sz="6" w:space="0" w:color="000000"/>
              <w:left w:val="single" w:sz="6" w:space="0" w:color="000000"/>
              <w:bottom w:val="single" w:sz="12" w:space="0" w:color="000000"/>
              <w:right w:val="single" w:sz="6" w:space="0" w:color="000000"/>
            </w:tcBorders>
          </w:tcPr>
          <w:p>
            <w:pP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357" w:right="0"/>
              <w:jc w:val="left"/>
              <w:rPr>
                <w:rFonts w:ascii="Arial" w:hAnsi="Arial" w:cs="Arial" w:eastAsia="Arial" w:hint="default"/>
                <w:sz w:val="18"/>
                <w:szCs w:val="18"/>
              </w:rPr>
            </w:pPr>
            <w:r>
              <w:rPr>
                <w:rFonts w:ascii="Arial"/>
                <w:b/>
                <w:w w:val="99"/>
                <w:sz w:val="18"/>
              </w:rPr>
            </w:r>
            <w:r>
              <w:rPr>
                <w:rFonts w:ascii="Arial"/>
                <w:b/>
                <w:sz w:val="18"/>
                <w:u w:val="single" w:color="000000"/>
              </w:rPr>
              <w:t>19,669,636.42</w:t>
            </w:r>
            <w:r>
              <w:rPr>
                <w:rFonts w:ascii="Arial"/>
                <w:b/>
                <w:sz w:val="18"/>
              </w:rPr>
            </w:r>
            <w:r>
              <w:rPr>
                <w:rFonts w:ascii="Arial"/>
                <w:sz w:val="18"/>
              </w:rPr>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10,945,004.80</w:t>
            </w:r>
            <w:r>
              <w:rPr>
                <w:rFonts w:ascii="Arial"/>
                <w:b/>
                <w:spacing w:val="-1"/>
                <w:sz w:val="18"/>
              </w:rPr>
            </w:r>
            <w:r>
              <w:rPr>
                <w:rFonts w:ascii="Arial"/>
                <w:spacing w:val="-1"/>
                <w:sz w:val="18"/>
              </w:rPr>
            </w:r>
          </w:p>
        </w:tc>
      </w:tr>
    </w:tbl>
    <w:p>
      <w:pPr>
        <w:pStyle w:val="BodyText"/>
        <w:spacing w:line="348" w:lineRule="auto" w:before="86"/>
        <w:ind w:left="180" w:right="1426" w:firstLine="540"/>
        <w:jc w:val="both"/>
      </w:pPr>
      <w:r>
        <w:rPr>
          <w:spacing w:val="-3"/>
        </w:rPr>
        <w:t>注：本年购买子公司华立仪表集团股份有限公司</w:t>
      </w:r>
      <w:r>
        <w:rPr>
          <w:spacing w:val="-2"/>
        </w:rPr>
        <w:t> </w:t>
      </w:r>
      <w:r>
        <w:rPr>
          <w:rFonts w:ascii="Arial" w:hAnsi="Arial" w:cs="Arial" w:eastAsia="Arial" w:hint="default"/>
          <w:spacing w:val="-3"/>
        </w:rPr>
        <w:t>21.83%</w:t>
      </w:r>
      <w:r>
        <w:rPr>
          <w:spacing w:val="-3"/>
        </w:rPr>
        <w:t>少数股权，新取得的长期股权投资成</w:t>
      </w:r>
      <w:r>
        <w:rPr>
          <w:w w:val="100"/>
        </w:rPr>
        <w:t> </w:t>
      </w:r>
      <w:r>
        <w:rPr>
          <w:spacing w:val="-2"/>
        </w:rPr>
        <w:t>本与按照新增持股比例计算应享有子公司自购买日开始持续计算的可辨认净资产份额之间的差额，</w:t>
      </w:r>
      <w:r>
        <w:rPr>
          <w:spacing w:val="-25"/>
        </w:rPr>
        <w:t> </w:t>
      </w:r>
      <w:r>
        <w:rPr>
          <w:spacing w:val="-25"/>
        </w:rPr>
      </w:r>
      <w:r>
        <w:rPr/>
        <w:t>冲减资本公积</w:t>
      </w:r>
      <w:r>
        <w:rPr>
          <w:spacing w:val="-53"/>
        </w:rPr>
        <w:t> </w:t>
      </w:r>
      <w:r>
        <w:rPr>
          <w:rFonts w:ascii="Arial" w:hAnsi="Arial" w:cs="Arial" w:eastAsia="Arial" w:hint="default"/>
        </w:rPr>
        <w:t>18,302,951.55</w:t>
      </w:r>
      <w:r>
        <w:rPr>
          <w:rFonts w:ascii="Arial" w:hAnsi="Arial" w:cs="Arial" w:eastAsia="Arial" w:hint="default"/>
          <w:spacing w:val="-5"/>
        </w:rPr>
        <w:t> </w:t>
      </w:r>
      <w:r>
        <w:rPr>
          <w:spacing w:val="-3"/>
        </w:rPr>
        <w:t>元；</w:t>
      </w:r>
      <w:r>
        <w:rPr/>
      </w:r>
    </w:p>
    <w:p>
      <w:pPr>
        <w:pStyle w:val="BodyText"/>
        <w:spacing w:line="348" w:lineRule="auto" w:before="195"/>
        <w:ind w:left="180" w:right="1431" w:firstLine="540"/>
        <w:jc w:val="both"/>
      </w:pPr>
      <w:r>
        <w:rPr/>
        <w:t>本年子公司华立仪表集团股份有限公司出售其子公司重庆泰捷仪器仪表有限公司</w:t>
      </w:r>
      <w:r>
        <w:rPr>
          <w:spacing w:val="94"/>
        </w:rPr>
        <w:t> </w:t>
      </w:r>
      <w:r>
        <w:rPr>
          <w:rFonts w:ascii="Arial" w:hAnsi="Arial" w:cs="Arial" w:eastAsia="Arial" w:hint="default"/>
        </w:rPr>
        <w:t>28.65%</w:t>
      </w:r>
      <w:r>
        <w:rPr/>
        <w:t>少</w:t>
      </w:r>
      <w:r>
        <w:rPr>
          <w:w w:val="100"/>
        </w:rPr>
        <w:t> </w:t>
      </w:r>
      <w:r>
        <w:rPr>
          <w:spacing w:val="-2"/>
        </w:rPr>
        <w:t>数股权，股权出让价款与所享有重庆泰捷仪器仪表有限公司净资产份额之差额冲减资本公积，本公</w:t>
      </w:r>
      <w:r>
        <w:rPr>
          <w:spacing w:val="-31"/>
        </w:rPr>
        <w:t> </w:t>
      </w:r>
      <w:r>
        <w:rPr>
          <w:spacing w:val="-31"/>
        </w:rPr>
      </w:r>
      <w:r>
        <w:rPr/>
        <w:t>司按相应份额冲减资本公积</w:t>
      </w:r>
      <w:r>
        <w:rPr>
          <w:spacing w:val="-53"/>
        </w:rPr>
        <w:t> </w:t>
      </w:r>
      <w:r>
        <w:rPr>
          <w:rFonts w:ascii="Arial" w:hAnsi="Arial" w:cs="Arial" w:eastAsia="Arial" w:hint="default"/>
        </w:rPr>
        <w:t>1,366,684.87</w:t>
      </w:r>
      <w:r>
        <w:rPr>
          <w:rFonts w:ascii="Arial" w:hAnsi="Arial" w:cs="Arial" w:eastAsia="Arial" w:hint="default"/>
          <w:spacing w:val="-6"/>
        </w:rPr>
        <w:t> </w:t>
      </w:r>
      <w:r>
        <w:rPr>
          <w:spacing w:val="-3"/>
        </w:rPr>
        <w:t>元。</w:t>
      </w:r>
      <w:r>
        <w:rPr/>
      </w:r>
    </w:p>
    <w:p>
      <w:pPr>
        <w:tabs>
          <w:tab w:pos="1879" w:val="left" w:leader="none"/>
        </w:tabs>
        <w:spacing w:line="408" w:lineRule="auto" w:before="195"/>
        <w:ind w:left="600" w:right="7309" w:firstLine="0"/>
        <w:jc w:val="left"/>
        <w:rPr>
          <w:rFonts w:ascii="宋体" w:hAnsi="宋体" w:cs="宋体" w:eastAsia="宋体" w:hint="default"/>
          <w:sz w:val="21"/>
          <w:szCs w:val="21"/>
        </w:rPr>
      </w:pPr>
      <w:r>
        <w:rPr>
          <w:rFonts w:ascii="宋体" w:hAnsi="宋体" w:cs="宋体" w:eastAsia="宋体" w:hint="default"/>
          <w:b/>
          <w:bCs/>
          <w:spacing w:val="-1"/>
          <w:sz w:val="21"/>
          <w:szCs w:val="21"/>
        </w:rPr>
        <w:t>（二十九）</w:t>
        <w:tab/>
        <w:t>盈余公积</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本年盈余公积变动情况如下：</w:t>
      </w:r>
    </w:p>
    <w:p>
      <w:pPr>
        <w:spacing w:line="240" w:lineRule="auto" w:before="12"/>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2372"/>
        <w:gridCol w:w="1620"/>
        <w:gridCol w:w="1623"/>
        <w:gridCol w:w="1622"/>
        <w:gridCol w:w="1623"/>
      </w:tblGrid>
      <w:tr>
        <w:trPr>
          <w:trHeight w:val="362"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6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40,657,199.52</w:t>
            </w:r>
          </w:p>
        </w:tc>
        <w:tc>
          <w:tcPr>
            <w:tcW w:w="1623"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40,657,199.52</w:t>
            </w:r>
          </w:p>
        </w:tc>
      </w:tr>
      <w:tr>
        <w:trPr>
          <w:trHeight w:val="362"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40,657,199.52</w:t>
            </w:r>
            <w:r>
              <w:rPr>
                <w:rFonts w:ascii="Arial"/>
                <w:b/>
                <w:spacing w:val="-1"/>
                <w:sz w:val="18"/>
              </w:rPr>
            </w:r>
            <w:r>
              <w:rPr>
                <w:rFonts w:ascii="Arial"/>
                <w:spacing w:val="-1"/>
                <w:sz w:val="18"/>
              </w:rPr>
            </w:r>
          </w:p>
        </w:tc>
        <w:tc>
          <w:tcPr>
            <w:tcW w:w="1623" w:type="dxa"/>
            <w:tcBorders>
              <w:top w:val="single" w:sz="6" w:space="0" w:color="000000"/>
              <w:left w:val="single" w:sz="6" w:space="0" w:color="000000"/>
              <w:bottom w:val="single" w:sz="12" w:space="0" w:color="000000"/>
              <w:right w:val="single" w:sz="6" w:space="0" w:color="000000"/>
            </w:tcBorders>
          </w:tcPr>
          <w:p>
            <w:pPr/>
          </w:p>
        </w:tc>
        <w:tc>
          <w:tcPr>
            <w:tcW w:w="1622" w:type="dxa"/>
            <w:tcBorders>
              <w:top w:val="single" w:sz="6" w:space="0" w:color="000000"/>
              <w:left w:val="single" w:sz="6" w:space="0" w:color="000000"/>
              <w:bottom w:val="single" w:sz="12" w:space="0" w:color="000000"/>
              <w:right w:val="single" w:sz="6" w:space="0" w:color="000000"/>
            </w:tcBorders>
          </w:tcPr>
          <w:p>
            <w:pPr/>
          </w:p>
        </w:tc>
        <w:tc>
          <w:tcPr>
            <w:tcW w:w="1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40,657,199.52</w:t>
            </w:r>
            <w:r>
              <w:rPr>
                <w:rFonts w:ascii="Arial"/>
                <w:b/>
                <w:spacing w:val="-1"/>
                <w:sz w:val="18"/>
              </w:rPr>
            </w:r>
            <w:r>
              <w:rPr>
                <w:rFonts w:ascii="Arial"/>
                <w:spacing w:val="-1"/>
                <w:sz w:val="18"/>
              </w:rPr>
            </w:r>
          </w:p>
        </w:tc>
      </w:tr>
    </w:tbl>
    <w:p>
      <w:pPr>
        <w:spacing w:line="410" w:lineRule="auto" w:before="86"/>
        <w:ind w:left="600" w:right="5257" w:firstLine="0"/>
        <w:jc w:val="left"/>
        <w:rPr>
          <w:rFonts w:ascii="宋体" w:hAnsi="宋体" w:cs="宋体" w:eastAsia="宋体" w:hint="default"/>
          <w:sz w:val="21"/>
          <w:szCs w:val="21"/>
        </w:rPr>
      </w:pPr>
      <w:r>
        <w:rPr>
          <w:rFonts w:ascii="宋体" w:hAnsi="宋体" w:cs="宋体" w:eastAsia="宋体" w:hint="default"/>
          <w:b/>
          <w:bCs/>
          <w:sz w:val="21"/>
          <w:szCs w:val="21"/>
        </w:rPr>
        <w:t>（三十）未分配利润</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2"/>
          <w:sz w:val="21"/>
          <w:szCs w:val="21"/>
        </w:rPr>
        <w:t>未分配利润增减变动情况如下：</w:t>
      </w:r>
    </w:p>
    <w:p>
      <w:pPr>
        <w:spacing w:line="240" w:lineRule="auto" w:before="10"/>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4208"/>
        <w:gridCol w:w="2180"/>
        <w:gridCol w:w="2472"/>
      </w:tblGrid>
      <w:tr>
        <w:trPr>
          <w:trHeight w:val="362"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上年年末未分配利润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-68,125,440.16</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14,783,864.52</w:t>
            </w:r>
            <w:r>
              <w:rPr>
                <w:rFonts w:ascii="Arial"/>
                <w:b/>
                <w:spacing w:val="-1"/>
                <w:sz w:val="18"/>
              </w:rPr>
            </w:r>
            <w:r>
              <w:rPr>
                <w:rFonts w:ascii="Arial"/>
                <w:spacing w:val="-1"/>
                <w:sz w:val="18"/>
              </w:rPr>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加：年初未分配利润调整数（调减</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（注）</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2"/>
                <w:sz w:val="18"/>
              </w:rPr>
              <w:t>5,109,117.24</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2,410,737.61</w:t>
            </w:r>
          </w:p>
        </w:tc>
      </w:tr>
      <w:tr>
        <w:trPr>
          <w:trHeight w:val="353"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-63,016,322.92</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17,194,602.13</w:t>
            </w:r>
            <w:r>
              <w:rPr>
                <w:rFonts w:ascii="Arial"/>
                <w:b/>
                <w:spacing w:val="-1"/>
                <w:sz w:val="18"/>
              </w:rPr>
            </w:r>
            <w:r>
              <w:rPr>
                <w:rFonts w:ascii="Arial"/>
                <w:spacing w:val="-1"/>
                <w:sz w:val="18"/>
              </w:rPr>
            </w:r>
          </w:p>
        </w:tc>
      </w:tr>
      <w:tr>
        <w:trPr>
          <w:trHeight w:val="365"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-166,308,328.16</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-80,191,690.96</w:t>
            </w:r>
          </w:p>
        </w:tc>
      </w:tr>
    </w:tbl>
    <w:p>
      <w:pPr>
        <w:spacing w:after="0" w:line="240" w:lineRule="auto"/>
        <w:jc w:val="right"/>
        <w:rPr>
          <w:rFonts w:ascii="Arial" w:hAnsi="Arial" w:cs="Arial" w:eastAsia="Arial" w:hint="default"/>
          <w:sz w:val="18"/>
          <w:szCs w:val="18"/>
        </w:rPr>
        <w:sectPr>
          <w:pgSz w:w="11910" w:h="16840"/>
          <w:pgMar w:header="884" w:footer="1013" w:top="1080" w:bottom="1200" w:left="126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313"/>
        <w:gridCol w:w="2180"/>
        <w:gridCol w:w="2472"/>
      </w:tblGrid>
      <w:tr>
        <w:trPr>
          <w:trHeight w:val="370" w:hRule="exact"/>
        </w:trPr>
        <w:tc>
          <w:tcPr>
            <w:tcW w:w="431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0" w:type="dxa"/>
            <w:tcBorders>
              <w:top w:val="single" w:sz="17" w:space="0" w:color="000000"/>
              <w:left w:val="single" w:sz="6" w:space="0" w:color="000000"/>
              <w:bottom w:val="single" w:sz="6" w:space="0" w:color="000000"/>
              <w:right w:val="single" w:sz="6" w:space="0" w:color="000000"/>
            </w:tcBorders>
          </w:tcPr>
          <w:p>
            <w:pPr/>
          </w:p>
        </w:tc>
        <w:tc>
          <w:tcPr>
            <w:tcW w:w="2472" w:type="dxa"/>
            <w:tcBorders>
              <w:top w:val="single" w:sz="17" w:space="0" w:color="000000"/>
              <w:left w:val="single" w:sz="6" w:space="0" w:color="000000"/>
              <w:bottom w:val="single" w:sz="6" w:space="0" w:color="000000"/>
              <w:right w:val="nil" w:sz="6" w:space="0" w:color="auto"/>
            </w:tcBorders>
          </w:tcPr>
          <w:p>
            <w:pPr/>
          </w:p>
        </w:tc>
      </w:tr>
      <w:tr>
        <w:trPr>
          <w:trHeight w:val="356" w:hRule="exact"/>
        </w:trPr>
        <w:tc>
          <w:tcPr>
            <w:tcW w:w="4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79"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27,601.53</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19,234.09</w:t>
            </w:r>
          </w:p>
        </w:tc>
      </w:tr>
      <w:tr>
        <w:trPr>
          <w:trHeight w:val="362" w:hRule="exact"/>
        </w:trPr>
        <w:tc>
          <w:tcPr>
            <w:tcW w:w="43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-229,352,252.61</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-63,016,322.92</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pStyle w:val="BodyText"/>
        <w:spacing w:line="340" w:lineRule="auto" w:before="36"/>
        <w:ind w:left="160" w:right="1326" w:firstLine="360"/>
        <w:jc w:val="left"/>
      </w:pPr>
      <w:r>
        <w:rPr>
          <w:spacing w:val="3"/>
        </w:rPr>
        <w:t>注：年初未分配利润调整系根据企业会计准则解释第 </w:t>
      </w:r>
      <w:r>
        <w:rPr>
          <w:rFonts w:ascii="Arial" w:hAnsi="Arial" w:cs="Arial" w:eastAsia="Arial" w:hint="default"/>
        </w:rPr>
        <w:t>4</w:t>
      </w:r>
      <w:r>
        <w:rPr>
          <w:rFonts w:ascii="Arial" w:hAnsi="Arial" w:cs="Arial" w:eastAsia="Arial" w:hint="default"/>
          <w:spacing w:val="1"/>
        </w:rPr>
        <w:t> </w:t>
      </w:r>
      <w:r>
        <w:rPr>
          <w:spacing w:val="12"/>
        </w:rPr>
        <w:t>号规定，追溯调整少数股东应承担</w:t>
      </w:r>
      <w:r>
        <w:rPr>
          <w:w w:val="100"/>
        </w:rPr>
        <w:t> </w:t>
      </w:r>
      <w:r>
        <w:rPr>
          <w:spacing w:val="13"/>
        </w:rPr>
        <w:t>的超额亏损。</w:t>
      </w:r>
      <w:r>
        <w:rPr/>
      </w:r>
    </w:p>
    <w:p>
      <w:pPr>
        <w:spacing w:line="240" w:lineRule="auto" w:before="3"/>
        <w:rPr>
          <w:rFonts w:ascii="宋体" w:hAnsi="宋体" w:cs="宋体" w:eastAsia="宋体" w:hint="default"/>
          <w:sz w:val="17"/>
          <w:szCs w:val="17"/>
        </w:rPr>
      </w:pPr>
    </w:p>
    <w:p>
      <w:pPr>
        <w:pStyle w:val="Heading4"/>
        <w:tabs>
          <w:tab w:pos="1859" w:val="left" w:leader="none"/>
        </w:tabs>
        <w:spacing w:line="240" w:lineRule="auto"/>
        <w:ind w:left="580" w:right="1326"/>
        <w:jc w:val="left"/>
        <w:rPr>
          <w:b w:val="0"/>
          <w:bCs w:val="0"/>
        </w:rPr>
      </w:pPr>
      <w:r>
        <w:rPr>
          <w:spacing w:val="-1"/>
        </w:rPr>
        <w:t>（三十一）</w:t>
        <w:tab/>
        <w:t>营业收入、营业成本</w:t>
      </w:r>
      <w:r>
        <w:rPr>
          <w:b w:val="0"/>
          <w:bCs w:val="0"/>
          <w:spacing w:val="-1"/>
        </w:rPr>
      </w:r>
    </w:p>
    <w:p>
      <w:pPr>
        <w:spacing w:line="240" w:lineRule="auto" w:before="2"/>
        <w:rPr>
          <w:rFonts w:ascii="宋体" w:hAnsi="宋体" w:cs="宋体" w:eastAsia="宋体" w:hint="default"/>
          <w:b/>
          <w:bCs/>
          <w:sz w:val="24"/>
          <w:szCs w:val="24"/>
        </w:rPr>
      </w:pPr>
    </w:p>
    <w:p>
      <w:pPr>
        <w:pStyle w:val="BodyText"/>
        <w:spacing w:line="240" w:lineRule="auto"/>
        <w:ind w:left="580" w:right="1326"/>
        <w:jc w:val="left"/>
      </w:pPr>
      <w:r>
        <w:rPr/>
        <w:t>（</w:t>
      </w:r>
      <w:r>
        <w:rPr>
          <w:rFonts w:ascii="Arial" w:hAnsi="Arial" w:cs="Arial" w:eastAsia="Arial" w:hint="default"/>
        </w:rPr>
        <w:t>1</w:t>
      </w:r>
      <w:r>
        <w:rPr/>
        <w:t>）营业收入、营业成本明细如下：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476" w:val="left" w:leader="none"/>
              </w:tabs>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1,194,860,445.99</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w w:val="95"/>
                <w:sz w:val="18"/>
                <w:u w:val="single" w:color="000000"/>
              </w:rPr>
              <w:t>1,955,611,259.51</w:t>
            </w:r>
            <w:r>
              <w:rPr>
                <w:rFonts w:ascii="Arial"/>
                <w:b/>
                <w:spacing w:val="-1"/>
                <w:w w:val="95"/>
                <w:sz w:val="18"/>
              </w:rPr>
            </w:r>
            <w:r>
              <w:rPr>
                <w:rFonts w:ascii="Arial"/>
                <w:spacing w:val="-1"/>
                <w:sz w:val="18"/>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w w:val="95"/>
                <w:sz w:val="18"/>
              </w:rPr>
              <w:t>1,111,299,421.75</w:t>
            </w:r>
            <w:r>
              <w:rPr>
                <w:rFonts w:ascii="Arial"/>
                <w:spacing w:val="-2"/>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1,870,198,501.31</w:t>
            </w:r>
          </w:p>
        </w:tc>
      </w:tr>
      <w:tr>
        <w:trPr>
          <w:trHeight w:val="353"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83,561,024.24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85,412,758.20</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899,535,297.72</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1,476,103,245.76</w:t>
            </w:r>
            <w:r>
              <w:rPr>
                <w:rFonts w:ascii="Arial"/>
                <w:b/>
                <w:spacing w:val="-1"/>
                <w:sz w:val="18"/>
              </w:rPr>
            </w:r>
            <w:r>
              <w:rPr>
                <w:rFonts w:ascii="Arial"/>
                <w:spacing w:val="-1"/>
                <w:sz w:val="18"/>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824,376,489.49</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1,407,856,809.95</w:t>
            </w:r>
          </w:p>
        </w:tc>
      </w:tr>
      <w:tr>
        <w:trPr>
          <w:trHeight w:val="365"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84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75,158,808.23</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68,246,435.81</w:t>
            </w:r>
          </w:p>
        </w:tc>
      </w:tr>
    </w:tbl>
    <w:p>
      <w:pPr>
        <w:spacing w:line="240" w:lineRule="auto" w:before="5"/>
        <w:rPr>
          <w:rFonts w:ascii="宋体" w:hAnsi="宋体" w:cs="宋体" w:eastAsia="宋体" w:hint="default"/>
          <w:sz w:val="8"/>
          <w:szCs w:val="8"/>
        </w:rPr>
      </w:pPr>
    </w:p>
    <w:p>
      <w:pPr>
        <w:pStyle w:val="BodyText"/>
        <w:spacing w:line="240" w:lineRule="auto" w:before="36"/>
        <w:ind w:left="580" w:right="1326"/>
        <w:jc w:val="left"/>
      </w:pPr>
      <w:r>
        <w:rPr/>
        <w:t>（</w:t>
      </w:r>
      <w:r>
        <w:rPr>
          <w:rFonts w:ascii="Arial" w:hAnsi="Arial" w:cs="Arial" w:eastAsia="Arial" w:hint="default"/>
        </w:rPr>
        <w:t>2</w:t>
      </w:r>
      <w:r>
        <w:rPr/>
        <w:t>）主营业务按行业类别列示如下：</w:t>
      </w:r>
    </w:p>
    <w:p>
      <w:pPr>
        <w:spacing w:line="240" w:lineRule="auto" w:before="6"/>
        <w:rPr>
          <w:rFonts w:ascii="宋体" w:hAnsi="宋体" w:cs="宋体" w:eastAsia="宋体" w:hint="default"/>
          <w:sz w:val="25"/>
          <w:szCs w:val="25"/>
        </w:rPr>
      </w:pPr>
    </w:p>
    <w:tbl>
      <w:tblPr>
        <w:tblW w:w="0" w:type="auto"/>
        <w:jc w:val="left"/>
        <w:tblInd w:w="222" w:type="dxa"/>
        <w:tblLayout w:type="fixed"/>
        <w:tblCellMar>
          <w:top w:w="0" w:type="dxa"/>
          <w:left w:w="0" w:type="dxa"/>
          <w:bottom w:w="0" w:type="dxa"/>
          <w:right w:w="0" w:type="dxa"/>
        </w:tblCellMar>
        <w:tblLook w:val="01E0"/>
      </w:tblPr>
      <w:tblGrid>
        <w:gridCol w:w="2278"/>
        <w:gridCol w:w="1598"/>
        <w:gridCol w:w="1599"/>
        <w:gridCol w:w="1692"/>
        <w:gridCol w:w="1692"/>
      </w:tblGrid>
      <w:tr>
        <w:trPr>
          <w:trHeight w:val="394" w:hRule="exact"/>
        </w:trPr>
        <w:tc>
          <w:tcPr>
            <w:tcW w:w="2278"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9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38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2278" w:type="dxa"/>
            <w:vMerge/>
            <w:tcBorders>
              <w:left w:val="nil" w:sz="6" w:space="0" w:color="auto"/>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941,787,509.64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714,037,805.01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1,012,021,882.68</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657,857,927.47</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青蒿素及其相关产品销售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82,284,758.94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48,073,526.26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96,910,246.87</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65,238,529.30</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燃气表、水热表销售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14,519,872.68</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10,924,732.14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13,035,932.44</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9,175,559.88</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紫杉醇及其相关产品销售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15,133,737.33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12,342,885.38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16,738,093.54</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12,384,996.93</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药品批发销售</w:t>
            </w:r>
          </w:p>
        </w:tc>
        <w:tc>
          <w:tcPr>
            <w:tcW w:w="1598"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638,461,037.31</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597,035,582.31</w:t>
            </w:r>
          </w:p>
        </w:tc>
      </w:tr>
      <w:tr>
        <w:trPr>
          <w:trHeight w:val="38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其他药品销售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57,566,035.47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38,993,190.70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2"/>
                <w:sz w:val="18"/>
              </w:rPr>
              <w:t>91,411,282.48</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65,545,243.22</w:t>
            </w:r>
          </w:p>
        </w:tc>
      </w:tr>
      <w:tr>
        <w:trPr>
          <w:trHeight w:val="385"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工业大麻相关产品销售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7,507.69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4,350.00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1,620,025.99</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618,970.84</w:t>
            </w:r>
          </w:p>
        </w:tc>
      </w:tr>
      <w:tr>
        <w:trPr>
          <w:trHeight w:val="391" w:hRule="exact"/>
        </w:trPr>
        <w:tc>
          <w:tcPr>
            <w:tcW w:w="22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2"/>
                <w:sz w:val="18"/>
                <w:u w:val="single" w:color="000000"/>
              </w:rPr>
              <w:t>1,111,299,421.75</w:t>
            </w:r>
            <w:r>
              <w:rPr>
                <w:rFonts w:ascii="Arial"/>
                <w:b/>
                <w:spacing w:val="-2"/>
                <w:sz w:val="18"/>
              </w:rPr>
            </w:r>
            <w:r>
              <w:rPr>
                <w:rFonts w:ascii="Arial"/>
                <w:spacing w:val="-2"/>
                <w:sz w:val="18"/>
              </w:rPr>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824,376,489.49</w:t>
            </w:r>
            <w:r>
              <w:rPr>
                <w:rFonts w:ascii="Arial"/>
                <w:b/>
                <w:spacing w:val="-1"/>
                <w:sz w:val="18"/>
              </w:rPr>
            </w:r>
            <w:r>
              <w:rPr>
                <w:rFonts w:ascii="Arial"/>
                <w:spacing w:val="-1"/>
                <w:sz w:val="18"/>
              </w:rPr>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1,870,198,501.31</w:t>
            </w:r>
            <w:r>
              <w:rPr>
                <w:rFonts w:ascii="Arial"/>
                <w:b/>
                <w:spacing w:val="-1"/>
                <w:sz w:val="18"/>
              </w:rPr>
            </w:r>
            <w:r>
              <w:rPr>
                <w:rFonts w:ascii="Arial"/>
                <w:spacing w:val="-1"/>
                <w:sz w:val="18"/>
              </w:rPr>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1,407,856,809.95</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pStyle w:val="BodyText"/>
        <w:spacing w:line="240" w:lineRule="auto" w:before="36"/>
        <w:ind w:left="580" w:right="1326"/>
        <w:jc w:val="left"/>
      </w:pPr>
      <w:r>
        <w:rPr/>
        <w:t>（</w:t>
      </w:r>
      <w:r>
        <w:rPr>
          <w:rFonts w:ascii="Arial" w:hAnsi="Arial" w:cs="Arial" w:eastAsia="Arial" w:hint="default"/>
        </w:rPr>
        <w:t>3</w:t>
      </w:r>
      <w:r>
        <w:rPr/>
        <w:t>）主营业务按地区分项列示如下：</w:t>
      </w:r>
    </w:p>
    <w:p>
      <w:pPr>
        <w:spacing w:line="240" w:lineRule="auto" w:before="8"/>
        <w:rPr>
          <w:rFonts w:ascii="宋体" w:hAnsi="宋体" w:cs="宋体" w:eastAsia="宋体" w:hint="default"/>
          <w:sz w:val="25"/>
          <w:szCs w:val="25"/>
        </w:rPr>
      </w:pPr>
    </w:p>
    <w:tbl>
      <w:tblPr>
        <w:tblW w:w="0" w:type="auto"/>
        <w:jc w:val="left"/>
        <w:tblInd w:w="222" w:type="dxa"/>
        <w:tblLayout w:type="fixed"/>
        <w:tblCellMar>
          <w:top w:w="0" w:type="dxa"/>
          <w:left w:w="0" w:type="dxa"/>
          <w:bottom w:w="0" w:type="dxa"/>
          <w:right w:w="0" w:type="dxa"/>
        </w:tblCellMar>
        <w:tblLook w:val="01E0"/>
      </w:tblPr>
      <w:tblGrid>
        <w:gridCol w:w="2198"/>
        <w:gridCol w:w="1621"/>
        <w:gridCol w:w="1618"/>
        <w:gridCol w:w="1711"/>
        <w:gridCol w:w="1712"/>
      </w:tblGrid>
      <w:tr>
        <w:trPr>
          <w:trHeight w:val="362" w:hRule="exact"/>
        </w:trPr>
        <w:tc>
          <w:tcPr>
            <w:tcW w:w="219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23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42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198" w:type="dxa"/>
            <w:vMerge/>
            <w:tcBorders>
              <w:left w:val="nil" w:sz="6" w:space="0" w:color="auto"/>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5" w:hRule="exact"/>
        </w:trPr>
        <w:tc>
          <w:tcPr>
            <w:tcW w:w="219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53" w:right="0"/>
              <w:jc w:val="left"/>
              <w:rPr>
                <w:rFonts w:ascii="Arial" w:hAnsi="Arial" w:cs="Arial" w:eastAsia="Arial" w:hint="default"/>
                <w:sz w:val="18"/>
                <w:szCs w:val="18"/>
              </w:rPr>
            </w:pPr>
            <w:r>
              <w:rPr>
                <w:rFonts w:ascii="Arial"/>
                <w:sz w:val="18"/>
              </w:rPr>
              <w:t>55,516,729.83</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46,119,345.51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176,540,086.35</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sz w:val="18"/>
              </w:rPr>
              <w:t>113,446,468.67</w:t>
            </w:r>
          </w:p>
        </w:tc>
      </w:tr>
      <w:tr>
        <w:trPr>
          <w:trHeight w:val="362" w:hRule="exact"/>
        </w:trPr>
        <w:tc>
          <w:tcPr>
            <w:tcW w:w="2198"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255" w:right="0"/>
              <w:jc w:val="left"/>
              <w:rPr>
                <w:rFonts w:ascii="Arial" w:hAnsi="Arial" w:cs="Arial" w:eastAsia="Arial" w:hint="default"/>
                <w:sz w:val="18"/>
                <w:szCs w:val="18"/>
              </w:rPr>
            </w:pPr>
            <w:r>
              <w:rPr>
                <w:rFonts w:ascii="Arial"/>
                <w:sz w:val="18"/>
              </w:rPr>
              <w:t>294,046,749.25</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214,379,165.20</w:t>
            </w: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477,014,430.95</w:t>
            </w:r>
          </w:p>
        </w:tc>
        <w:tc>
          <w:tcPr>
            <w:tcW w:w="1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328,385,534.72</w:t>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04"/>
        <w:gridCol w:w="1621"/>
        <w:gridCol w:w="1618"/>
        <w:gridCol w:w="1711"/>
        <w:gridCol w:w="1712"/>
      </w:tblGrid>
      <w:tr>
        <w:trPr>
          <w:trHeight w:val="370" w:hRule="exact"/>
        </w:trPr>
        <w:tc>
          <w:tcPr>
            <w:tcW w:w="2304" w:type="dxa"/>
            <w:tcBorders>
              <w:top w:val="single" w:sz="17"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2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149,066,557.42</w:t>
            </w:r>
          </w:p>
        </w:tc>
        <w:tc>
          <w:tcPr>
            <w:tcW w:w="161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103,494,555.30</w:t>
            </w:r>
          </w:p>
        </w:tc>
        <w:tc>
          <w:tcPr>
            <w:tcW w:w="171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551,694,324.46</w:t>
            </w:r>
          </w:p>
        </w:tc>
        <w:tc>
          <w:tcPr>
            <w:tcW w:w="171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507,895,471.59</w:t>
            </w:r>
          </w:p>
        </w:tc>
      </w:tr>
      <w:tr>
        <w:trPr>
          <w:trHeight w:val="356"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83,038,101.24</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59,312,451.24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244,440,833.74</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184,610,444.76</w:t>
            </w:r>
          </w:p>
        </w:tc>
      </w:tr>
      <w:tr>
        <w:trPr>
          <w:trHeight w:val="355"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288,567,161.98</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213,013,769.40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133,875,539.22</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85,204,973.97</w:t>
            </w:r>
          </w:p>
        </w:tc>
      </w:tr>
      <w:tr>
        <w:trPr>
          <w:trHeight w:val="355"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37,099,233.17</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25,109,848.57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59,809,826.59</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38,046,518.22</w:t>
            </w:r>
          </w:p>
        </w:tc>
      </w:tr>
      <w:tr>
        <w:trPr>
          <w:trHeight w:val="355"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35,412,677.97</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27,658,164.27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54,686,926.56</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35,044,673.55</w:t>
            </w:r>
          </w:p>
        </w:tc>
      </w:tr>
      <w:tr>
        <w:trPr>
          <w:trHeight w:val="355"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168,552,210.89</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135,289,190.00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172,136,533.44</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sz w:val="18"/>
              </w:rPr>
              <w:t>115,222,724.47</w:t>
            </w:r>
          </w:p>
        </w:tc>
      </w:tr>
      <w:tr>
        <w:trPr>
          <w:trHeight w:val="362"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2"/>
                <w:sz w:val="18"/>
                <w:u w:val="single" w:color="000000"/>
              </w:rPr>
              <w:t>1,111,299,421.75</w:t>
            </w:r>
            <w:r>
              <w:rPr>
                <w:rFonts w:ascii="Arial"/>
                <w:b/>
                <w:spacing w:val="-2"/>
                <w:sz w:val="18"/>
              </w:rPr>
            </w:r>
            <w:r>
              <w:rPr>
                <w:rFonts w:ascii="Arial"/>
                <w:spacing w:val="-2"/>
                <w:sz w:val="18"/>
              </w:rPr>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824,376,489.49</w:t>
            </w:r>
            <w:r>
              <w:rPr>
                <w:rFonts w:ascii="Arial"/>
                <w:b/>
                <w:spacing w:val="-1"/>
                <w:sz w:val="18"/>
              </w:rPr>
            </w:r>
            <w:r>
              <w:rPr>
                <w:rFonts w:ascii="Arial"/>
                <w:spacing w:val="-1"/>
                <w:sz w:val="18"/>
              </w:rPr>
            </w: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1,870,198,501.31</w:t>
            </w:r>
            <w:r>
              <w:rPr>
                <w:rFonts w:ascii="Arial"/>
                <w:b/>
                <w:spacing w:val="-1"/>
                <w:sz w:val="18"/>
              </w:rPr>
            </w:r>
            <w:r>
              <w:rPr>
                <w:rFonts w:ascii="Arial"/>
                <w:spacing w:val="-1"/>
                <w:sz w:val="18"/>
              </w:rPr>
            </w:r>
          </w:p>
        </w:tc>
        <w:tc>
          <w:tcPr>
            <w:tcW w:w="1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1,407,856,809.95</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4</w:t>
      </w:r>
      <w:r>
        <w:rPr/>
        <w:t>）公司前五名客户营业收入情况</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435"/>
        <w:gridCol w:w="2482"/>
        <w:gridCol w:w="2943"/>
      </w:tblGrid>
      <w:tr>
        <w:trPr>
          <w:trHeight w:val="362" w:hRule="exact"/>
        </w:trPr>
        <w:tc>
          <w:tcPr>
            <w:tcW w:w="34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7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8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35,399,687.81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2.96</w:t>
            </w:r>
            <w:r>
              <w:rPr>
                <w:rFonts w:ascii="Arial"/>
                <w:sz w:val="18"/>
              </w:rPr>
            </w:r>
          </w:p>
        </w:tc>
      </w:tr>
      <w:tr>
        <w:trPr>
          <w:trHeight w:val="356"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24,778,658.31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2.07</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广州市楷创照明电器有限公司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20,955,386.32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1.75</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贵阳供电局</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14,371,680.77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1.20</w:t>
            </w:r>
            <w:r>
              <w:rPr>
                <w:rFonts w:ascii="Arial"/>
                <w:sz w:val="18"/>
              </w:rPr>
            </w:r>
          </w:p>
        </w:tc>
      </w:tr>
      <w:tr>
        <w:trPr>
          <w:trHeight w:val="353"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湖南省电力公司岳阳电业局</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4"/>
                <w:sz w:val="18"/>
              </w:rPr>
              <w:t>13,683,111.11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w:hAnsi="Arial" w:cs="Arial" w:eastAsia="Arial" w:hint="default"/>
                <w:sz w:val="18"/>
                <w:szCs w:val="18"/>
              </w:rPr>
            </w:pPr>
            <w:r>
              <w:rPr>
                <w:rFonts w:ascii="Arial"/>
                <w:w w:val="95"/>
                <w:sz w:val="18"/>
              </w:rPr>
              <w:t>1.15</w:t>
            </w:r>
            <w:r>
              <w:rPr>
                <w:rFonts w:ascii="Arial"/>
                <w:sz w:val="18"/>
              </w:rPr>
            </w:r>
          </w:p>
        </w:tc>
      </w:tr>
      <w:tr>
        <w:trPr>
          <w:trHeight w:val="365" w:hRule="exact"/>
        </w:trPr>
        <w:tc>
          <w:tcPr>
            <w:tcW w:w="3435"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2"/>
              <w:jc w:val="right"/>
              <w:rPr>
                <w:rFonts w:ascii="Arial" w:hAnsi="Arial" w:cs="Arial" w:eastAsia="Arial" w:hint="default"/>
                <w:sz w:val="18"/>
                <w:szCs w:val="18"/>
              </w:rPr>
            </w:pPr>
            <w:r>
              <w:rPr>
                <w:rFonts w:ascii="Arial"/>
                <w:b/>
                <w:w w:val="99"/>
                <w:sz w:val="18"/>
              </w:rPr>
            </w:r>
            <w:r>
              <w:rPr>
                <w:rFonts w:ascii="Arial"/>
                <w:b/>
                <w:spacing w:val="-1"/>
                <w:sz w:val="18"/>
                <w:u w:val="single" w:color="000000"/>
              </w:rPr>
              <w:t>109,188,524.32</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b/>
                <w:w w:val="99"/>
                <w:sz w:val="18"/>
              </w:rPr>
            </w:r>
            <w:r>
              <w:rPr>
                <w:rFonts w:ascii="Arial"/>
                <w:b/>
                <w:w w:val="95"/>
                <w:sz w:val="18"/>
                <w:u w:val="single" w:color="000000"/>
              </w:rPr>
              <w:t>9.13</w:t>
            </w:r>
            <w:r>
              <w:rPr>
                <w:rFonts w:ascii="Arial"/>
                <w:b/>
                <w:w w:val="95"/>
                <w:sz w:val="18"/>
              </w:rPr>
            </w:r>
            <w:r>
              <w:rPr>
                <w:rFonts w:ascii="Arial"/>
                <w:sz w:val="18"/>
              </w:rPr>
            </w:r>
          </w:p>
        </w:tc>
      </w:tr>
    </w:tbl>
    <w:p>
      <w:pPr>
        <w:spacing w:line="240" w:lineRule="auto" w:before="13"/>
        <w:rPr>
          <w:rFonts w:ascii="宋体" w:hAnsi="宋体" w:cs="宋体" w:eastAsia="宋体" w:hint="default"/>
          <w:sz w:val="12"/>
          <w:szCs w:val="12"/>
        </w:rPr>
      </w:pPr>
    </w:p>
    <w:p>
      <w:pPr>
        <w:pStyle w:val="Heading4"/>
        <w:tabs>
          <w:tab w:pos="1859" w:val="left" w:leader="none"/>
        </w:tabs>
        <w:spacing w:line="240" w:lineRule="auto" w:before="36"/>
        <w:ind w:left="580" w:right="1326"/>
        <w:jc w:val="left"/>
        <w:rPr>
          <w:b w:val="0"/>
          <w:bCs w:val="0"/>
        </w:rPr>
      </w:pPr>
      <w:r>
        <w:rPr>
          <w:spacing w:val="-1"/>
        </w:rPr>
        <w:t>（三十二）</w:t>
        <w:tab/>
        <w:t>营业税金及附加</w:t>
      </w:r>
      <w:r>
        <w:rPr>
          <w:b w:val="0"/>
          <w:bCs w:val="0"/>
          <w:spacing w:val="-1"/>
        </w:rPr>
      </w:r>
    </w:p>
    <w:p>
      <w:pPr>
        <w:spacing w:line="240" w:lineRule="auto" w:before="5"/>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062"/>
        <w:gridCol w:w="2321"/>
        <w:gridCol w:w="2271"/>
        <w:gridCol w:w="2206"/>
      </w:tblGrid>
      <w:tr>
        <w:trPr>
          <w:trHeight w:val="336" w:hRule="exact"/>
        </w:trPr>
        <w:tc>
          <w:tcPr>
            <w:tcW w:w="20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种</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7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67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2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2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1,247,160.94</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623,915.56</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2"/>
              <w:jc w:val="center"/>
              <w:rPr>
                <w:rFonts w:ascii="Arial" w:hAnsi="Arial" w:cs="Arial" w:eastAsia="Arial" w:hint="default"/>
                <w:sz w:val="18"/>
                <w:szCs w:val="18"/>
              </w:rPr>
            </w:pPr>
            <w:r>
              <w:rPr>
                <w:rFonts w:ascii="宋体" w:hAnsi="宋体" w:cs="宋体" w:eastAsia="宋体" w:hint="default"/>
                <w:sz w:val="18"/>
                <w:szCs w:val="18"/>
              </w:rPr>
              <w:t>应纳营业税收入的</w:t>
            </w:r>
            <w:r>
              <w:rPr>
                <w:rFonts w:ascii="宋体" w:hAnsi="宋体" w:cs="宋体" w:eastAsia="宋体" w:hint="default"/>
                <w:spacing w:val="-45"/>
                <w:sz w:val="18"/>
                <w:szCs w:val="18"/>
              </w:rPr>
              <w:t> </w:t>
            </w:r>
            <w:r>
              <w:rPr>
                <w:rFonts w:ascii="Arial" w:hAnsi="Arial" w:cs="Arial" w:eastAsia="Arial" w:hint="default"/>
                <w:sz w:val="18"/>
                <w:szCs w:val="18"/>
              </w:rPr>
              <w:t>5%</w:t>
            </w:r>
          </w:p>
        </w:tc>
      </w:tr>
      <w:tr>
        <w:trPr>
          <w:trHeight w:val="32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4,749,255.45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6,838,707.70</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2"/>
              <w:jc w:val="center"/>
              <w:rPr>
                <w:rFonts w:ascii="Arial" w:hAnsi="Arial" w:cs="Arial" w:eastAsia="Arial" w:hint="default"/>
                <w:sz w:val="18"/>
                <w:szCs w:val="18"/>
              </w:rPr>
            </w:pPr>
            <w:r>
              <w:rPr>
                <w:rFonts w:ascii="宋体" w:hAnsi="宋体" w:cs="宋体" w:eastAsia="宋体" w:hint="default"/>
                <w:sz w:val="18"/>
                <w:szCs w:val="18"/>
              </w:rPr>
              <w:t>流转税的</w:t>
            </w:r>
            <w:r>
              <w:rPr>
                <w:rFonts w:ascii="宋体" w:hAnsi="宋体" w:cs="宋体" w:eastAsia="宋体" w:hint="default"/>
                <w:spacing w:val="-45"/>
                <w:sz w:val="18"/>
                <w:szCs w:val="18"/>
              </w:rPr>
              <w:t> </w:t>
            </w:r>
            <w:r>
              <w:rPr>
                <w:rFonts w:ascii="Arial" w:hAnsi="Arial" w:cs="Arial" w:eastAsia="Arial" w:hint="default"/>
                <w:sz w:val="18"/>
                <w:szCs w:val="18"/>
              </w:rPr>
              <w:t>7%</w:t>
            </w:r>
          </w:p>
        </w:tc>
      </w:tr>
      <w:tr>
        <w:trPr>
          <w:trHeight w:val="329"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sz w:val="18"/>
              </w:rPr>
              <w:t>3,157,699.17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4,527,269.19</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2"/>
              <w:jc w:val="center"/>
              <w:rPr>
                <w:rFonts w:ascii="Arial" w:hAnsi="Arial" w:cs="Arial" w:eastAsia="Arial" w:hint="default"/>
                <w:sz w:val="18"/>
                <w:szCs w:val="18"/>
              </w:rPr>
            </w:pPr>
            <w:r>
              <w:rPr>
                <w:rFonts w:ascii="宋体" w:hAnsi="宋体" w:cs="宋体" w:eastAsia="宋体" w:hint="default"/>
                <w:sz w:val="18"/>
                <w:szCs w:val="18"/>
              </w:rPr>
              <w:t>流转税的</w:t>
            </w:r>
            <w:r>
              <w:rPr>
                <w:rFonts w:ascii="宋体" w:hAnsi="宋体" w:cs="宋体" w:eastAsia="宋体" w:hint="default"/>
                <w:spacing w:val="-45"/>
                <w:sz w:val="18"/>
                <w:szCs w:val="18"/>
              </w:rPr>
              <w:t> </w:t>
            </w:r>
            <w:r>
              <w:rPr>
                <w:rFonts w:ascii="Arial" w:hAnsi="Arial" w:cs="Arial" w:eastAsia="Arial" w:hint="default"/>
                <w:sz w:val="18"/>
                <w:szCs w:val="18"/>
              </w:rPr>
              <w:t>3%</w:t>
            </w:r>
          </w:p>
        </w:tc>
      </w:tr>
      <w:tr>
        <w:trPr>
          <w:trHeight w:val="327"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75,597.41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3,000.00</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20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9,229,712.97</w:t>
            </w:r>
            <w:r>
              <w:rPr>
                <w:rFonts w:ascii="Arial"/>
                <w:b/>
                <w:spacing w:val="-1"/>
                <w:sz w:val="18"/>
              </w:rPr>
            </w:r>
            <w:r>
              <w:rPr>
                <w:rFonts w:ascii="Arial"/>
                <w:spacing w:val="-1"/>
                <w:sz w:val="18"/>
              </w:rPr>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b/>
                <w:w w:val="99"/>
                <w:sz w:val="18"/>
              </w:rPr>
            </w:r>
            <w:r>
              <w:rPr>
                <w:rFonts w:ascii="Arial"/>
                <w:b/>
                <w:spacing w:val="-2"/>
                <w:sz w:val="18"/>
                <w:u w:val="single" w:color="000000"/>
              </w:rPr>
              <w:t>11,992,892.45</w:t>
            </w:r>
            <w:r>
              <w:rPr>
                <w:rFonts w:ascii="Arial"/>
                <w:b/>
                <w:spacing w:val="-2"/>
                <w:sz w:val="18"/>
              </w:rPr>
            </w:r>
            <w:r>
              <w:rPr>
                <w:rFonts w:ascii="Arial"/>
                <w:spacing w:val="-2"/>
                <w:sz w:val="18"/>
              </w:rPr>
            </w:r>
          </w:p>
        </w:tc>
        <w:tc>
          <w:tcPr>
            <w:tcW w:w="220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tabs>
          <w:tab w:pos="1859" w:val="left" w:leader="none"/>
        </w:tabs>
        <w:spacing w:before="3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（三十三）</w:t>
        <w:tab/>
        <w:t>销售费用</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972"/>
        <w:gridCol w:w="2945"/>
        <w:gridCol w:w="2943"/>
      </w:tblGrid>
      <w:tr>
        <w:trPr>
          <w:trHeight w:val="336"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25,556,234.63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32,691,290.61</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615,195.46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spacing w:val="-2"/>
                <w:sz w:val="18"/>
              </w:rPr>
              <w:t>1,047,114.77</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505,454.18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1"/>
                <w:sz w:val="18"/>
              </w:rPr>
              <w:t>2,745,167.76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177,499.00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544,523.17</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1,547,379.38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2,243,735.17</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754,865.89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555,625.64</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48,480.74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2"/>
                <w:sz w:val="18"/>
              </w:rPr>
              <w:t>46,703.11</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1,398,661.55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3,551,084.42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126,974.29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140,068.31</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854,896.66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2,652,706.24</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6,931,018.25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spacing w:val="-2"/>
                <w:sz w:val="18"/>
              </w:rPr>
              <w:t>11,725,285.21</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2,374,653.20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7,876,181.86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1,723,954.76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3,645,539.94</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2"/>
                <w:sz w:val="18"/>
              </w:rPr>
              <w:t>11,682,787.53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22,131,091.93</w:t>
            </w:r>
          </w:p>
        </w:tc>
      </w:tr>
      <w:tr>
        <w:trPr>
          <w:trHeight w:val="336"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2"/>
                <w:sz w:val="18"/>
              </w:rPr>
              <w:t>11,124,664.05</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15,970,564.30</w:t>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3077"/>
        <w:gridCol w:w="2945"/>
        <w:gridCol w:w="2943"/>
      </w:tblGrid>
      <w:tr>
        <w:trPr>
          <w:trHeight w:val="341" w:hRule="exact"/>
        </w:trPr>
        <w:tc>
          <w:tcPr>
            <w:tcW w:w="307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294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1,189,096.65</w:t>
            </w:r>
          </w:p>
        </w:tc>
        <w:tc>
          <w:tcPr>
            <w:tcW w:w="294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2,137,257.12</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1,175,427.37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1,006,864.80</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招投标费用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5,950,523.93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9,003,107.50</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62,349,093.05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58,638,735.71</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3,180,814.16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2,707,172.52</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9,374,302.25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spacing w:val="-2"/>
                <w:sz w:val="18"/>
              </w:rPr>
              <w:t>11,829,715.37</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29,800,081.20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33,559,942.45</w:t>
            </w:r>
          </w:p>
        </w:tc>
      </w:tr>
      <w:tr>
        <w:trPr>
          <w:trHeight w:val="336" w:hRule="exact"/>
        </w:trPr>
        <w:tc>
          <w:tcPr>
            <w:tcW w:w="30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b/>
                <w:w w:val="99"/>
                <w:sz w:val="18"/>
              </w:rPr>
            </w:r>
            <w:r>
              <w:rPr>
                <w:rFonts w:ascii="Arial"/>
                <w:b/>
                <w:spacing w:val="-1"/>
                <w:sz w:val="18"/>
                <w:u w:val="single" w:color="000000"/>
              </w:rPr>
              <w:t>178,442,058.18</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226,449,477.91</w:t>
            </w:r>
            <w:r>
              <w:rPr>
                <w:rFonts w:ascii="Arial"/>
                <w:b/>
                <w:spacing w:val="-1"/>
                <w:sz w:val="18"/>
              </w:rPr>
            </w:r>
            <w:r>
              <w:rPr>
                <w:rFonts w:ascii="Arial"/>
                <w:spacing w:val="-1"/>
                <w:sz w:val="18"/>
              </w:rPr>
            </w:r>
          </w:p>
        </w:tc>
      </w:tr>
    </w:tbl>
    <w:p>
      <w:pPr>
        <w:spacing w:line="240" w:lineRule="auto" w:before="13"/>
        <w:rPr>
          <w:rFonts w:ascii="宋体" w:hAnsi="宋体" w:cs="宋体" w:eastAsia="宋体" w:hint="default"/>
          <w:b/>
          <w:bCs/>
          <w:sz w:val="12"/>
          <w:szCs w:val="12"/>
        </w:rPr>
      </w:pPr>
    </w:p>
    <w:p>
      <w:pPr>
        <w:tabs>
          <w:tab w:pos="1859" w:val="left" w:leader="none"/>
        </w:tabs>
        <w:spacing w:before="3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（三十四）</w:t>
        <w:tab/>
        <w:t>管理费用</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972"/>
        <w:gridCol w:w="2945"/>
        <w:gridCol w:w="2943"/>
      </w:tblGrid>
      <w:tr>
        <w:trPr>
          <w:trHeight w:val="336"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46,042,121.24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42,197,359.94</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7,193,681.80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5,765,665.61</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社会统筹费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18,999,087.49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18,622,210.42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1,319,876.13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2,031,958.15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1,280,972.61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830,791.62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8,229,050.19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1,580,674.84</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16,164,182.65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17,595,054.77</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2,990,719.58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3,654,684.98</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589,668.22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1,062,543.49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1,449,042.48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1,937,742.18</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39,492,980.84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13,708,798.45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7,828,584.82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10,420,726.95</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财产保险费用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376,344.63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942,076.65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2,698,041.50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3,129,337.16</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5,665,577.97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6,333,552.60</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1,479,347.49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1,719,494.55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2,307,055.76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1,927,546.56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206,812.86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241,775.32</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5,754,605.96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7,210,219.98</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1,356,330.90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1,307,772.44</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2,557,291.25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6,696,058.76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5,389,145.58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5,247,558.25</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18,384,769.14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10,315,784.01</w:t>
            </w:r>
          </w:p>
        </w:tc>
      </w:tr>
      <w:tr>
        <w:trPr>
          <w:trHeight w:val="334"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197,755,291.09</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164,479,387.68</w:t>
            </w:r>
            <w:r>
              <w:rPr>
                <w:rFonts w:ascii="Arial"/>
                <w:b/>
                <w:spacing w:val="-1"/>
                <w:sz w:val="18"/>
              </w:rPr>
            </w:r>
            <w:r>
              <w:rPr>
                <w:rFonts w:ascii="Arial"/>
                <w:spacing w:val="-1"/>
                <w:sz w:val="18"/>
              </w:rPr>
            </w:r>
          </w:p>
        </w:tc>
      </w:tr>
    </w:tbl>
    <w:p>
      <w:pPr>
        <w:tabs>
          <w:tab w:pos="1859" w:val="left" w:leader="none"/>
        </w:tabs>
        <w:spacing w:before="2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（三十五）</w:t>
        <w:tab/>
        <w:t>财务费用</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972"/>
        <w:gridCol w:w="2945"/>
        <w:gridCol w:w="2943"/>
      </w:tblGrid>
      <w:tr>
        <w:trPr>
          <w:trHeight w:val="334"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40,928,021.72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73,773,047.55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w:t>
            </w:r>
            <w:r>
              <w:rPr>
                <w:rFonts w:ascii="Arial" w:hAnsi="Arial" w:cs="Arial" w:eastAsia="Arial" w:hint="default"/>
                <w:sz w:val="18"/>
                <w:szCs w:val="18"/>
              </w:rPr>
              <w:t>:</w:t>
            </w:r>
            <w:r>
              <w:rPr>
                <w:rFonts w:ascii="宋体" w:hAnsi="宋体" w:cs="宋体" w:eastAsia="宋体" w:hint="default"/>
                <w:sz w:val="18"/>
                <w:szCs w:val="18"/>
              </w:rPr>
              <w:t>利息收入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2"/>
                <w:sz w:val="18"/>
              </w:rPr>
              <w:t>3,611,903.97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4,007,677.02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2,968,061.00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1,240,193.19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3,136,158.24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578,718.86</w:t>
            </w:r>
          </w:p>
        </w:tc>
      </w:tr>
      <w:tr>
        <w:trPr>
          <w:trHeight w:val="336"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43,420,336.99</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71,584,282.58</w:t>
            </w:r>
            <w:r>
              <w:rPr>
                <w:rFonts w:ascii="Arial"/>
                <w:b/>
                <w:spacing w:val="-1"/>
                <w:sz w:val="18"/>
              </w:rPr>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p>
      <w:pPr>
        <w:tabs>
          <w:tab w:pos="1859" w:val="left" w:leader="none"/>
        </w:tabs>
        <w:spacing w:before="30"/>
        <w:ind w:left="580" w:right="1326"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35992" coordorigin="1412,57" coordsize="8726,2">
            <v:shape style="position:absolute;left:1412;top:57;width:8726;height:2" coordorigin="1412,57" coordsize="8726,0" path="m1412,57l10137,57e" filled="false" stroked="true" strokeweight=".72pt" strokecolor="#000000">
              <v:path arrowok="t"/>
            </v:shape>
            <w10:wrap type="none"/>
          </v:group>
        </w:pict>
      </w:r>
      <w:r>
        <w:rPr>
          <w:rFonts w:ascii="宋体" w:hAnsi="宋体" w:cs="宋体" w:eastAsia="宋体" w:hint="default"/>
          <w:b/>
          <w:bCs/>
          <w:spacing w:val="-1"/>
          <w:sz w:val="21"/>
          <w:szCs w:val="21"/>
        </w:rPr>
        <w:t>（三十六）</w:t>
        <w:tab/>
        <w:t>投资收益</w:t>
      </w:r>
      <w:r>
        <w:rPr>
          <w:rFonts w:ascii="宋体" w:hAnsi="宋体" w:cs="宋体" w:eastAsia="宋体" w:hint="default"/>
          <w:spacing w:val="-1"/>
          <w:sz w:val="21"/>
          <w:szCs w:val="21"/>
        </w:rPr>
      </w:r>
    </w:p>
    <w:p>
      <w:pPr>
        <w:spacing w:line="240" w:lineRule="auto" w:before="13"/>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）投资收益按来源列示如下：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181"/>
        <w:gridCol w:w="2736"/>
        <w:gridCol w:w="2943"/>
      </w:tblGrid>
      <w:tr>
        <w:trPr>
          <w:trHeight w:val="377" w:hRule="exact"/>
        </w:trPr>
        <w:tc>
          <w:tcPr>
            <w:tcW w:w="31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787"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7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1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3,883,540.79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4,632,032.71</w:t>
            </w:r>
          </w:p>
        </w:tc>
      </w:tr>
      <w:tr>
        <w:trPr>
          <w:trHeight w:val="329" w:hRule="exact"/>
        </w:trPr>
        <w:tc>
          <w:tcPr>
            <w:tcW w:w="31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-10,101,838.03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-5,449,870.66</w:t>
            </w:r>
          </w:p>
        </w:tc>
      </w:tr>
      <w:tr>
        <w:trPr>
          <w:trHeight w:val="326" w:hRule="exact"/>
        </w:trPr>
        <w:tc>
          <w:tcPr>
            <w:tcW w:w="31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2736" w:type="dxa"/>
            <w:tcBorders>
              <w:top w:val="single" w:sz="6" w:space="0" w:color="000000"/>
              <w:left w:val="single" w:sz="6" w:space="0" w:color="000000"/>
              <w:bottom w:val="single" w:sz="6" w:space="0" w:color="000000"/>
              <w:right w:val="single" w:sz="6" w:space="0" w:color="000000"/>
            </w:tcBorders>
          </w:tcPr>
          <w:p>
            <w:pP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52,000.00</w:t>
            </w:r>
          </w:p>
        </w:tc>
      </w:tr>
      <w:tr>
        <w:trPr>
          <w:trHeight w:val="336" w:hRule="exact"/>
        </w:trPr>
        <w:tc>
          <w:tcPr>
            <w:tcW w:w="31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-6,218,297.24</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-765,837.95</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2</w:t>
      </w:r>
      <w:r>
        <w:rPr/>
        <w:t>）按权益法核算的长期股权投资收益：</w:t>
      </w:r>
    </w:p>
    <w:p>
      <w:pPr>
        <w:spacing w:line="240" w:lineRule="auto" w:before="11"/>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3188"/>
        <w:gridCol w:w="1517"/>
        <w:gridCol w:w="1781"/>
        <w:gridCol w:w="2552"/>
      </w:tblGrid>
      <w:tr>
        <w:trPr>
          <w:trHeight w:val="336" w:hRule="exact"/>
        </w:trPr>
        <w:tc>
          <w:tcPr>
            <w:tcW w:w="31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96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6"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3,781,855.69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4,520,383.75</w:t>
            </w:r>
          </w:p>
        </w:tc>
        <w:tc>
          <w:tcPr>
            <w:tcW w:w="25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被投资单位经营情况变动</w:t>
            </w:r>
          </w:p>
        </w:tc>
      </w:tr>
      <w:tr>
        <w:trPr>
          <w:trHeight w:val="327"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淮北万华仪表有限公司</w:t>
            </w:r>
          </w:p>
        </w:tc>
        <w:tc>
          <w:tcPr>
            <w:tcW w:w="1517"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3"/>
                <w:w w:val="95"/>
                <w:sz w:val="18"/>
              </w:rPr>
              <w:t>111,648.96</w:t>
            </w:r>
            <w:r>
              <w:rPr>
                <w:rFonts w:ascii="Arial"/>
                <w:spacing w:val="-3"/>
                <w:sz w:val="18"/>
              </w:rPr>
            </w:r>
          </w:p>
        </w:tc>
        <w:tc>
          <w:tcPr>
            <w:tcW w:w="25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本年已处置</w:t>
            </w:r>
          </w:p>
        </w:tc>
      </w:tr>
      <w:tr>
        <w:trPr>
          <w:trHeight w:val="329"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101,685.10</w:t>
            </w:r>
          </w:p>
        </w:tc>
        <w:tc>
          <w:tcPr>
            <w:tcW w:w="1781"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334" w:hRule="exact"/>
        </w:trPr>
        <w:tc>
          <w:tcPr>
            <w:tcW w:w="31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3,883,540.79</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4,632,032.71</w:t>
            </w:r>
            <w:r>
              <w:rPr>
                <w:rFonts w:ascii="Arial"/>
                <w:b/>
                <w:spacing w:val="-1"/>
                <w:sz w:val="18"/>
              </w:rPr>
            </w:r>
            <w:r>
              <w:rPr>
                <w:rFonts w:ascii="Arial"/>
                <w:spacing w:val="-1"/>
                <w:sz w:val="18"/>
              </w:rPr>
            </w:r>
          </w:p>
        </w:tc>
        <w:tc>
          <w:tcPr>
            <w:tcW w:w="2552"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26"/>
        <w:ind w:left="580" w:right="1326"/>
        <w:jc w:val="left"/>
      </w:pPr>
      <w:r>
        <w:rPr/>
        <w:t>（</w:t>
      </w:r>
      <w:r>
        <w:rPr>
          <w:rFonts w:ascii="Arial" w:hAnsi="Arial" w:cs="Arial" w:eastAsia="Arial" w:hint="default"/>
        </w:rPr>
        <w:t>3</w:t>
      </w:r>
      <w:r>
        <w:rPr/>
        <w:t>）本报告期内投资收益汇回不存在重大限制。</w:t>
      </w:r>
    </w:p>
    <w:p>
      <w:pPr>
        <w:spacing w:line="240" w:lineRule="auto" w:before="5"/>
        <w:rPr>
          <w:rFonts w:ascii="宋体" w:hAnsi="宋体" w:cs="宋体" w:eastAsia="宋体" w:hint="default"/>
          <w:sz w:val="18"/>
          <w:szCs w:val="18"/>
        </w:rPr>
      </w:pPr>
    </w:p>
    <w:p>
      <w:pPr>
        <w:pStyle w:val="Heading4"/>
        <w:tabs>
          <w:tab w:pos="1859" w:val="left" w:leader="none"/>
        </w:tabs>
        <w:spacing w:line="240" w:lineRule="auto"/>
        <w:ind w:left="580" w:right="1326"/>
        <w:jc w:val="left"/>
        <w:rPr>
          <w:b w:val="0"/>
          <w:bCs w:val="0"/>
        </w:rPr>
      </w:pPr>
      <w:r>
        <w:rPr>
          <w:spacing w:val="-1"/>
        </w:rPr>
        <w:t>（三十七）</w:t>
        <w:tab/>
        <w:t>资产减值损失</w:t>
      </w:r>
      <w:r>
        <w:rPr>
          <w:b w:val="0"/>
          <w:bCs w:val="0"/>
          <w:spacing w:val="-1"/>
        </w:rPr>
      </w:r>
    </w:p>
    <w:p>
      <w:pPr>
        <w:spacing w:line="240" w:lineRule="auto" w:before="7"/>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3949"/>
        <w:gridCol w:w="2456"/>
        <w:gridCol w:w="2456"/>
      </w:tblGrid>
      <w:tr>
        <w:trPr>
          <w:trHeight w:val="334" w:hRule="exact"/>
        </w:trPr>
        <w:tc>
          <w:tcPr>
            <w:tcW w:w="39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77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7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2"/>
                <w:sz w:val="18"/>
              </w:rPr>
              <w:t>20,055,627.11</w:t>
            </w: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47,305,449.81</w:t>
            </w:r>
          </w:p>
        </w:tc>
      </w:tr>
      <w:tr>
        <w:trPr>
          <w:trHeight w:val="329"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1,347,983.14</w:t>
            </w: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1,993,582.88</w:t>
            </w:r>
          </w:p>
        </w:tc>
      </w:tr>
      <w:tr>
        <w:trPr>
          <w:trHeight w:val="326"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8,900,000.00</w:t>
            </w: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10,513,430.45</w:t>
            </w:r>
          </w:p>
        </w:tc>
      </w:tr>
      <w:tr>
        <w:trPr>
          <w:trHeight w:val="327"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24,296,603.77</w:t>
            </w:r>
          </w:p>
        </w:tc>
        <w:tc>
          <w:tcPr>
            <w:tcW w:w="245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39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54,600,214.02</w:t>
            </w:r>
            <w:r>
              <w:rPr>
                <w:rFonts w:ascii="Arial"/>
                <w:b/>
                <w:spacing w:val="-1"/>
                <w:sz w:val="18"/>
              </w:rPr>
            </w:r>
            <w:r>
              <w:rPr>
                <w:rFonts w:ascii="Arial"/>
                <w:spacing w:val="-1"/>
                <w:sz w:val="18"/>
              </w:rPr>
            </w:r>
          </w:p>
        </w:tc>
        <w:tc>
          <w:tcPr>
            <w:tcW w:w="2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59,812,463.14</w:t>
            </w:r>
            <w:r>
              <w:rPr>
                <w:rFonts w:ascii="Arial"/>
                <w:b/>
                <w:spacing w:val="-1"/>
                <w:sz w:val="18"/>
              </w:rPr>
            </w:r>
            <w:r>
              <w:rPr>
                <w:rFonts w:ascii="Arial"/>
                <w:spacing w:val="-1"/>
                <w:sz w:val="18"/>
              </w:rPr>
            </w:r>
          </w:p>
        </w:tc>
      </w:tr>
    </w:tbl>
    <w:p>
      <w:pPr>
        <w:tabs>
          <w:tab w:pos="1859" w:val="left" w:leader="none"/>
        </w:tabs>
        <w:spacing w:before="86"/>
        <w:ind w:left="580" w:right="1326" w:firstLine="0"/>
        <w:jc w:val="left"/>
        <w:rPr>
          <w:rFonts w:ascii="宋体" w:hAnsi="宋体" w:cs="宋体" w:eastAsia="宋体" w:hint="default"/>
          <w:sz w:val="21"/>
          <w:szCs w:val="21"/>
        </w:rPr>
      </w:pPr>
      <w:r>
        <w:rPr>
          <w:rFonts w:ascii="宋体" w:hAnsi="宋体" w:cs="宋体" w:eastAsia="宋体" w:hint="default"/>
          <w:b/>
          <w:bCs/>
          <w:spacing w:val="-1"/>
          <w:sz w:val="21"/>
          <w:szCs w:val="21"/>
        </w:rPr>
        <w:t>（三十八）</w:t>
        <w:tab/>
        <w:t>营业外收入</w:t>
      </w:r>
      <w:r>
        <w:rPr>
          <w:rFonts w:ascii="宋体" w:hAnsi="宋体" w:cs="宋体" w:eastAsia="宋体" w:hint="default"/>
          <w:spacing w:val="-1"/>
          <w:sz w:val="21"/>
          <w:szCs w:val="21"/>
        </w:rPr>
      </w:r>
    </w:p>
    <w:p>
      <w:pPr>
        <w:spacing w:line="240" w:lineRule="auto" w:before="12"/>
        <w:rPr>
          <w:rFonts w:ascii="宋体" w:hAnsi="宋体" w:cs="宋体" w:eastAsia="宋体" w:hint="default"/>
          <w:b/>
          <w:bCs/>
          <w:sz w:val="21"/>
          <w:szCs w:val="21"/>
        </w:rPr>
      </w:pPr>
    </w:p>
    <w:tbl>
      <w:tblPr>
        <w:tblW w:w="0" w:type="auto"/>
        <w:jc w:val="left"/>
        <w:tblInd w:w="222" w:type="dxa"/>
        <w:tblLayout w:type="fixed"/>
        <w:tblCellMar>
          <w:top w:w="0" w:type="dxa"/>
          <w:left w:w="0" w:type="dxa"/>
          <w:bottom w:w="0" w:type="dxa"/>
          <w:right w:w="0" w:type="dxa"/>
        </w:tblCellMar>
        <w:tblLook w:val="01E0"/>
      </w:tblPr>
      <w:tblGrid>
        <w:gridCol w:w="3944"/>
        <w:gridCol w:w="2458"/>
        <w:gridCol w:w="2458"/>
      </w:tblGrid>
      <w:tr>
        <w:trPr>
          <w:trHeight w:val="336"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77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7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1,061,082.09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901,588.95</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1,061,082.09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901,588.95</w:t>
            </w:r>
          </w:p>
        </w:tc>
      </w:tr>
      <w:tr>
        <w:trPr>
          <w:trHeight w:val="329"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sz w:val="18"/>
              </w:rPr>
              <w:t>13,959,291.19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10,712,681.32</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罚款利得</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435,800.28</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407,953.67</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1,360,356.75</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598,776.66</w:t>
            </w:r>
          </w:p>
        </w:tc>
      </w:tr>
      <w:tr>
        <w:trPr>
          <w:trHeight w:val="33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16,816,530.31</w:t>
            </w:r>
            <w:r>
              <w:rPr>
                <w:rFonts w:ascii="Arial"/>
                <w:b/>
                <w:spacing w:val="-1"/>
                <w:sz w:val="18"/>
              </w:rPr>
            </w:r>
            <w:r>
              <w:rPr>
                <w:rFonts w:ascii="Arial"/>
                <w:spacing w:val="-1"/>
                <w:sz w:val="18"/>
              </w:rPr>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12,621,000.60</w:t>
            </w:r>
            <w:r>
              <w:rPr>
                <w:rFonts w:ascii="Arial"/>
                <w:b/>
                <w:spacing w:val="-1"/>
                <w:sz w:val="18"/>
              </w:rPr>
            </w:r>
            <w:r>
              <w:rPr>
                <w:rFonts w:ascii="Arial"/>
                <w:spacing w:val="-1"/>
                <w:sz w:val="18"/>
              </w:rPr>
            </w:r>
          </w:p>
        </w:tc>
      </w:tr>
    </w:tbl>
    <w:p>
      <w:pPr>
        <w:pStyle w:val="BodyText"/>
        <w:spacing w:line="240" w:lineRule="auto" w:before="86"/>
        <w:ind w:left="580" w:right="1326"/>
        <w:jc w:val="left"/>
      </w:pPr>
      <w:r>
        <w:rPr/>
        <w:t>政府补助明细列示如下：</w:t>
      </w:r>
    </w:p>
    <w:p>
      <w:pPr>
        <w:spacing w:line="240" w:lineRule="auto" w:before="2"/>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073"/>
        <w:gridCol w:w="2007"/>
        <w:gridCol w:w="2004"/>
        <w:gridCol w:w="2007"/>
      </w:tblGrid>
      <w:tr>
        <w:trPr>
          <w:trHeight w:val="502" w:hRule="exact"/>
        </w:trPr>
        <w:tc>
          <w:tcPr>
            <w:tcW w:w="307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1"/>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4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4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007"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636" w:right="192" w:hanging="452"/>
              <w:jc w:val="left"/>
              <w:rPr>
                <w:rFonts w:ascii="宋体" w:hAnsi="宋体" w:cs="宋体" w:eastAsia="宋体" w:hint="default"/>
                <w:sz w:val="18"/>
                <w:szCs w:val="18"/>
              </w:rPr>
            </w:pPr>
            <w:r>
              <w:rPr>
                <w:rFonts w:ascii="宋体" w:hAnsi="宋体" w:cs="宋体" w:eastAsia="宋体" w:hint="default"/>
                <w:sz w:val="18"/>
                <w:szCs w:val="18"/>
              </w:rPr>
              <w:t>计入当期非经常性损 益的金额</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4,894,402.79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spacing w:val="-1"/>
                <w:sz w:val="18"/>
              </w:rPr>
              <w:t>3,346,013.40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1,400,000.00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spacing w:val="-1"/>
                <w:sz w:val="18"/>
              </w:rPr>
              <w:t>1,400,000.00</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5"/>
              <w:jc w:val="right"/>
              <w:rPr>
                <w:rFonts w:ascii="Arial" w:hAnsi="Arial" w:cs="Arial" w:eastAsia="Arial" w:hint="default"/>
                <w:sz w:val="18"/>
                <w:szCs w:val="18"/>
              </w:rPr>
            </w:pPr>
            <w:r>
              <w:rPr>
                <w:rFonts w:ascii="Arial"/>
                <w:spacing w:val="-1"/>
                <w:sz w:val="18"/>
              </w:rPr>
              <w:t>1,400,000.00</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水利建设资金返还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1,151,855.36</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spacing w:val="-1"/>
                <w:sz w:val="18"/>
              </w:rPr>
              <w:t>1,077,815.98</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1,151,855.36</w:t>
            </w: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重大科技专项和优先主题补助经费</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spacing w:val="-1"/>
                <w:sz w:val="18"/>
              </w:rPr>
              <w:t>850,000.00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房产税返还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1,474,337.39</w:t>
            </w:r>
          </w:p>
        </w:tc>
        <w:tc>
          <w:tcPr>
            <w:tcW w:w="20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1,474,337.39</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土地使用税返还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897,074.00</w:t>
            </w:r>
          </w:p>
        </w:tc>
        <w:tc>
          <w:tcPr>
            <w:tcW w:w="20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Arial" w:hAnsi="Arial" w:cs="Arial" w:eastAsia="Arial" w:hint="default"/>
                <w:sz w:val="18"/>
                <w:szCs w:val="18"/>
              </w:rPr>
            </w:pPr>
            <w:r>
              <w:rPr>
                <w:rFonts w:ascii="Arial"/>
                <w:spacing w:val="-1"/>
                <w:sz w:val="18"/>
              </w:rPr>
              <w:t>897,074.00</w:t>
            </w:r>
          </w:p>
        </w:tc>
      </w:tr>
      <w:tr>
        <w:trPr>
          <w:trHeight w:val="307" w:hRule="exact"/>
        </w:trPr>
        <w:tc>
          <w:tcPr>
            <w:tcW w:w="30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pacing w:val="8"/>
                <w:sz w:val="18"/>
                <w:szCs w:val="18"/>
              </w:rPr>
              <w:t>省财政厅芯片开发及子系统应用补</w:t>
            </w:r>
          </w:p>
        </w:tc>
        <w:tc>
          <w:tcPr>
            <w:tcW w:w="2007" w:type="dxa"/>
            <w:tcBorders>
              <w:top w:val="single" w:sz="6" w:space="0" w:color="000000"/>
              <w:left w:val="single" w:sz="6" w:space="0" w:color="000000"/>
              <w:bottom w:val="single" w:sz="12" w:space="0" w:color="000000"/>
              <w:right w:val="single" w:sz="6" w:space="0" w:color="000000"/>
            </w:tcBorders>
          </w:tcPr>
          <w:p>
            <w:pP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spacing w:val="-1"/>
                <w:sz w:val="18"/>
              </w:rPr>
              <w:t>400,000.00</w:t>
            </w:r>
          </w:p>
        </w:tc>
        <w:tc>
          <w:tcPr>
            <w:tcW w:w="200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073"/>
        <w:gridCol w:w="2007"/>
        <w:gridCol w:w="2004"/>
        <w:gridCol w:w="2007"/>
      </w:tblGrid>
      <w:tr>
        <w:trPr>
          <w:trHeight w:val="314" w:hRule="exact"/>
        </w:trPr>
        <w:tc>
          <w:tcPr>
            <w:tcW w:w="3073" w:type="dxa"/>
            <w:tcBorders>
              <w:top w:val="single" w:sz="17"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助经费</w:t>
            </w:r>
          </w:p>
        </w:tc>
        <w:tc>
          <w:tcPr>
            <w:tcW w:w="2007" w:type="dxa"/>
            <w:tcBorders>
              <w:top w:val="single" w:sz="17" w:space="0" w:color="000000"/>
              <w:left w:val="single" w:sz="6" w:space="0" w:color="000000"/>
              <w:bottom w:val="single" w:sz="6" w:space="0" w:color="000000"/>
              <w:right w:val="single" w:sz="6" w:space="0" w:color="000000"/>
            </w:tcBorders>
          </w:tcPr>
          <w:p>
            <w:pPr/>
          </w:p>
        </w:tc>
        <w:tc>
          <w:tcPr>
            <w:tcW w:w="2004" w:type="dxa"/>
            <w:tcBorders>
              <w:top w:val="single" w:sz="17" w:space="0" w:color="000000"/>
              <w:left w:val="single" w:sz="6" w:space="0" w:color="000000"/>
              <w:bottom w:val="single" w:sz="6" w:space="0" w:color="000000"/>
              <w:right w:val="single" w:sz="6" w:space="0" w:color="000000"/>
            </w:tcBorders>
          </w:tcPr>
          <w:p>
            <w:pPr/>
          </w:p>
        </w:tc>
        <w:tc>
          <w:tcPr>
            <w:tcW w:w="2007" w:type="dxa"/>
            <w:tcBorders>
              <w:top w:val="single" w:sz="17" w:space="0" w:color="000000"/>
              <w:left w:val="single" w:sz="6" w:space="0" w:color="000000"/>
              <w:bottom w:val="single" w:sz="6" w:space="0" w:color="000000"/>
              <w:right w:val="nil" w:sz="6" w:space="0" w:color="auto"/>
            </w:tcBorders>
          </w:tcPr>
          <w:p>
            <w:pPr/>
          </w:p>
        </w:tc>
      </w:tr>
      <w:tr>
        <w:trPr>
          <w:trHeight w:val="495"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优化机电和高新产品进出口清算资</w:t>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400,000.00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中小企业市场开拓资金</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spacing w:val="-1"/>
                <w:sz w:val="18"/>
              </w:rPr>
              <w:t>325,923.00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8"/>
                <w:sz w:val="18"/>
                <w:szCs w:val="18"/>
              </w:rPr>
              <w:t>北京市商务局哌喹片儿童剂型开发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经费</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240,000.00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国家重点新产品计划项目奖励金</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300,000.00</w:t>
            </w:r>
          </w:p>
        </w:tc>
        <w:tc>
          <w:tcPr>
            <w:tcW w:w="20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Arial" w:hAnsi="Arial" w:cs="Arial" w:eastAsia="Arial" w:hint="default"/>
                <w:sz w:val="18"/>
                <w:szCs w:val="18"/>
              </w:rPr>
            </w:pPr>
            <w:r>
              <w:rPr>
                <w:rFonts w:ascii="Arial"/>
                <w:spacing w:val="-1"/>
                <w:sz w:val="18"/>
              </w:rPr>
              <w:t>300,000.00</w:t>
            </w:r>
          </w:p>
        </w:tc>
      </w:tr>
      <w:tr>
        <w:trPr>
          <w:trHeight w:val="497"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2"/>
              <w:jc w:val="left"/>
              <w:rPr>
                <w:rFonts w:ascii="宋体" w:hAnsi="宋体" w:cs="宋体" w:eastAsia="宋体" w:hint="default"/>
                <w:sz w:val="18"/>
                <w:szCs w:val="18"/>
              </w:rPr>
            </w:pPr>
            <w:r>
              <w:rPr>
                <w:rFonts w:ascii="宋体" w:hAnsi="宋体" w:cs="宋体" w:eastAsia="宋体" w:hint="default"/>
                <w:spacing w:val="8"/>
                <w:sz w:val="18"/>
                <w:szCs w:val="18"/>
              </w:rPr>
              <w:t>科学技术进步奖和创新性试点企业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奖励金</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420,000.00</w:t>
            </w:r>
          </w:p>
        </w:tc>
        <w:tc>
          <w:tcPr>
            <w:tcW w:w="20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4"/>
              <w:jc w:val="right"/>
              <w:rPr>
                <w:rFonts w:ascii="Arial" w:hAnsi="Arial" w:cs="Arial" w:eastAsia="Arial" w:hint="default"/>
                <w:sz w:val="18"/>
                <w:szCs w:val="18"/>
              </w:rPr>
            </w:pPr>
            <w:r>
              <w:rPr>
                <w:rFonts w:ascii="Arial"/>
                <w:spacing w:val="-1"/>
                <w:sz w:val="18"/>
              </w:rPr>
              <w:t>420,000.00</w:t>
            </w: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工业企业信息化应用项目区级资助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320,000.00</w:t>
            </w:r>
          </w:p>
        </w:tc>
        <w:tc>
          <w:tcPr>
            <w:tcW w:w="20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Arial" w:hAnsi="Arial" w:cs="Arial" w:eastAsia="Arial" w:hint="default"/>
                <w:sz w:val="18"/>
                <w:szCs w:val="18"/>
              </w:rPr>
            </w:pPr>
            <w:r>
              <w:rPr>
                <w:rFonts w:ascii="Arial"/>
                <w:spacing w:val="-1"/>
                <w:sz w:val="18"/>
              </w:rPr>
              <w:t>320,000.00</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3,101,621.65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spacing w:val="-1"/>
                <w:sz w:val="18"/>
              </w:rPr>
              <w:t>2,672,928.94</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3,101,621.65</w:t>
            </w:r>
          </w:p>
        </w:tc>
      </w:tr>
      <w:tr>
        <w:trPr>
          <w:trHeight w:val="307" w:hRule="exact"/>
        </w:trPr>
        <w:tc>
          <w:tcPr>
            <w:tcW w:w="3073"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13,959,291.19</w:t>
            </w:r>
            <w:r>
              <w:rPr>
                <w:rFonts w:ascii="Arial"/>
                <w:b/>
                <w:spacing w:val="-1"/>
                <w:sz w:val="18"/>
              </w:rPr>
            </w:r>
            <w:r>
              <w:rPr>
                <w:rFonts w:ascii="Arial"/>
                <w:spacing w:val="-1"/>
                <w:sz w:val="18"/>
              </w:rPr>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10,712,681.32</w:t>
            </w:r>
            <w:r>
              <w:rPr>
                <w:rFonts w:ascii="Arial"/>
                <w:b/>
                <w:spacing w:val="-1"/>
                <w:sz w:val="18"/>
              </w:rPr>
            </w:r>
            <w:r>
              <w:rPr>
                <w:rFonts w:ascii="Arial"/>
                <w:spacing w:val="-1"/>
                <w:sz w:val="18"/>
              </w:rPr>
            </w:r>
          </w:p>
        </w:tc>
        <w:tc>
          <w:tcPr>
            <w:tcW w:w="20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9,064,888.40</w:t>
            </w:r>
            <w:r>
              <w:rPr>
                <w:rFonts w:ascii="Arial"/>
                <w:b/>
                <w:spacing w:val="-1"/>
                <w:sz w:val="18"/>
              </w:rPr>
            </w:r>
            <w:r>
              <w:rPr>
                <w:rFonts w:ascii="Arial"/>
                <w:spacing w:val="-1"/>
                <w:sz w:val="18"/>
              </w:rPr>
            </w:r>
          </w:p>
        </w:tc>
      </w:tr>
    </w:tbl>
    <w:p>
      <w:pPr>
        <w:pStyle w:val="Heading4"/>
        <w:tabs>
          <w:tab w:pos="1859" w:val="left" w:leader="none"/>
        </w:tabs>
        <w:spacing w:line="240" w:lineRule="auto" w:before="26"/>
        <w:ind w:left="580" w:right="1326"/>
        <w:jc w:val="left"/>
        <w:rPr>
          <w:b w:val="0"/>
          <w:bCs w:val="0"/>
        </w:rPr>
      </w:pPr>
      <w:r>
        <w:rPr>
          <w:spacing w:val="-1"/>
        </w:rPr>
        <w:t>（三十九）</w:t>
        <w:tab/>
        <w:t>营业外支出</w:t>
      </w:r>
      <w:r>
        <w:rPr>
          <w:b w:val="0"/>
          <w:bCs w:val="0"/>
          <w:spacing w:val="-1"/>
        </w:rPr>
      </w:r>
    </w:p>
    <w:p>
      <w:pPr>
        <w:spacing w:line="240" w:lineRule="auto" w:before="7"/>
        <w:rPr>
          <w:rFonts w:ascii="宋体" w:hAnsi="宋体" w:cs="宋体" w:eastAsia="宋体" w:hint="default"/>
          <w:b/>
          <w:bCs/>
          <w:sz w:val="17"/>
          <w:szCs w:val="17"/>
        </w:rPr>
      </w:pPr>
    </w:p>
    <w:tbl>
      <w:tblPr>
        <w:tblW w:w="0" w:type="auto"/>
        <w:jc w:val="left"/>
        <w:tblInd w:w="184" w:type="dxa"/>
        <w:tblLayout w:type="fixed"/>
        <w:tblCellMar>
          <w:top w:w="0" w:type="dxa"/>
          <w:left w:w="0" w:type="dxa"/>
          <w:bottom w:w="0" w:type="dxa"/>
          <w:right w:w="0" w:type="dxa"/>
        </w:tblCellMar>
        <w:tblLook w:val="01E0"/>
      </w:tblPr>
      <w:tblGrid>
        <w:gridCol w:w="3022"/>
        <w:gridCol w:w="1973"/>
        <w:gridCol w:w="1970"/>
        <w:gridCol w:w="1968"/>
      </w:tblGrid>
      <w:tr>
        <w:trPr>
          <w:trHeight w:val="490" w:hRule="exact"/>
        </w:trPr>
        <w:tc>
          <w:tcPr>
            <w:tcW w:w="30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2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68"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计入当期非经常性损</w:t>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益的金额</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2,201,021.39</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7,284,455.68</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2,201,021.39</w:t>
            </w:r>
          </w:p>
        </w:tc>
      </w:tr>
      <w:tr>
        <w:trPr>
          <w:trHeight w:val="329"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2,201,021.39</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7,284,455.68</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2,201,021.39</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243,013.97</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3"/>
                <w:w w:val="95"/>
                <w:sz w:val="18"/>
              </w:rPr>
              <w:t>111,000.00</w:t>
            </w:r>
            <w:r>
              <w:rPr>
                <w:rFonts w:ascii="Arial"/>
                <w:spacing w:val="-3"/>
                <w:sz w:val="18"/>
              </w:rPr>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243,013.97</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215,510.73</w:t>
            </w:r>
          </w:p>
        </w:tc>
        <w:tc>
          <w:tcPr>
            <w:tcW w:w="197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215,510.73</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453,465.28</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390,724.02</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453,465.28</w:t>
            </w:r>
          </w:p>
        </w:tc>
      </w:tr>
      <w:tr>
        <w:trPr>
          <w:trHeight w:val="336" w:hRule="exact"/>
        </w:trPr>
        <w:tc>
          <w:tcPr>
            <w:tcW w:w="30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b/>
                <w:w w:val="99"/>
                <w:sz w:val="18"/>
              </w:rPr>
            </w:r>
            <w:r>
              <w:rPr>
                <w:rFonts w:ascii="Arial"/>
                <w:b/>
                <w:spacing w:val="-2"/>
                <w:sz w:val="18"/>
                <w:u w:val="single" w:color="000000"/>
              </w:rPr>
              <w:t>3,113,011.37</w:t>
            </w:r>
            <w:r>
              <w:rPr>
                <w:rFonts w:ascii="Arial"/>
                <w:b/>
                <w:spacing w:val="-2"/>
                <w:sz w:val="18"/>
              </w:rPr>
            </w:r>
            <w:r>
              <w:rPr>
                <w:rFonts w:ascii="Arial"/>
                <w:spacing w:val="-2"/>
                <w:sz w:val="18"/>
              </w:rPr>
            </w:r>
          </w:p>
        </w:tc>
        <w:tc>
          <w:tcPr>
            <w:tcW w:w="1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7,786,179.70</w:t>
            </w:r>
            <w:r>
              <w:rPr>
                <w:rFonts w:ascii="Arial"/>
                <w:b/>
                <w:spacing w:val="-1"/>
                <w:sz w:val="18"/>
              </w:rPr>
            </w:r>
            <w:r>
              <w:rPr>
                <w:rFonts w:ascii="Arial"/>
                <w:spacing w:val="-1"/>
                <w:sz w:val="18"/>
              </w:rPr>
            </w:r>
          </w:p>
        </w:tc>
        <w:tc>
          <w:tcPr>
            <w:tcW w:w="19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2"/>
                <w:sz w:val="18"/>
                <w:u w:val="single" w:color="000000"/>
              </w:rPr>
              <w:t>3,113,011.37</w:t>
            </w:r>
            <w:r>
              <w:rPr>
                <w:rFonts w:ascii="Arial"/>
                <w:b/>
                <w:spacing w:val="-2"/>
                <w:sz w:val="18"/>
              </w:rPr>
            </w:r>
            <w:r>
              <w:rPr>
                <w:rFonts w:ascii="Arial"/>
                <w:spacing w:val="-2"/>
                <w:sz w:val="18"/>
              </w:rPr>
            </w:r>
          </w:p>
        </w:tc>
      </w:tr>
    </w:tbl>
    <w:p>
      <w:pPr>
        <w:spacing w:line="410" w:lineRule="auto" w:before="86"/>
        <w:ind w:left="791" w:right="6396" w:hanging="212"/>
        <w:jc w:val="left"/>
        <w:rPr>
          <w:rFonts w:ascii="宋体" w:hAnsi="宋体" w:cs="宋体" w:eastAsia="宋体" w:hint="default"/>
          <w:sz w:val="21"/>
          <w:szCs w:val="21"/>
        </w:rPr>
      </w:pPr>
      <w:r>
        <w:rPr>
          <w:rFonts w:ascii="宋体" w:hAnsi="宋体" w:cs="宋体" w:eastAsia="宋体" w:hint="default"/>
          <w:b/>
          <w:bCs/>
          <w:sz w:val="21"/>
          <w:szCs w:val="21"/>
        </w:rPr>
        <w:t>（四十）所得税费用</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2"/>
          <w:sz w:val="21"/>
          <w:szCs w:val="21"/>
        </w:rPr>
        <w:t>所得税费用（收益）的组成</w:t>
      </w:r>
    </w:p>
    <w:p>
      <w:pPr>
        <w:spacing w:line="240" w:lineRule="auto" w:before="7"/>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3944"/>
        <w:gridCol w:w="2458"/>
        <w:gridCol w:w="2458"/>
      </w:tblGrid>
      <w:tr>
        <w:trPr>
          <w:trHeight w:val="336"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77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7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3,581,429.63</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17,826,028.08</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-3,808,043.33</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-5,121,055.25</w:t>
            </w:r>
          </w:p>
        </w:tc>
      </w:tr>
      <w:tr>
        <w:trPr>
          <w:trHeight w:val="33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-226,613.70</w:t>
            </w:r>
            <w:r>
              <w:rPr>
                <w:rFonts w:ascii="Arial"/>
                <w:b/>
                <w:spacing w:val="-1"/>
                <w:sz w:val="18"/>
              </w:rPr>
            </w:r>
            <w:r>
              <w:rPr>
                <w:rFonts w:ascii="Arial"/>
                <w:spacing w:val="-1"/>
                <w:sz w:val="18"/>
              </w:rPr>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12,704,972.83</w:t>
            </w:r>
            <w:r>
              <w:rPr>
                <w:rFonts w:ascii="Arial"/>
                <w:b/>
                <w:spacing w:val="-1"/>
                <w:sz w:val="18"/>
              </w:rPr>
            </w:r>
            <w:r>
              <w:rPr>
                <w:rFonts w:ascii="Arial"/>
                <w:spacing w:val="-1"/>
                <w:sz w:val="18"/>
              </w:rPr>
            </w:r>
          </w:p>
        </w:tc>
      </w:tr>
    </w:tbl>
    <w:p>
      <w:pPr>
        <w:tabs>
          <w:tab w:pos="1859" w:val="left" w:leader="none"/>
        </w:tabs>
        <w:spacing w:line="410" w:lineRule="auto" w:before="86"/>
        <w:ind w:left="580" w:right="1433" w:firstLine="0"/>
        <w:jc w:val="left"/>
        <w:rPr>
          <w:rFonts w:ascii="宋体" w:hAnsi="宋体" w:cs="宋体" w:eastAsia="宋体" w:hint="default"/>
          <w:sz w:val="21"/>
          <w:szCs w:val="21"/>
        </w:rPr>
      </w:pPr>
      <w:r>
        <w:rPr>
          <w:rFonts w:ascii="宋体" w:hAnsi="宋体" w:cs="宋体" w:eastAsia="宋体" w:hint="default"/>
          <w:b/>
          <w:bCs/>
          <w:spacing w:val="-1"/>
          <w:sz w:val="21"/>
          <w:szCs w:val="21"/>
        </w:rPr>
        <w:t>（四十一）</w:t>
        <w:tab/>
        <w:t>基本每股收益和稀释每股收益的计算过程</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2"/>
          <w:sz w:val="21"/>
          <w:szCs w:val="21"/>
        </w:rPr>
        <w:t>本公司按照中国证监会《公开发行证券的公司信息披露编报规则第</w:t>
      </w:r>
      <w:r>
        <w:rPr>
          <w:rFonts w:ascii="宋体" w:hAnsi="宋体" w:cs="宋体" w:eastAsia="宋体" w:hint="default"/>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净资产收益率和每</w:t>
      </w:r>
    </w:p>
    <w:p>
      <w:pPr>
        <w:pStyle w:val="BodyText"/>
        <w:spacing w:line="241" w:lineRule="exact"/>
        <w:ind w:left="160" w:right="1326"/>
        <w:jc w:val="left"/>
      </w:pPr>
      <w:r>
        <w:rPr>
          <w:w w:val="100"/>
        </w:rPr>
        <w:t>股收</w:t>
      </w:r>
      <w:r>
        <w:rPr>
          <w:spacing w:val="-3"/>
          <w:w w:val="100"/>
        </w:rPr>
        <w:t>益</w:t>
      </w:r>
      <w:r>
        <w:rPr>
          <w:w w:val="100"/>
        </w:rPr>
        <w:t>的</w:t>
      </w:r>
      <w:r>
        <w:rPr>
          <w:spacing w:val="-3"/>
          <w:w w:val="100"/>
        </w:rPr>
        <w:t>计</w:t>
      </w:r>
      <w:r>
        <w:rPr>
          <w:w w:val="100"/>
        </w:rPr>
        <w:t>算</w:t>
      </w:r>
      <w:r>
        <w:rPr>
          <w:spacing w:val="-3"/>
          <w:w w:val="100"/>
        </w:rPr>
        <w:t>及</w:t>
      </w:r>
      <w:r>
        <w:rPr>
          <w:w w:val="100"/>
        </w:rPr>
        <w:t>披</w:t>
      </w:r>
      <w:r>
        <w:rPr>
          <w:spacing w:val="-20"/>
          <w:w w:val="100"/>
        </w:rPr>
        <w:t>露</w:t>
      </w:r>
      <w:r>
        <w:rPr>
          <w:spacing w:val="-1"/>
          <w:w w:val="100"/>
        </w:rPr>
        <w:t>（</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spacing w:val="-5"/>
        </w:rPr>
        <w:t> </w:t>
      </w:r>
      <w:r>
        <w:rPr>
          <w:w w:val="100"/>
        </w:rPr>
        <w:t>年</w:t>
      </w:r>
      <w:r>
        <w:rPr>
          <w:spacing w:val="-3"/>
          <w:w w:val="100"/>
        </w:rPr>
        <w:t>修订</w:t>
      </w:r>
      <w:r>
        <w:rPr>
          <w:spacing w:val="-17"/>
          <w:w w:val="100"/>
        </w:rPr>
        <w:t>）</w:t>
      </w:r>
      <w:r>
        <w:rPr>
          <w:spacing w:val="-20"/>
          <w:w w:val="100"/>
        </w:rPr>
        <w:t>》</w:t>
      </w:r>
      <w:r>
        <w:rPr>
          <w:spacing w:val="-1"/>
          <w:w w:val="100"/>
        </w:rPr>
        <w:t>（</w:t>
      </w:r>
      <w:r>
        <w:rPr>
          <w:rFonts w:ascii="Arial" w:hAnsi="Arial" w:cs="Arial" w:eastAsia="Arial" w:hint="default"/>
          <w:spacing w:val="-1"/>
          <w:w w:val="33"/>
        </w:rPr>
        <w:t>―</w:t>
      </w:r>
      <w:r>
        <w:rPr>
          <w:spacing w:val="-3"/>
          <w:w w:val="100"/>
        </w:rPr>
        <w:t>中</w:t>
      </w:r>
      <w:r>
        <w:rPr>
          <w:w w:val="100"/>
        </w:rPr>
        <w:t>国</w:t>
      </w:r>
      <w:r>
        <w:rPr>
          <w:spacing w:val="-3"/>
          <w:w w:val="100"/>
        </w:rPr>
        <w:t>证券</w:t>
      </w:r>
      <w:r>
        <w:rPr>
          <w:w w:val="100"/>
        </w:rPr>
        <w:t>监督</w:t>
      </w:r>
      <w:r>
        <w:rPr>
          <w:spacing w:val="-3"/>
          <w:w w:val="100"/>
        </w:rPr>
        <w:t>管</w:t>
      </w:r>
      <w:r>
        <w:rPr>
          <w:w w:val="100"/>
        </w:rPr>
        <w:t>理</w:t>
      </w:r>
      <w:r>
        <w:rPr>
          <w:spacing w:val="-3"/>
          <w:w w:val="100"/>
        </w:rPr>
        <w:t>委</w:t>
      </w:r>
      <w:r>
        <w:rPr>
          <w:w w:val="100"/>
        </w:rPr>
        <w:t>员</w:t>
      </w:r>
      <w:r>
        <w:rPr>
          <w:spacing w:val="-3"/>
          <w:w w:val="100"/>
        </w:rPr>
        <w:t>会</w:t>
      </w:r>
      <w:r>
        <w:rPr>
          <w:w w:val="100"/>
        </w:rPr>
        <w:t>公</w:t>
      </w:r>
      <w:r>
        <w:rPr>
          <w:spacing w:val="-1"/>
          <w:w w:val="100"/>
        </w:rPr>
        <w:t>告</w:t>
      </w:r>
      <w:r>
        <w:rPr>
          <w:rFonts w:ascii="Arial" w:hAnsi="Arial" w:cs="Arial" w:eastAsia="Arial" w:hint="default"/>
          <w:spacing w:val="-2"/>
          <w:w w:val="100"/>
        </w:rPr>
        <w:t>[</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10</w:t>
      </w:r>
      <w:r>
        <w:rPr>
          <w:rFonts w:ascii="Arial" w:hAnsi="Arial" w:cs="Arial" w:eastAsia="Arial" w:hint="default"/>
          <w:spacing w:val="-2"/>
          <w:w w:val="100"/>
        </w:rPr>
        <w:t>]</w:t>
      </w:r>
      <w:r>
        <w:rPr>
          <w:rFonts w:ascii="Arial" w:hAnsi="Arial" w:cs="Arial" w:eastAsia="Arial" w:hint="default"/>
          <w:w w:val="100"/>
        </w:rPr>
        <w:t>2</w:t>
      </w:r>
      <w:r>
        <w:rPr>
          <w:rFonts w:ascii="Arial" w:hAnsi="Arial" w:cs="Arial" w:eastAsia="Arial" w:hint="default"/>
          <w:spacing w:val="-5"/>
        </w:rPr>
        <w:t> </w:t>
      </w:r>
      <w:r>
        <w:rPr>
          <w:w w:val="100"/>
        </w:rPr>
        <w:t>号</w:t>
      </w:r>
      <w:r>
        <w:rPr>
          <w:spacing w:val="-20"/>
          <w:w w:val="100"/>
        </w:rPr>
        <w:t>）、</w:t>
      </w:r>
      <w:r>
        <w:rPr>
          <w:w w:val="100"/>
        </w:rPr>
        <w:t>《</w:t>
      </w:r>
      <w:r>
        <w:rPr>
          <w:spacing w:val="-3"/>
          <w:w w:val="100"/>
        </w:rPr>
        <w:t>公</w:t>
      </w:r>
      <w:r>
        <w:rPr>
          <w:w w:val="100"/>
        </w:rPr>
        <w:t>开</w:t>
      </w:r>
      <w:r>
        <w:rPr>
          <w:spacing w:val="-3"/>
          <w:w w:val="100"/>
        </w:rPr>
        <w:t>发</w:t>
      </w:r>
      <w:r>
        <w:rPr>
          <w:w w:val="100"/>
        </w:rPr>
        <w:t>行</w:t>
      </w:r>
    </w:p>
    <w:p>
      <w:pPr>
        <w:pStyle w:val="BodyText"/>
        <w:spacing w:line="340" w:lineRule="auto" w:before="120"/>
        <w:ind w:left="160" w:right="1326"/>
        <w:jc w:val="left"/>
      </w:pPr>
      <w:r>
        <w:rPr>
          <w:spacing w:val="-2"/>
          <w:w w:val="100"/>
        </w:rPr>
        <w:t>证券的公司信息披露解释性公告第</w:t>
      </w:r>
      <w:r>
        <w:rPr>
          <w:spacing w:val="-47"/>
          <w:w w:val="100"/>
        </w:rPr>
        <w:t> </w:t>
      </w:r>
      <w:r>
        <w:rPr>
          <w:rFonts w:ascii="Arial" w:hAnsi="Arial" w:cs="Arial" w:eastAsia="Arial" w:hint="default"/>
          <w:w w:val="100"/>
        </w:rPr>
        <w:t>1</w:t>
      </w:r>
      <w:r>
        <w:rPr>
          <w:rFonts w:ascii="Arial" w:hAnsi="Arial" w:cs="Arial" w:eastAsia="Arial" w:hint="default"/>
          <w:spacing w:val="2"/>
          <w:w w:val="100"/>
        </w:rPr>
        <w:t> </w:t>
      </w:r>
      <w:r>
        <w:rPr>
          <w:spacing w:val="-2"/>
          <w:w w:val="98"/>
        </w:rPr>
        <w:t>号</w:t>
      </w:r>
      <w:r>
        <w:rPr>
          <w:rFonts w:ascii="Arial" w:hAnsi="Arial" w:cs="Arial" w:eastAsia="Arial" w:hint="default"/>
          <w:spacing w:val="-2"/>
          <w:w w:val="98"/>
        </w:rPr>
        <w:t>——</w:t>
      </w:r>
      <w:r>
        <w:rPr>
          <w:spacing w:val="-2"/>
          <w:w w:val="98"/>
        </w:rPr>
        <w:t>非经常性损益（</w:t>
      </w:r>
      <w:r>
        <w:rPr>
          <w:rFonts w:ascii="Arial" w:hAnsi="Arial" w:cs="Arial" w:eastAsia="Arial" w:hint="default"/>
          <w:spacing w:val="-2"/>
          <w:w w:val="98"/>
        </w:rPr>
        <w:t>2008</w:t>
      </w:r>
      <w:r>
        <w:rPr>
          <w:spacing w:val="-2"/>
          <w:w w:val="98"/>
        </w:rPr>
        <w:t>）》（</w:t>
      </w:r>
      <w:r>
        <w:rPr>
          <w:rFonts w:ascii="Arial" w:hAnsi="Arial" w:cs="Arial" w:eastAsia="Arial" w:hint="default"/>
          <w:spacing w:val="-2"/>
          <w:w w:val="98"/>
        </w:rPr>
        <w:t>―</w:t>
      </w:r>
      <w:r>
        <w:rPr>
          <w:spacing w:val="-2"/>
          <w:w w:val="98"/>
        </w:rPr>
        <w:t>中国证券监督管理委员会</w:t>
      </w:r>
      <w:r>
        <w:rPr>
          <w:spacing w:val="-100"/>
          <w:w w:val="98"/>
        </w:rPr>
        <w:t> </w:t>
      </w:r>
      <w:r>
        <w:rPr>
          <w:spacing w:val="-100"/>
          <w:w w:val="98"/>
        </w:rPr>
      </w:r>
      <w:r>
        <w:rPr/>
        <w:t>公告</w:t>
      </w:r>
      <w:r>
        <w:rPr>
          <w:rFonts w:ascii="Arial" w:hAnsi="Arial" w:cs="Arial" w:eastAsia="Arial" w:hint="default"/>
        </w:rPr>
        <w:t>[2008]43</w:t>
      </w:r>
      <w:r>
        <w:rPr>
          <w:rFonts w:ascii="Arial" w:hAnsi="Arial" w:cs="Arial" w:eastAsia="Arial" w:hint="default"/>
          <w:spacing w:val="-27"/>
        </w:rPr>
        <w:t> </w:t>
      </w:r>
      <w:r>
        <w:rPr/>
        <w:t>号</w:t>
      </w:r>
      <w:r>
        <w:rPr>
          <w:rFonts w:ascii="Arial" w:hAnsi="Arial" w:cs="Arial" w:eastAsia="Arial" w:hint="default"/>
        </w:rPr>
        <w:t>‖</w:t>
      </w:r>
      <w:r>
        <w:rPr/>
        <w:t>）要求计算的每股收益如下：</w:t>
      </w:r>
    </w:p>
    <w:p>
      <w:pPr>
        <w:spacing w:line="240" w:lineRule="auto" w:before="4"/>
        <w:rPr>
          <w:rFonts w:ascii="宋体" w:hAnsi="宋体" w:cs="宋体" w:eastAsia="宋体" w:hint="default"/>
          <w:sz w:val="15"/>
          <w:szCs w:val="15"/>
        </w:rPr>
      </w:pPr>
    </w:p>
    <w:p>
      <w:pPr>
        <w:pStyle w:val="Heading4"/>
        <w:spacing w:line="240" w:lineRule="auto"/>
        <w:ind w:left="580" w:right="1326"/>
        <w:jc w:val="left"/>
        <w:rPr>
          <w:b w:val="0"/>
          <w:bCs w:val="0"/>
        </w:rPr>
      </w:pPr>
      <w:r>
        <w:rPr>
          <w:rFonts w:ascii="Arial" w:hAnsi="Arial" w:cs="Arial" w:eastAsia="Arial" w:hint="default"/>
        </w:rPr>
        <w:t>1. </w:t>
      </w:r>
      <w:r>
        <w:rPr>
          <w:rFonts w:ascii="Arial" w:hAnsi="Arial" w:cs="Arial" w:eastAsia="Arial" w:hint="default"/>
          <w:spacing w:val="5"/>
        </w:rPr>
        <w:t> </w:t>
      </w:r>
      <w:r>
        <w:rPr/>
        <w:t>计算结果</w:t>
      </w:r>
      <w:r>
        <w:rPr>
          <w:b w:val="0"/>
          <w:bCs w:val="0"/>
        </w:rPr>
      </w:r>
    </w:p>
    <w:p>
      <w:pPr>
        <w:spacing w:line="240" w:lineRule="auto" w:before="5"/>
        <w:rPr>
          <w:rFonts w:ascii="宋体" w:hAnsi="宋体" w:cs="宋体" w:eastAsia="宋体" w:hint="default"/>
          <w:b/>
          <w:bCs/>
          <w:sz w:val="16"/>
          <w:szCs w:val="16"/>
        </w:rPr>
      </w:pPr>
    </w:p>
    <w:tbl>
      <w:tblPr>
        <w:tblW w:w="0" w:type="auto"/>
        <w:jc w:val="left"/>
        <w:tblInd w:w="218" w:type="dxa"/>
        <w:tblLayout w:type="fixed"/>
        <w:tblCellMar>
          <w:top w:w="0" w:type="dxa"/>
          <w:left w:w="0" w:type="dxa"/>
          <w:bottom w:w="0" w:type="dxa"/>
          <w:right w:w="0" w:type="dxa"/>
        </w:tblCellMar>
        <w:tblLook w:val="01E0"/>
      </w:tblPr>
      <w:tblGrid>
        <w:gridCol w:w="3658"/>
        <w:gridCol w:w="1438"/>
        <w:gridCol w:w="1176"/>
        <w:gridCol w:w="1301"/>
        <w:gridCol w:w="1294"/>
      </w:tblGrid>
      <w:tr>
        <w:trPr>
          <w:trHeight w:val="334" w:hRule="exact"/>
        </w:trPr>
        <w:tc>
          <w:tcPr>
            <w:tcW w:w="365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c>
          <w:tcPr>
            <w:tcW w:w="259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497" w:hRule="exact"/>
        </w:trPr>
        <w:tc>
          <w:tcPr>
            <w:tcW w:w="3658"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489" w:right="131"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4"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549" w:right="194"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326" w:hRule="exact"/>
        </w:trPr>
        <w:tc>
          <w:tcPr>
            <w:tcW w:w="3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sz w:val="18"/>
              </w:rPr>
              <w:t>-0.34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Arial" w:hAnsi="Arial" w:cs="Arial" w:eastAsia="Arial" w:hint="default"/>
                <w:sz w:val="18"/>
                <w:szCs w:val="18"/>
              </w:rPr>
            </w:pPr>
            <w:r>
              <w:rPr>
                <w:rFonts w:ascii="Arial"/>
                <w:sz w:val="18"/>
              </w:rPr>
              <w:t>-0.34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Arial" w:hAnsi="Arial" w:cs="Arial" w:eastAsia="Arial" w:hint="default"/>
                <w:sz w:val="18"/>
                <w:szCs w:val="18"/>
              </w:rPr>
            </w:pPr>
            <w:r>
              <w:rPr>
                <w:rFonts w:ascii="Arial"/>
                <w:sz w:val="18"/>
              </w:rPr>
              <w:t>-0.16</w:t>
            </w:r>
          </w:p>
        </w:tc>
        <w:tc>
          <w:tcPr>
            <w:tcW w:w="12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434" w:right="0"/>
              <w:jc w:val="left"/>
              <w:rPr>
                <w:rFonts w:ascii="Arial" w:hAnsi="Arial" w:cs="Arial" w:eastAsia="Arial" w:hint="default"/>
                <w:sz w:val="18"/>
                <w:szCs w:val="18"/>
              </w:rPr>
            </w:pPr>
            <w:r>
              <w:rPr>
                <w:rFonts w:ascii="Arial"/>
                <w:sz w:val="18"/>
              </w:rPr>
              <w:t>-0.16</w:t>
            </w:r>
          </w:p>
        </w:tc>
      </w:tr>
      <w:tr>
        <w:trPr>
          <w:trHeight w:val="504" w:hRule="exact"/>
        </w:trPr>
        <w:tc>
          <w:tcPr>
            <w:tcW w:w="365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的净利润（Ⅱ）</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-0.34</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-0.34</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-0.16</w:t>
            </w:r>
          </w:p>
        </w:tc>
        <w:tc>
          <w:tcPr>
            <w:tcW w:w="12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3"/>
              <w:ind w:left="434" w:right="0"/>
              <w:jc w:val="left"/>
              <w:rPr>
                <w:rFonts w:ascii="Arial" w:hAnsi="Arial" w:cs="Arial" w:eastAsia="Arial" w:hint="default"/>
                <w:sz w:val="18"/>
                <w:szCs w:val="18"/>
              </w:rPr>
            </w:pPr>
            <w:r>
              <w:rPr>
                <w:rFonts w:ascii="Arial"/>
                <w:sz w:val="18"/>
              </w:rPr>
              <w:t>-0.16</w:t>
            </w:r>
          </w:p>
        </w:tc>
      </w:tr>
    </w:tbl>
    <w:p>
      <w:pPr>
        <w:spacing w:before="86"/>
        <w:ind w:left="580" w:right="1326"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1"/>
          <w:sz w:val="21"/>
          <w:szCs w:val="21"/>
        </w:rPr>
        <w:t> </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37" w:type="dxa"/>
        <w:tblLayout w:type="fixed"/>
        <w:tblCellMar>
          <w:top w:w="0" w:type="dxa"/>
          <w:left w:w="0" w:type="dxa"/>
          <w:bottom w:w="0" w:type="dxa"/>
          <w:right w:w="0" w:type="dxa"/>
        </w:tblCellMar>
        <w:tblLook w:val="01E0"/>
      </w:tblPr>
      <w:tblGrid>
        <w:gridCol w:w="3459"/>
        <w:gridCol w:w="1575"/>
        <w:gridCol w:w="1894"/>
        <w:gridCol w:w="1932"/>
      </w:tblGrid>
      <w:tr>
        <w:trPr>
          <w:trHeight w:val="372" w:hRule="exact"/>
        </w:trPr>
        <w:tc>
          <w:tcPr>
            <w:tcW w:w="345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bl>
    <w:p>
      <w:pPr>
        <w:spacing w:after="0" w:line="240" w:lineRule="auto"/>
        <w:jc w:val="center"/>
        <w:rPr>
          <w:rFonts w:ascii="宋体" w:hAnsi="宋体" w:cs="宋体" w:eastAsia="宋体"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3565"/>
        <w:gridCol w:w="1575"/>
        <w:gridCol w:w="1894"/>
        <w:gridCol w:w="1932"/>
      </w:tblGrid>
      <w:tr>
        <w:trPr>
          <w:trHeight w:val="370" w:hRule="exact"/>
        </w:trPr>
        <w:tc>
          <w:tcPr>
            <w:tcW w:w="356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9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3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6"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Arial" w:hAnsi="Arial" w:cs="Arial" w:eastAsia="Arial" w:hint="default"/>
                <w:sz w:val="18"/>
                <w:szCs w:val="18"/>
              </w:rPr>
            </w:pPr>
            <w:r>
              <w:rPr>
                <w:rFonts w:ascii="Arial"/>
                <w:w w:val="99"/>
                <w:sz w:val="18"/>
              </w:rPr>
              <w:t>1</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-166,308,328.16</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5"/>
              <w:jc w:val="right"/>
              <w:rPr>
                <w:rFonts w:ascii="Arial" w:hAnsi="Arial" w:cs="Arial" w:eastAsia="Arial" w:hint="default"/>
                <w:sz w:val="18"/>
                <w:szCs w:val="18"/>
              </w:rPr>
            </w:pPr>
            <w:r>
              <w:rPr>
                <w:rFonts w:ascii="Arial"/>
                <w:spacing w:val="-1"/>
                <w:sz w:val="18"/>
              </w:rPr>
              <w:t>-80,191,690.96</w:t>
            </w: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7"/>
              <w:jc w:val="left"/>
              <w:rPr>
                <w:rFonts w:ascii="宋体" w:hAnsi="宋体" w:cs="宋体" w:eastAsia="宋体" w:hint="default"/>
                <w:sz w:val="18"/>
                <w:szCs w:val="18"/>
              </w:rPr>
            </w:pPr>
            <w:r>
              <w:rPr>
                <w:rFonts w:ascii="宋体" w:hAnsi="宋体" w:cs="宋体" w:eastAsia="宋体" w:hint="default"/>
                <w:spacing w:val="8"/>
                <w:sz w:val="18"/>
                <w:szCs w:val="18"/>
              </w:rPr>
              <w:t>扣除所得税影响后归属于母公司普通股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股东净利润的非经常性损益</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w w:val="99"/>
                <w:sz w:val="18"/>
              </w:rPr>
              <w:t>2</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-2,004,131.83</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-3,554,317.81</w:t>
            </w: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7"/>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扣除非经常性损益后的归属于本公司普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通股股东的净利润</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sz w:val="18"/>
              </w:rPr>
              <w:t>3=1-2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-164,304,196.33</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-76,637,373.15</w:t>
            </w: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227"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w w:val="99"/>
                <w:sz w:val="18"/>
              </w:rPr>
              <w:t>4</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487,731,995.00</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487,731,995.00</w:t>
            </w:r>
          </w:p>
        </w:tc>
      </w:tr>
      <w:tr>
        <w:trPr>
          <w:trHeight w:val="497"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7"/>
              <w:jc w:val="left"/>
              <w:rPr>
                <w:rFonts w:ascii="宋体" w:hAnsi="宋体" w:cs="宋体" w:eastAsia="宋体" w:hint="default"/>
                <w:sz w:val="18"/>
                <w:szCs w:val="18"/>
              </w:rPr>
            </w:pPr>
            <w:r>
              <w:rPr>
                <w:rFonts w:ascii="宋体" w:hAnsi="宋体" w:cs="宋体" w:eastAsia="宋体" w:hint="default"/>
                <w:spacing w:val="8"/>
                <w:sz w:val="18"/>
                <w:szCs w:val="18"/>
              </w:rPr>
              <w:t>报告期因公积金转增股本或股票股利分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配等增加的股份数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Arial" w:hAnsi="Arial" w:cs="Arial" w:eastAsia="Arial" w:hint="default"/>
                <w:sz w:val="18"/>
                <w:szCs w:val="18"/>
              </w:rPr>
            </w:pPr>
            <w:r>
              <w:rPr>
                <w:rFonts w:ascii="Arial"/>
                <w:w w:val="99"/>
                <w:sz w:val="18"/>
              </w:rPr>
              <w:t>5</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4" w:lineRule="auto"/>
              <w:ind w:left="227" w:right="107"/>
              <w:jc w:val="left"/>
              <w:rPr>
                <w:rFonts w:ascii="宋体" w:hAnsi="宋体" w:cs="宋体" w:eastAsia="宋体" w:hint="default"/>
                <w:sz w:val="18"/>
                <w:szCs w:val="18"/>
              </w:rPr>
            </w:pPr>
            <w:r>
              <w:rPr>
                <w:rFonts w:ascii="宋体" w:hAnsi="宋体" w:cs="宋体" w:eastAsia="宋体" w:hint="default"/>
                <w:spacing w:val="8"/>
                <w:sz w:val="18"/>
                <w:szCs w:val="18"/>
              </w:rPr>
              <w:t>报告期因发行新股或债转股等增加的股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565" w:type="dxa"/>
            <w:vMerge/>
            <w:tcBorders>
              <w:left w:val="nil" w:sz="6" w:space="0" w:color="auto"/>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vMerge/>
            <w:tcBorders>
              <w:left w:val="nil" w:sz="6" w:space="0" w:color="auto"/>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4" w:lineRule="auto"/>
              <w:ind w:left="227" w:right="107"/>
              <w:jc w:val="left"/>
              <w:rPr>
                <w:rFonts w:ascii="宋体" w:hAnsi="宋体" w:cs="宋体" w:eastAsia="宋体" w:hint="default"/>
                <w:sz w:val="18"/>
                <w:szCs w:val="18"/>
              </w:rPr>
            </w:pPr>
            <w:r>
              <w:rPr>
                <w:rFonts w:ascii="宋体" w:hAnsi="宋体" w:cs="宋体" w:eastAsia="宋体" w:hint="default"/>
                <w:spacing w:val="8"/>
                <w:sz w:val="18"/>
                <w:szCs w:val="18"/>
              </w:rPr>
              <w:t>发行新股或债转股等增加股份下一月份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起至报告期年末的月份数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565" w:type="dxa"/>
            <w:vMerge/>
            <w:tcBorders>
              <w:left w:val="nil" w:sz="6" w:space="0" w:color="auto"/>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vMerge/>
            <w:tcBorders>
              <w:left w:val="nil" w:sz="6" w:space="0" w:color="auto"/>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8</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7"/>
              <w:jc w:val="left"/>
              <w:rPr>
                <w:rFonts w:ascii="宋体" w:hAnsi="宋体" w:cs="宋体" w:eastAsia="宋体" w:hint="default"/>
                <w:sz w:val="18"/>
                <w:szCs w:val="18"/>
              </w:rPr>
            </w:pPr>
            <w:r>
              <w:rPr>
                <w:rFonts w:ascii="宋体" w:hAnsi="宋体" w:cs="宋体" w:eastAsia="宋体" w:hint="default"/>
                <w:spacing w:val="8"/>
                <w:sz w:val="18"/>
                <w:szCs w:val="18"/>
              </w:rPr>
              <w:t>减少股份下一月份起至报告期年末的月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w w:val="99"/>
                <w:sz w:val="18"/>
              </w:rPr>
              <w:t>9</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10</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pacing w:val="-14"/>
                <w:sz w:val="18"/>
              </w:rPr>
              <w:t>11</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w w:val="95"/>
                <w:sz w:val="18"/>
              </w:rPr>
              <w:t>12.00</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w w:val="95"/>
                <w:sz w:val="18"/>
              </w:rPr>
              <w:t>12.00</w:t>
            </w:r>
            <w:r>
              <w:rPr>
                <w:rFonts w:ascii="Arial"/>
                <w:sz w:val="18"/>
              </w:rPr>
            </w: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Arial" w:hAnsi="Arial" w:cs="Arial" w:eastAsia="Arial" w:hint="default"/>
                <w:sz w:val="18"/>
                <w:szCs w:val="18"/>
              </w:rPr>
            </w:pPr>
            <w:r>
              <w:rPr>
                <w:rFonts w:ascii="Arial" w:hAnsi="Arial" w:cs="Arial" w:eastAsia="Arial" w:hint="default"/>
                <w:sz w:val="18"/>
                <w:szCs w:val="18"/>
              </w:rPr>
              <w:t>12=4+5+6×7</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pacing w:val="-4"/>
                <w:sz w:val="18"/>
                <w:szCs w:val="18"/>
              </w:rPr>
              <w:t>÷11-8×9÷11-10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487,731,995.00</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487,731,995.00</w:t>
            </w:r>
          </w:p>
        </w:tc>
      </w:tr>
      <w:tr>
        <w:trPr>
          <w:trHeight w:val="497"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7"/>
              <w:jc w:val="left"/>
              <w:rPr>
                <w:rFonts w:ascii="宋体" w:hAnsi="宋体" w:cs="宋体" w:eastAsia="宋体" w:hint="default"/>
                <w:sz w:val="18"/>
                <w:szCs w:val="18"/>
              </w:rPr>
            </w:pPr>
            <w:r>
              <w:rPr>
                <w:rFonts w:ascii="宋体" w:hAnsi="宋体" w:cs="宋体" w:eastAsia="宋体" w:hint="default"/>
                <w:spacing w:val="8"/>
                <w:sz w:val="18"/>
                <w:szCs w:val="18"/>
              </w:rPr>
              <w:t>因同一控制下企业合并而调整的发行在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外的普通股加权平均数（Ⅱ）</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Arial" w:hAnsi="Arial" w:cs="Arial" w:eastAsia="Arial" w:hint="default"/>
                <w:sz w:val="18"/>
                <w:szCs w:val="18"/>
              </w:rPr>
            </w:pPr>
            <w:r>
              <w:rPr>
                <w:rFonts w:ascii="Arial"/>
                <w:sz w:val="18"/>
              </w:rPr>
              <w:t>13</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hAnsi="Arial" w:cs="Arial" w:eastAsia="Arial" w:hint="default"/>
                <w:sz w:val="18"/>
                <w:szCs w:val="18"/>
              </w:rPr>
              <w:t>14=1÷12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w w:val="95"/>
                <w:sz w:val="18"/>
              </w:rPr>
              <w:t>-0.34</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w w:val="95"/>
                <w:sz w:val="18"/>
              </w:rPr>
              <w:t>-0.16</w:t>
            </w:r>
            <w:r>
              <w:rPr>
                <w:rFonts w:ascii="Arial"/>
                <w:sz w:val="18"/>
              </w:rPr>
            </w:r>
          </w:p>
        </w:tc>
      </w:tr>
      <w:tr>
        <w:trPr>
          <w:trHeight w:val="353"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Arial" w:hAnsi="Arial" w:cs="Arial" w:eastAsia="Arial" w:hint="default"/>
                <w:sz w:val="18"/>
                <w:szCs w:val="18"/>
              </w:rPr>
            </w:pPr>
            <w:r>
              <w:rPr>
                <w:rFonts w:ascii="Arial" w:hAnsi="Arial" w:cs="Arial" w:eastAsia="Arial" w:hint="default"/>
                <w:sz w:val="18"/>
                <w:szCs w:val="18"/>
              </w:rPr>
              <w:t>15=3÷13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7"/>
              <w:jc w:val="right"/>
              <w:rPr>
                <w:rFonts w:ascii="Arial" w:hAnsi="Arial" w:cs="Arial" w:eastAsia="Arial" w:hint="default"/>
                <w:sz w:val="18"/>
                <w:szCs w:val="18"/>
              </w:rPr>
            </w:pPr>
            <w:r>
              <w:rPr>
                <w:rFonts w:ascii="Arial"/>
                <w:w w:val="95"/>
                <w:sz w:val="18"/>
              </w:rPr>
              <w:t>-0.34</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4"/>
              <w:jc w:val="right"/>
              <w:rPr>
                <w:rFonts w:ascii="Arial" w:hAnsi="Arial" w:cs="Arial" w:eastAsia="Arial" w:hint="default"/>
                <w:sz w:val="18"/>
                <w:szCs w:val="18"/>
              </w:rPr>
            </w:pPr>
            <w:r>
              <w:rPr>
                <w:rFonts w:ascii="Arial"/>
                <w:w w:val="95"/>
                <w:sz w:val="18"/>
              </w:rPr>
              <w:t>-0.16</w:t>
            </w:r>
            <w:r>
              <w:rPr>
                <w:rFonts w:ascii="Arial"/>
                <w:sz w:val="18"/>
              </w:rPr>
            </w: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227"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sz w:val="18"/>
              </w:rPr>
              <w:t>16</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17</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18</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99"/>
              <w:jc w:val="left"/>
              <w:rPr>
                <w:rFonts w:ascii="宋体" w:hAnsi="宋体" w:cs="宋体" w:eastAsia="宋体" w:hint="default"/>
                <w:sz w:val="18"/>
                <w:szCs w:val="18"/>
              </w:rPr>
            </w:pPr>
            <w:r>
              <w:rPr>
                <w:rFonts w:ascii="宋体" w:hAnsi="宋体" w:cs="宋体" w:eastAsia="宋体" w:hint="default"/>
                <w:spacing w:val="-1"/>
                <w:sz w:val="18"/>
                <w:szCs w:val="18"/>
              </w:rPr>
              <w:t>可转换公司债券、认股权证、股份期权等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转换或行权而增加的股份数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sz w:val="18"/>
              </w:rPr>
              <w:t>19</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227"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Arial" w:hAnsi="Arial" w:cs="Arial" w:eastAsia="Arial" w:hint="default"/>
                <w:sz w:val="18"/>
                <w:szCs w:val="18"/>
              </w:rPr>
            </w:pPr>
            <w:r>
              <w:rPr>
                <w:rFonts w:ascii="Arial" w:hAnsi="Arial" w:cs="Arial" w:eastAsia="Arial" w:hint="default"/>
                <w:sz w:val="18"/>
                <w:szCs w:val="18"/>
              </w:rPr>
              <w:t>120=[1+(16-18)×</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z w:val="18"/>
                <w:szCs w:val="18"/>
              </w:rPr>
              <w:t>(1-17)]÷(12+19)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w w:val="95"/>
                <w:sz w:val="18"/>
              </w:rPr>
              <w:t>-0.34</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4"/>
              <w:jc w:val="right"/>
              <w:rPr>
                <w:rFonts w:ascii="Arial" w:hAnsi="Arial" w:cs="Arial" w:eastAsia="Arial" w:hint="default"/>
                <w:sz w:val="18"/>
                <w:szCs w:val="18"/>
              </w:rPr>
            </w:pPr>
            <w:r>
              <w:rPr>
                <w:rFonts w:ascii="Arial"/>
                <w:w w:val="95"/>
                <w:sz w:val="18"/>
              </w:rPr>
              <w:t>-0.16</w:t>
            </w:r>
            <w:r>
              <w:rPr>
                <w:rFonts w:ascii="Arial"/>
                <w:sz w:val="18"/>
              </w:rPr>
            </w:r>
          </w:p>
        </w:tc>
      </w:tr>
      <w:tr>
        <w:trPr>
          <w:trHeight w:val="502" w:hRule="exact"/>
        </w:trPr>
        <w:tc>
          <w:tcPr>
            <w:tcW w:w="35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left="100" w:right="0"/>
              <w:jc w:val="left"/>
              <w:rPr>
                <w:rFonts w:ascii="Arial" w:hAnsi="Arial" w:cs="Arial" w:eastAsia="Arial" w:hint="default"/>
                <w:sz w:val="18"/>
                <w:szCs w:val="18"/>
              </w:rPr>
            </w:pPr>
            <w:r>
              <w:rPr>
                <w:rFonts w:ascii="Arial" w:hAnsi="Arial" w:cs="Arial" w:eastAsia="Arial" w:hint="default"/>
                <w:sz w:val="18"/>
                <w:szCs w:val="18"/>
              </w:rPr>
              <w:t>21=[3+(16</w:t>
            </w:r>
            <w:r>
              <w:rPr>
                <w:rFonts w:ascii="宋体" w:hAnsi="宋体" w:cs="宋体" w:eastAsia="宋体" w:hint="default"/>
                <w:sz w:val="18"/>
                <w:szCs w:val="18"/>
              </w:rPr>
              <w:t>－</w:t>
            </w:r>
            <w:r>
              <w:rPr>
                <w:rFonts w:ascii="Arial" w:hAnsi="Arial" w:cs="Arial" w:eastAsia="Arial" w:hint="default"/>
                <w:sz w:val="18"/>
                <w:szCs w:val="18"/>
              </w:rPr>
              <w:t>18)</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z w:val="18"/>
                <w:szCs w:val="18"/>
              </w:rPr>
              <w:t>×(1-17)]÷(13+19)</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-0.34</w:t>
            </w:r>
            <w:r>
              <w:rPr>
                <w:rFonts w:ascii="Arial"/>
                <w:sz w:val="18"/>
              </w:rPr>
            </w:r>
          </w:p>
        </w:tc>
        <w:tc>
          <w:tcPr>
            <w:tcW w:w="19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3"/>
              <w:ind w:right="106"/>
              <w:jc w:val="right"/>
              <w:rPr>
                <w:rFonts w:ascii="Arial" w:hAnsi="Arial" w:cs="Arial" w:eastAsia="Arial" w:hint="default"/>
                <w:sz w:val="18"/>
                <w:szCs w:val="18"/>
              </w:rPr>
            </w:pPr>
            <w:r>
              <w:rPr>
                <w:rFonts w:ascii="Arial"/>
                <w:spacing w:val="-1"/>
                <w:sz w:val="18"/>
              </w:rPr>
              <w:t>-0.16</w:t>
            </w:r>
          </w:p>
        </w:tc>
      </w:tr>
    </w:tbl>
    <w:p>
      <w:pPr>
        <w:pStyle w:val="BodyText"/>
        <w:spacing w:line="439" w:lineRule="auto" w:before="86"/>
        <w:ind w:left="580" w:right="6396"/>
        <w:jc w:val="left"/>
        <w:rPr>
          <w:rFonts w:ascii="Arial" w:hAnsi="Arial" w:cs="Arial" w:eastAsia="Arial" w:hint="default"/>
        </w:rPr>
      </w:pPr>
      <w:r>
        <w:rPr/>
        <w:t>（</w:t>
      </w:r>
      <w:r>
        <w:rPr>
          <w:rFonts w:ascii="Arial" w:hAnsi="Arial" w:cs="Arial" w:eastAsia="Arial" w:hint="default"/>
        </w:rPr>
        <w:t>1</w:t>
      </w:r>
      <w:r>
        <w:rPr/>
        <w:t>）基本每股收益</w:t>
      </w:r>
      <w:r>
        <w:rPr>
          <w:w w:val="100"/>
        </w:rPr>
        <w:t> </w:t>
      </w:r>
      <w:r>
        <w:rPr>
          <w:spacing w:val="-2"/>
        </w:rPr>
        <w:t>基本每股收益</w:t>
      </w:r>
      <w:r>
        <w:rPr>
          <w:rFonts w:ascii="Arial" w:hAnsi="Arial" w:cs="Arial" w:eastAsia="Arial" w:hint="default"/>
          <w:spacing w:val="-2"/>
        </w:rPr>
        <w:t>=P0÷S</w:t>
      </w:r>
    </w:p>
    <w:p>
      <w:pPr>
        <w:pStyle w:val="BodyText"/>
        <w:spacing w:line="240" w:lineRule="auto" w:before="46"/>
        <w:ind w:left="580" w:right="1326"/>
        <w:jc w:val="left"/>
        <w:rPr>
          <w:rFonts w:ascii="Arial" w:hAnsi="Arial" w:cs="Arial" w:eastAsia="Arial" w:hint="default"/>
        </w:rPr>
      </w:pPr>
      <w:r>
        <w:rPr>
          <w:rFonts w:ascii="Arial" w:hAnsi="Arial" w:cs="Arial" w:eastAsia="Arial" w:hint="default"/>
        </w:rPr>
        <w:t>S= S0</w:t>
      </w:r>
      <w:r>
        <w:rPr/>
        <w:t>＋</w:t>
      </w:r>
      <w:r>
        <w:rPr>
          <w:rFonts w:ascii="Arial" w:hAnsi="Arial" w:cs="Arial" w:eastAsia="Arial" w:hint="default"/>
        </w:rPr>
        <w:t>S1</w:t>
      </w:r>
      <w:r>
        <w:rPr/>
        <w:t>＋</w:t>
      </w:r>
      <w:r>
        <w:rPr>
          <w:rFonts w:ascii="Arial" w:hAnsi="Arial" w:cs="Arial" w:eastAsia="Arial" w:hint="default"/>
        </w:rPr>
        <w:t>Si×Mi÷M0</w:t>
      </w:r>
      <w:r>
        <w:rPr>
          <w:rFonts w:ascii="Arial" w:hAnsi="Arial" w:cs="Arial" w:eastAsia="Arial" w:hint="default"/>
        </w:rPr>
        <w:t>–</w:t>
      </w:r>
      <w:r>
        <w:rPr>
          <w:rFonts w:ascii="Arial" w:hAnsi="Arial" w:cs="Arial" w:eastAsia="Arial" w:hint="default"/>
          <w:spacing w:val="18"/>
        </w:rPr>
        <w:t> </w:t>
      </w:r>
      <w:r>
        <w:rPr>
          <w:rFonts w:ascii="Arial" w:hAnsi="Arial" w:cs="Arial" w:eastAsia="Arial" w:hint="default"/>
          <w:spacing w:val="-3"/>
        </w:rPr>
        <w:t>Sj×Mj÷M0-Sk</w:t>
      </w:r>
      <w:r>
        <w:rPr>
          <w:rFonts w:ascii="Arial" w:hAnsi="Arial" w:cs="Arial" w:eastAsia="Arial" w:hint="default"/>
        </w:rPr>
      </w:r>
    </w:p>
    <w:p>
      <w:pPr>
        <w:spacing w:line="240" w:lineRule="auto" w:before="8"/>
        <w:rPr>
          <w:rFonts w:ascii="Arial" w:hAnsi="Arial" w:cs="Arial" w:eastAsia="Arial" w:hint="default"/>
          <w:sz w:val="20"/>
          <w:szCs w:val="20"/>
        </w:rPr>
      </w:pPr>
    </w:p>
    <w:p>
      <w:pPr>
        <w:pStyle w:val="BodyText"/>
        <w:spacing w:line="338" w:lineRule="auto"/>
        <w:ind w:left="160" w:right="1326" w:firstLine="420"/>
        <w:jc w:val="left"/>
      </w:pPr>
      <w:r>
        <w:rPr/>
        <w:t>其中：</w:t>
      </w:r>
      <w:r>
        <w:rPr>
          <w:rFonts w:ascii="Arial" w:hAnsi="Arial" w:cs="Arial" w:eastAsia="Arial" w:hint="default"/>
        </w:rPr>
        <w:t>P0</w:t>
      </w:r>
      <w:r>
        <w:rPr>
          <w:rFonts w:ascii="Arial" w:hAnsi="Arial" w:cs="Arial" w:eastAsia="Arial" w:hint="default"/>
          <w:spacing w:val="-8"/>
        </w:rPr>
        <w:t> </w:t>
      </w:r>
      <w:r>
        <w:rPr/>
        <w:t>为归属于公司普通股股东的净利润或扣除非经常性损益后归属于普通股股东的净利</w:t>
      </w:r>
      <w:r>
        <w:rPr>
          <w:w w:val="100"/>
        </w:rPr>
        <w:t> </w:t>
      </w:r>
      <w:r>
        <w:rPr/>
        <w:t>润；</w:t>
      </w:r>
      <w:r>
        <w:rPr>
          <w:rFonts w:ascii="Arial" w:hAnsi="Arial" w:cs="Arial" w:eastAsia="Arial" w:hint="default"/>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23"/>
        </w:rPr>
        <w:t> </w:t>
      </w:r>
      <w:r>
        <w:rPr/>
        <w:t>为报告期因公积金转增股本或股</w:t>
      </w:r>
      <w:r>
        <w:rPr>
          <w:w w:val="100"/>
        </w:rPr>
        <w:t> </w:t>
      </w:r>
      <w:r>
        <w:rPr>
          <w:spacing w:val="-4"/>
        </w:rPr>
        <w:t>票股利分配等增加股份数；</w:t>
      </w:r>
      <w:r>
        <w:rPr>
          <w:rFonts w:ascii="Arial" w:hAnsi="Arial" w:cs="Arial" w:eastAsia="Arial" w:hint="default"/>
          <w:spacing w:val="-4"/>
        </w:rPr>
        <w:t>Si </w:t>
      </w:r>
      <w:r>
        <w:rPr>
          <w:spacing w:val="-3"/>
        </w:rPr>
        <w:t>为报告期因发行新股或债转股等增加股份数；</w:t>
      </w:r>
      <w:r>
        <w:rPr>
          <w:rFonts w:ascii="Arial" w:hAnsi="Arial" w:cs="Arial" w:eastAsia="Arial" w:hint="default"/>
          <w:spacing w:val="-3"/>
        </w:rPr>
        <w:t>Sj </w:t>
      </w:r>
      <w:r>
        <w:rPr/>
        <w:t>为报告期因回购等减</w:t>
      </w:r>
      <w:r>
        <w:rPr>
          <w:spacing w:val="-59"/>
        </w:rPr>
        <w:t> </w:t>
      </w:r>
      <w:r>
        <w:rPr>
          <w:spacing w:val="-59"/>
        </w:rPr>
      </w:r>
      <w:r>
        <w:rPr>
          <w:spacing w:val="-10"/>
        </w:rPr>
        <w:t>少股份数；</w:t>
      </w:r>
      <w:r>
        <w:rPr>
          <w:rFonts w:ascii="Arial" w:hAnsi="Arial" w:cs="Arial" w:eastAsia="Arial" w:hint="default"/>
          <w:spacing w:val="-10"/>
        </w:rPr>
        <w:t>Sk</w:t>
      </w:r>
      <w:r>
        <w:rPr>
          <w:rFonts w:ascii="Arial" w:hAnsi="Arial" w:cs="Arial" w:eastAsia="Arial" w:hint="default"/>
          <w:spacing w:val="3"/>
        </w:rPr>
        <w:t> </w:t>
      </w:r>
      <w:r>
        <w:rPr>
          <w:spacing w:val="-8"/>
        </w:rPr>
        <w:t>为报告期缩股数；</w:t>
      </w:r>
      <w:r>
        <w:rPr>
          <w:rFonts w:ascii="Arial" w:hAnsi="Arial" w:cs="Arial" w:eastAsia="Arial" w:hint="default"/>
          <w:spacing w:val="-8"/>
        </w:rPr>
        <w:t>M0</w:t>
      </w:r>
      <w:r>
        <w:rPr>
          <w:rFonts w:ascii="Arial" w:hAnsi="Arial" w:cs="Arial" w:eastAsia="Arial" w:hint="default"/>
          <w:spacing w:val="3"/>
        </w:rPr>
        <w:t> </w:t>
      </w:r>
      <w:r>
        <w:rPr>
          <w:spacing w:val="-9"/>
        </w:rPr>
        <w:t>报告期月份数；</w:t>
      </w:r>
      <w:r>
        <w:rPr>
          <w:rFonts w:ascii="Arial" w:hAnsi="Arial" w:cs="Arial" w:eastAsia="Arial" w:hint="default"/>
          <w:spacing w:val="-9"/>
        </w:rPr>
        <w:t>Mi</w:t>
      </w:r>
      <w:r>
        <w:rPr>
          <w:rFonts w:ascii="Arial" w:hAnsi="Arial" w:cs="Arial" w:eastAsia="Arial" w:hint="default"/>
          <w:spacing w:val="4"/>
        </w:rPr>
        <w:t> </w:t>
      </w:r>
      <w:r>
        <w:rPr/>
        <w:t>为增加股份次月起至报告期期末的累计月数；</w:t>
      </w:r>
      <w:r>
        <w:rPr>
          <w:spacing w:val="-101"/>
        </w:rPr>
        <w:t> </w:t>
      </w:r>
      <w:r>
        <w:rPr>
          <w:spacing w:val="-101"/>
        </w:rPr>
      </w:r>
      <w:r>
        <w:rPr>
          <w:rFonts w:ascii="Arial" w:hAnsi="Arial" w:cs="Arial" w:eastAsia="Arial" w:hint="default"/>
        </w:rPr>
        <w:t>Mj</w:t>
      </w:r>
      <w:r>
        <w:rPr>
          <w:rFonts w:ascii="Arial" w:hAnsi="Arial" w:cs="Arial" w:eastAsia="Arial" w:hint="default"/>
          <w:spacing w:val="-11"/>
        </w:rPr>
        <w:t> </w:t>
      </w:r>
      <w:r>
        <w:rPr/>
        <w:t>为减少股份次月起至报告期期末的累计月数。</w:t>
      </w:r>
    </w:p>
    <w:p>
      <w:pPr>
        <w:spacing w:after="0" w:line="338" w:lineRule="auto"/>
        <w:jc w:val="left"/>
        <w:sectPr>
          <w:pgSz w:w="11910" w:h="16840"/>
          <w:pgMar w:header="884" w:footer="1013" w:top="1080" w:bottom="1200" w:left="1280" w:right="0"/>
        </w:sectPr>
      </w:pPr>
    </w:p>
    <w:p>
      <w:pPr>
        <w:pStyle w:val="BodyText"/>
        <w:spacing w:line="240" w:lineRule="auto" w:before="30"/>
        <w:ind w:left="560" w:right="1205"/>
        <w:jc w:val="left"/>
      </w:pPr>
      <w:r>
        <w:rPr/>
        <w:pict>
          <v:group style="position:absolute;margin-left:70.584pt;margin-top:2.843696pt;width:436.3pt;height:.1pt;mso-position-horizontal-relative:page;mso-position-vertical-relative:paragraph;z-index:-635968" coordorigin="1412,57" coordsize="8726,2">
            <v:shape style="position:absolute;left:1412;top:57;width:8726;height:2" coordorigin="1412,57" coordsize="8726,0" path="m1412,57l10137,57e" filled="false" stroked="true" strokeweight=".72pt" strokecolor="#000000">
              <v:path arrowok="t"/>
            </v:shape>
            <w10:wrap type="none"/>
          </v:group>
        </w:pict>
      </w:r>
      <w:r>
        <w:rPr/>
        <w:t>（</w:t>
      </w:r>
      <w:r>
        <w:rPr>
          <w:rFonts w:ascii="Arial" w:hAnsi="Arial" w:cs="Arial" w:eastAsia="Arial" w:hint="default"/>
        </w:rPr>
        <w:t>2</w:t>
      </w:r>
      <w:r>
        <w:rPr/>
        <w:t>）稀释每股收益</w:t>
      </w:r>
    </w:p>
    <w:p>
      <w:pPr>
        <w:spacing w:line="240" w:lineRule="auto" w:before="5"/>
        <w:rPr>
          <w:rFonts w:ascii="宋体" w:hAnsi="宋体" w:cs="宋体" w:eastAsia="宋体" w:hint="default"/>
          <w:sz w:val="18"/>
          <w:szCs w:val="18"/>
        </w:rPr>
      </w:pPr>
    </w:p>
    <w:p>
      <w:pPr>
        <w:pStyle w:val="BodyText"/>
        <w:spacing w:line="338" w:lineRule="auto"/>
        <w:ind w:right="1205" w:firstLine="420"/>
        <w:jc w:val="left"/>
        <w:rPr>
          <w:rFonts w:ascii="Arial" w:hAnsi="Arial" w:cs="Arial" w:eastAsia="Arial" w:hint="default"/>
        </w:rPr>
      </w:pPr>
      <w:r>
        <w:rPr>
          <w:spacing w:val="-2"/>
        </w:rPr>
        <w:t>稀释每股收益</w:t>
      </w:r>
      <w:r>
        <w:rPr>
          <w:rFonts w:ascii="Arial" w:hAnsi="Arial" w:cs="Arial" w:eastAsia="Arial" w:hint="default"/>
          <w:spacing w:val="-2"/>
        </w:rPr>
        <w:t>=P1/(S0</w:t>
      </w:r>
      <w:r>
        <w:rPr>
          <w:spacing w:val="-2"/>
        </w:rPr>
        <w:t>＋</w:t>
      </w:r>
      <w:r>
        <w:rPr>
          <w:rFonts w:ascii="Arial" w:hAnsi="Arial" w:cs="Arial" w:eastAsia="Arial" w:hint="default"/>
          <w:spacing w:val="-2"/>
        </w:rPr>
        <w:t>S1</w:t>
      </w:r>
      <w:r>
        <w:rPr>
          <w:spacing w:val="-2"/>
        </w:rPr>
        <w:t>＋</w:t>
      </w:r>
      <w:r>
        <w:rPr>
          <w:rFonts w:ascii="Arial" w:hAnsi="Arial" w:cs="Arial" w:eastAsia="Arial" w:hint="default"/>
          <w:spacing w:val="-2"/>
        </w:rPr>
        <w:t>Si×Mi÷M0</w:t>
      </w:r>
      <w:r>
        <w:rPr>
          <w:rFonts w:ascii="Arial" w:hAnsi="Arial" w:cs="Arial" w:eastAsia="Arial" w:hint="default"/>
          <w:spacing w:val="-2"/>
        </w:rPr>
        <w:t>–</w:t>
      </w:r>
      <w:r>
        <w:rPr>
          <w:rFonts w:ascii="Arial" w:hAnsi="Arial" w:cs="Arial" w:eastAsia="Arial" w:hint="default"/>
          <w:spacing w:val="-2"/>
        </w:rPr>
        <w:t>Sj×Mj÷M0</w:t>
      </w:r>
      <w:r>
        <w:rPr>
          <w:rFonts w:ascii="Arial" w:hAnsi="Arial" w:cs="Arial" w:eastAsia="Arial" w:hint="default"/>
          <w:spacing w:val="-2"/>
        </w:rPr>
        <w:t>–</w:t>
      </w:r>
      <w:r>
        <w:rPr>
          <w:rFonts w:ascii="Arial" w:hAnsi="Arial" w:cs="Arial" w:eastAsia="Arial" w:hint="default"/>
          <w:spacing w:val="-2"/>
        </w:rPr>
        <w:t>Sk+</w:t>
      </w:r>
      <w:r>
        <w:rPr>
          <w:spacing w:val="-2"/>
        </w:rPr>
        <w:t>认股权证、股份期权、可转换债券等</w:t>
      </w:r>
      <w:r>
        <w:rPr>
          <w:w w:val="100"/>
        </w:rPr>
        <w:t> </w:t>
      </w:r>
      <w:r>
        <w:rPr/>
        <w:t>增加的普通股加权平均数</w:t>
      </w:r>
      <w:r>
        <w:rPr>
          <w:rFonts w:ascii="Arial" w:hAnsi="Arial" w:cs="Arial" w:eastAsia="Arial" w:hint="default"/>
        </w:rPr>
        <w:t>)</w:t>
      </w:r>
    </w:p>
    <w:p>
      <w:pPr>
        <w:pStyle w:val="BodyText"/>
        <w:spacing w:line="352" w:lineRule="auto" w:before="144"/>
        <w:ind w:right="1431" w:firstLine="420"/>
        <w:jc w:val="both"/>
      </w:pPr>
      <w:r>
        <w:rPr>
          <w:spacing w:val="-22"/>
          <w:w w:val="100"/>
        </w:rPr>
        <w:t>其中，</w:t>
      </w:r>
      <w:r>
        <w:rPr>
          <w:rFonts w:ascii="Arial" w:hAnsi="Arial" w:cs="Arial" w:eastAsia="Arial" w:hint="default"/>
          <w:spacing w:val="-22"/>
          <w:w w:val="100"/>
        </w:rPr>
        <w:t>P1</w:t>
      </w:r>
      <w:r>
        <w:rPr>
          <w:rFonts w:ascii="Arial" w:hAnsi="Arial" w:cs="Arial" w:eastAsia="Arial" w:hint="default"/>
          <w:spacing w:val="11"/>
          <w:w w:val="100"/>
        </w:rPr>
        <w:t> </w:t>
      </w:r>
      <w:r>
        <w:rPr>
          <w:spacing w:val="-2"/>
          <w:w w:val="100"/>
        </w:rPr>
        <w:t>为归属于公司普通股股东的净利润或扣除非经常性损益后归属于公司普通股股东的净</w:t>
      </w:r>
      <w:r>
        <w:rPr>
          <w:w w:val="100"/>
        </w:rPr>
        <w:t> </w:t>
      </w:r>
      <w:r>
        <w:rPr>
          <w:spacing w:val="-2"/>
        </w:rPr>
        <w:t>利润，并考虑稀释性潜在普通股对其影响，按《企业会计准则》及有关规定进行调整。公司在计算</w:t>
      </w:r>
      <w:r>
        <w:rPr>
          <w:spacing w:val="-34"/>
        </w:rPr>
        <w:t> </w:t>
      </w:r>
      <w:r>
        <w:rPr>
          <w:spacing w:val="-34"/>
        </w:rPr>
      </w:r>
      <w:r>
        <w:rPr>
          <w:spacing w:val="-2"/>
        </w:rPr>
        <w:t>稀释每股收益时，考虑所有稀释性潜在普通股对归属于公司普通股股东的净利润或扣除非经常性损</w:t>
      </w:r>
      <w:r>
        <w:rPr>
          <w:spacing w:val="-30"/>
        </w:rPr>
        <w:t> </w:t>
      </w:r>
      <w:r>
        <w:rPr>
          <w:spacing w:val="-30"/>
        </w:rPr>
      </w:r>
      <w:r>
        <w:rPr>
          <w:spacing w:val="-2"/>
        </w:rPr>
        <w:t>益后归属于公司普通股股东的净利润和加权平均股数的影响，按照其稀释程度从大到小的顺序计入</w:t>
      </w:r>
      <w:r>
        <w:rPr>
          <w:spacing w:val="-30"/>
        </w:rPr>
        <w:t> </w:t>
      </w:r>
      <w:r>
        <w:rPr>
          <w:spacing w:val="-30"/>
        </w:rPr>
      </w:r>
      <w:r>
        <w:rPr/>
        <w:t>稀释每股收益，直至稀释每股收益达到最小值。</w:t>
      </w:r>
    </w:p>
    <w:p>
      <w:pPr>
        <w:spacing w:line="240" w:lineRule="auto" w:before="8"/>
        <w:rPr>
          <w:rFonts w:ascii="宋体" w:hAnsi="宋体" w:cs="宋体" w:eastAsia="宋体" w:hint="default"/>
          <w:sz w:val="16"/>
          <w:szCs w:val="16"/>
        </w:rPr>
      </w:pPr>
    </w:p>
    <w:p>
      <w:pPr>
        <w:pStyle w:val="Heading4"/>
        <w:tabs>
          <w:tab w:pos="1839" w:val="left" w:leader="none"/>
        </w:tabs>
        <w:spacing w:line="240" w:lineRule="auto"/>
        <w:ind w:right="1205"/>
        <w:jc w:val="left"/>
        <w:rPr>
          <w:b w:val="0"/>
          <w:bCs w:val="0"/>
        </w:rPr>
      </w:pPr>
      <w:r>
        <w:rPr>
          <w:spacing w:val="-1"/>
        </w:rPr>
        <w:t>（四十二）</w:t>
        <w:tab/>
        <w:t>其他综合收益</w:t>
      </w:r>
      <w:r>
        <w:rPr>
          <w:b w:val="0"/>
          <w:bCs w:val="0"/>
          <w:spacing w:val="-1"/>
        </w:rPr>
      </w:r>
    </w:p>
    <w:p>
      <w:pPr>
        <w:spacing w:line="240" w:lineRule="auto" w:before="7"/>
        <w:rPr>
          <w:rFonts w:ascii="宋体" w:hAnsi="宋体" w:cs="宋体" w:eastAsia="宋体" w:hint="default"/>
          <w:b/>
          <w:bCs/>
          <w:sz w:val="17"/>
          <w:szCs w:val="17"/>
        </w:rPr>
      </w:pPr>
    </w:p>
    <w:tbl>
      <w:tblPr>
        <w:tblW w:w="0" w:type="auto"/>
        <w:jc w:val="left"/>
        <w:tblInd w:w="202" w:type="dxa"/>
        <w:tblLayout w:type="fixed"/>
        <w:tblCellMar>
          <w:top w:w="0" w:type="dxa"/>
          <w:left w:w="0" w:type="dxa"/>
          <w:bottom w:w="0" w:type="dxa"/>
          <w:right w:w="0" w:type="dxa"/>
        </w:tblCellMar>
        <w:tblLook w:val="01E0"/>
      </w:tblPr>
      <w:tblGrid>
        <w:gridCol w:w="5319"/>
        <w:gridCol w:w="1733"/>
        <w:gridCol w:w="1808"/>
      </w:tblGrid>
      <w:tr>
        <w:trPr>
          <w:trHeight w:val="363" w:hRule="exact"/>
        </w:trPr>
        <w:tc>
          <w:tcPr>
            <w:tcW w:w="5319" w:type="dxa"/>
            <w:tcBorders>
              <w:top w:val="single" w:sz="12" w:space="0" w:color="000000"/>
              <w:left w:val="nil" w:sz="6" w:space="0" w:color="auto"/>
              <w:bottom w:val="single" w:sz="6" w:space="0" w:color="000000"/>
              <w:right w:val="single" w:sz="6" w:space="0" w:color="000000"/>
            </w:tcBorders>
          </w:tcPr>
          <w:p>
            <w:pPr>
              <w:pStyle w:val="TableParagraph"/>
              <w:tabs>
                <w:tab w:pos="74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0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44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53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236,289.48</w:t>
            </w:r>
          </w:p>
        </w:tc>
        <w:tc>
          <w:tcPr>
            <w:tcW w:w="1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-177,421.15</w:t>
            </w:r>
          </w:p>
        </w:tc>
      </w:tr>
      <w:tr>
        <w:trPr>
          <w:trHeight w:val="355" w:hRule="exact"/>
        </w:trPr>
        <w:tc>
          <w:tcPr>
            <w:tcW w:w="53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5319" w:type="dxa"/>
            <w:tcBorders>
              <w:top w:val="single" w:sz="6" w:space="0" w:color="000000"/>
              <w:left w:val="nil" w:sz="6" w:space="0" w:color="auto"/>
              <w:bottom w:val="single" w:sz="12" w:space="0" w:color="000000"/>
              <w:right w:val="single" w:sz="6" w:space="0" w:color="000000"/>
            </w:tcBorders>
          </w:tcPr>
          <w:p>
            <w:pPr>
              <w:pStyle w:val="TableParagraph"/>
              <w:tabs>
                <w:tab w:pos="657" w:val="left" w:leader="none"/>
              </w:tabs>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236,289.48</w:t>
            </w:r>
            <w:r>
              <w:rPr>
                <w:rFonts w:ascii="Arial"/>
                <w:b/>
                <w:spacing w:val="-1"/>
                <w:sz w:val="18"/>
              </w:rPr>
            </w:r>
            <w:r>
              <w:rPr>
                <w:rFonts w:ascii="Arial"/>
                <w:spacing w:val="-1"/>
                <w:sz w:val="18"/>
              </w:rPr>
            </w:r>
          </w:p>
        </w:tc>
        <w:tc>
          <w:tcPr>
            <w:tcW w:w="1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-177,421.15</w:t>
            </w:r>
            <w:r>
              <w:rPr>
                <w:rFonts w:ascii="Arial"/>
                <w:b/>
                <w:spacing w:val="-1"/>
                <w:sz w:val="18"/>
              </w:rPr>
            </w:r>
            <w:r>
              <w:rPr>
                <w:rFonts w:ascii="Arial"/>
                <w:spacing w:val="-1"/>
                <w:sz w:val="18"/>
              </w:rPr>
            </w:r>
          </w:p>
        </w:tc>
      </w:tr>
    </w:tbl>
    <w:p>
      <w:pPr>
        <w:tabs>
          <w:tab w:pos="1839" w:val="left" w:leader="none"/>
        </w:tabs>
        <w:spacing w:before="86"/>
        <w:ind w:left="560" w:right="1205" w:firstLine="0"/>
        <w:jc w:val="left"/>
        <w:rPr>
          <w:rFonts w:ascii="宋体" w:hAnsi="宋体" w:cs="宋体" w:eastAsia="宋体" w:hint="default"/>
          <w:sz w:val="21"/>
          <w:szCs w:val="21"/>
        </w:rPr>
      </w:pPr>
      <w:r>
        <w:rPr>
          <w:rFonts w:ascii="宋体" w:hAnsi="宋体" w:cs="宋体" w:eastAsia="宋体" w:hint="default"/>
          <w:b/>
          <w:bCs/>
          <w:spacing w:val="-1"/>
          <w:sz w:val="21"/>
          <w:szCs w:val="21"/>
        </w:rPr>
        <w:t>（四十三）</w:t>
        <w:tab/>
        <w:t>现金流量表项目注释</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9"/>
          <w:szCs w:val="19"/>
        </w:rPr>
      </w:pPr>
    </w:p>
    <w:p>
      <w:pPr>
        <w:spacing w:before="0"/>
        <w:ind w:left="562" w:right="120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54"/>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5"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收到浙江华扬实业发展有限公司往来款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105,054,039.01</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收到华方医药科技有限公司往来款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12,506,992.00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91,500,000.00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收到杭州澳盛园艺有限公司往来款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40,000,000.00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收到华立集团股份有限公司往来款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166,000,000.00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28,130,000.00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收到重庆国平商贸有限公司往来款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17,000,000.00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招投标保证金返还</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15,357,643.00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13,975,704.00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收到重庆嘉浩置业有限公司往来款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21,700,000.00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收到湖北华立正源医药有限公司往来款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收到浙江恒诚供应链发展有限公司往来款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76,850,000.00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收到浙江中大期货经纪有限公司往来款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4,162,500.00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收到广东柏迪鑫投资公司往来款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3,000,000.00</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收到财政部科泰复</w:t>
            </w:r>
            <w:r>
              <w:rPr>
                <w:rFonts w:ascii="宋体" w:hAnsi="宋体" w:cs="宋体" w:eastAsia="宋体" w:hint="default"/>
                <w:spacing w:val="-59"/>
                <w:sz w:val="18"/>
                <w:szCs w:val="18"/>
              </w:rPr>
              <w:t> </w:t>
            </w:r>
            <w:r>
              <w:rPr>
                <w:rFonts w:ascii="Arial" w:hAnsi="Arial" w:cs="Arial" w:eastAsia="Arial" w:hint="default"/>
                <w:sz w:val="18"/>
                <w:szCs w:val="18"/>
              </w:rPr>
              <w:t>PQ</w:t>
            </w:r>
            <w:r>
              <w:rPr>
                <w:rFonts w:ascii="Arial" w:hAnsi="Arial" w:cs="Arial" w:eastAsia="Arial" w:hint="default"/>
                <w:spacing w:val="-20"/>
                <w:sz w:val="18"/>
                <w:szCs w:val="18"/>
              </w:rPr>
              <w:t> </w:t>
            </w:r>
            <w:r>
              <w:rPr>
                <w:rFonts w:ascii="宋体" w:hAnsi="宋体" w:cs="宋体" w:eastAsia="宋体" w:hint="default"/>
                <w:sz w:val="18"/>
                <w:szCs w:val="18"/>
              </w:rPr>
              <w:t>认证国际临床合作项目往来款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1,900,000.00</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收到北京康益民生医药经营有限公司往来款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收到昆明恺撒投资有限责任公司往来款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收到杭州华春工贸有限公司往来款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22,082,543.32</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收到杭州正华电子科技有限公司往来款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6,000,000.00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收到杭州诚欣仪表配件有限公司往来款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8,000,000.00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收到诚信公司往来款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收到曹宁往来款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358,497,178.32</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329,722,243.01</w:t>
            </w:r>
            <w:r>
              <w:rPr>
                <w:rFonts w:ascii="Arial"/>
                <w:b/>
                <w:spacing w:val="-1"/>
                <w:sz w:val="18"/>
              </w:rPr>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300" w:right="0"/>
        </w:sectPr>
      </w:pPr>
    </w:p>
    <w:p>
      <w:pPr>
        <w:spacing w:before="30"/>
        <w:ind w:left="560" w:right="1205"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35944" coordorigin="1412,57" coordsize="8726,2">
            <v:shape style="position:absolute;left:1412;top:57;width:8726;height:2" coordorigin="1412,57" coordsize="8726,0" path="m1412,57l10137,57e" filled="false" stroked="true" strokeweight=".72pt" strokecolor="#000000">
              <v:path arrowok="t"/>
            </v:shape>
            <w10:wrap type="none"/>
          </v:group>
        </w:pict>
      </w:r>
      <w:r>
        <w:rPr>
          <w:rFonts w:ascii="Arial" w:hAnsi="Arial" w:cs="Arial" w:eastAsia="Arial" w:hint="default"/>
          <w:b/>
          <w:bCs/>
          <w:sz w:val="21"/>
          <w:szCs w:val="21"/>
        </w:rPr>
        <w:t>2.</w:t>
      </w:r>
      <w:r>
        <w:rPr>
          <w:rFonts w:ascii="Arial" w:hAnsi="Arial" w:cs="Arial" w:eastAsia="Arial" w:hint="default"/>
          <w:b/>
          <w:bCs/>
          <w:spacing w:val="56"/>
          <w:sz w:val="21"/>
          <w:szCs w:val="21"/>
        </w:rPr>
        <w:t> </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3"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支付华方医药科技有限公司往来款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11,000,000.00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81,900,000.00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支付浙江华扬实业发展有限公司往来款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75,614,716.55</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支付办事处经营款项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31,827,814.91</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65,751,275.45</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支付重庆嘉浩置业有限公司往来款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21,700,000.00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30,700,000.00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支付上海亚天建筑工程有限公司往来款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26,800,000.00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支付杭州华春工贸有限公司往来款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22,082,543.32</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支付华立集团股份有限公司往来款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97,381,590.30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72,020,679.81</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支付招投标保证金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12,683,962.00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19,325,863.30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支付重庆国平商贸有限公司往来款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17,000,000.00</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支付杭州澳盛园艺有限公司往来款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w:hAnsi="Arial" w:cs="Arial" w:eastAsia="Arial" w:hint="default"/>
                <w:sz w:val="18"/>
                <w:szCs w:val="18"/>
              </w:rPr>
            </w:pPr>
            <w:r>
              <w:rPr>
                <w:rFonts w:ascii="Arial"/>
                <w:spacing w:val="-1"/>
                <w:sz w:val="18"/>
              </w:rPr>
              <w:t>16,691,667.00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支付吉首市福利材料厂往来款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6,800,000.00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支付浙江恒诚供应链发展有限公司往来款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40,000,000.00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5,500,000.00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支付浙江中大期货经纪有限公司往来款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支付浙江华凯实业有限公司往来款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2,000,000.00</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支付灯塔建筑往来款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1,143,190.00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支付北京康益民生医药经营有限公司往来款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支付昆明恺撒投资有限责任公司往来款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支付诚信公司往来款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支付曹宁往来款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支付浙江华立电力科技有限公司往来款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248,193,367.21</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448,329,935.43</w:t>
            </w:r>
            <w:r>
              <w:rPr>
                <w:rFonts w:ascii="Arial"/>
                <w:b/>
                <w:spacing w:val="-1"/>
                <w:sz w:val="18"/>
              </w:rPr>
            </w:r>
            <w:r>
              <w:rPr>
                <w:rFonts w:ascii="Arial"/>
                <w:spacing w:val="-1"/>
                <w:sz w:val="18"/>
              </w:rPr>
            </w: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56"/>
          <w:sz w:val="21"/>
          <w:szCs w:val="21"/>
        </w:rPr>
        <w:t> </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收到华方医药科技有限公司土地转让款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54,791,900.00</w:t>
            </w: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54,791,900.00</w:t>
            </w:r>
            <w:r>
              <w:rPr>
                <w:rFonts w:ascii="Arial"/>
                <w:b/>
                <w:spacing w:val="-1"/>
                <w:sz w:val="18"/>
              </w:rPr>
            </w:r>
            <w:r>
              <w:rPr>
                <w:rFonts w:ascii="Arial"/>
                <w:spacing w:val="-1"/>
                <w:sz w:val="18"/>
              </w:rPr>
            </w: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56"/>
          <w:sz w:val="21"/>
          <w:szCs w:val="21"/>
        </w:rPr>
        <w:t> </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收购子公司广州市华立健药业有限公司少数股权</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2,500,000.00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2,500,000.00</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56"/>
          <w:sz w:val="21"/>
          <w:szCs w:val="21"/>
        </w:rPr>
        <w:t> </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融资性质的票据贴现收款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234,423,254.33</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235,468,164.24</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收回为短期借款质押的定期存款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41,411,950.00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收回具有融资性质的票据保证金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48,392,234.09</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324,227,438.42</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235,468,164.24</w:t>
            </w:r>
            <w:r>
              <w:rPr>
                <w:rFonts w:ascii="Arial"/>
                <w:b/>
                <w:spacing w:val="-1"/>
                <w:sz w:val="18"/>
              </w:rPr>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84" w:footer="1013" w:top="1080" w:bottom="1200" w:left="1300" w:right="0"/>
        </w:sectPr>
      </w:pPr>
    </w:p>
    <w:p>
      <w:pPr>
        <w:spacing w:before="30"/>
        <w:ind w:left="560" w:right="1205"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35920" coordorigin="1412,57" coordsize="8726,2">
            <v:shape style="position:absolute;left:1412;top:57;width:8726;height:2" coordorigin="1412,57" coordsize="8726,0" path="m1412,57l10137,57e" filled="false" stroked="true" strokeweight=".72pt" strokecolor="#000000">
              <v:path arrowok="t"/>
            </v:shape>
            <w10:wrap type="none"/>
          </v:group>
        </w:pict>
      </w:r>
      <w:r>
        <w:rPr>
          <w:rFonts w:ascii="Arial" w:hAnsi="Arial" w:cs="Arial" w:eastAsia="Arial" w:hint="default"/>
          <w:b/>
          <w:bCs/>
          <w:sz w:val="21"/>
          <w:szCs w:val="21"/>
        </w:rPr>
        <w:t>6.</w:t>
      </w:r>
      <w:r>
        <w:rPr>
          <w:rFonts w:ascii="Arial" w:hAnsi="Arial" w:cs="Arial" w:eastAsia="Arial" w:hint="default"/>
          <w:b/>
          <w:bCs/>
          <w:spacing w:val="56"/>
          <w:sz w:val="21"/>
          <w:szCs w:val="21"/>
        </w:rPr>
        <w:t> </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202" w:type="dxa"/>
        <w:tblLayout w:type="fixed"/>
        <w:tblCellMar>
          <w:top w:w="0" w:type="dxa"/>
          <w:left w:w="0" w:type="dxa"/>
          <w:bottom w:w="0" w:type="dxa"/>
          <w:right w:w="0" w:type="dxa"/>
        </w:tblCellMar>
        <w:tblLook w:val="01E0"/>
      </w:tblPr>
      <w:tblGrid>
        <w:gridCol w:w="4335"/>
        <w:gridCol w:w="2340"/>
        <w:gridCol w:w="2184"/>
      </w:tblGrid>
      <w:tr>
        <w:trPr>
          <w:trHeight w:val="363"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具有融资性质的票据到期支付给银行的款项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227,800,000.00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150,000,000.00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定期存单为短期借款质押支付给银行的款项</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31,305,000.00</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支付具有融资性质的票据保证金</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47,200,000.00</w:t>
            </w: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227,800,000.00</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228,505,000.00</w:t>
            </w:r>
            <w:r>
              <w:rPr>
                <w:rFonts w:ascii="Arial"/>
                <w:b/>
                <w:spacing w:val="-1"/>
                <w:sz w:val="18"/>
              </w:rPr>
            </w:r>
            <w:r>
              <w:rPr>
                <w:rFonts w:ascii="Arial"/>
                <w:spacing w:val="-1"/>
                <w:sz w:val="18"/>
              </w:rPr>
            </w:r>
          </w:p>
        </w:tc>
      </w:tr>
    </w:tbl>
    <w:p>
      <w:pPr>
        <w:tabs>
          <w:tab w:pos="1839" w:val="left" w:leader="none"/>
        </w:tabs>
        <w:spacing w:before="86"/>
        <w:ind w:left="560" w:right="1205" w:firstLine="0"/>
        <w:jc w:val="left"/>
        <w:rPr>
          <w:rFonts w:ascii="宋体" w:hAnsi="宋体" w:cs="宋体" w:eastAsia="宋体" w:hint="default"/>
          <w:sz w:val="21"/>
          <w:szCs w:val="21"/>
        </w:rPr>
      </w:pPr>
      <w:r>
        <w:rPr>
          <w:rFonts w:ascii="宋体" w:hAnsi="宋体" w:cs="宋体" w:eastAsia="宋体" w:hint="default"/>
          <w:b/>
          <w:bCs/>
          <w:spacing w:val="-1"/>
          <w:sz w:val="21"/>
          <w:szCs w:val="21"/>
        </w:rPr>
        <w:t>（四十四）</w:t>
        <w:tab/>
        <w:t>现金流量表补充资料</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4"/>
          <w:szCs w:val="14"/>
        </w:rPr>
      </w:pPr>
    </w:p>
    <w:p>
      <w:pPr>
        <w:pStyle w:val="BodyText"/>
        <w:spacing w:line="240" w:lineRule="auto"/>
        <w:ind w:left="560" w:right="1205"/>
        <w:jc w:val="left"/>
      </w:pPr>
      <w:r>
        <w:rPr/>
        <w:t>（</w:t>
      </w:r>
      <w:r>
        <w:rPr>
          <w:rFonts w:ascii="Arial" w:hAnsi="Arial" w:cs="Arial" w:eastAsia="Arial" w:hint="default"/>
        </w:rPr>
        <w:t>1</w:t>
      </w:r>
      <w:r>
        <w:rPr/>
        <w:t>）采用间接法将净利润调节为经营活动现金流量</w:t>
      </w:r>
    </w:p>
    <w:p>
      <w:pPr>
        <w:spacing w:line="240" w:lineRule="auto" w:before="13"/>
        <w:rPr>
          <w:rFonts w:ascii="宋体" w:hAnsi="宋体" w:cs="宋体" w:eastAsia="宋体" w:hint="default"/>
          <w:sz w:val="20"/>
          <w:szCs w:val="20"/>
        </w:rPr>
      </w:pPr>
    </w:p>
    <w:tbl>
      <w:tblPr>
        <w:tblW w:w="0" w:type="auto"/>
        <w:jc w:val="left"/>
        <w:tblInd w:w="202" w:type="dxa"/>
        <w:tblLayout w:type="fixed"/>
        <w:tblCellMar>
          <w:top w:w="0" w:type="dxa"/>
          <w:left w:w="0" w:type="dxa"/>
          <w:bottom w:w="0" w:type="dxa"/>
          <w:right w:w="0" w:type="dxa"/>
        </w:tblCellMar>
        <w:tblLook w:val="01E0"/>
      </w:tblPr>
      <w:tblGrid>
        <w:gridCol w:w="4621"/>
        <w:gridCol w:w="2120"/>
        <w:gridCol w:w="2120"/>
      </w:tblGrid>
      <w:tr>
        <w:trPr>
          <w:trHeight w:val="391" w:hRule="exact"/>
        </w:trPr>
        <w:tc>
          <w:tcPr>
            <w:tcW w:w="46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5"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-180,410,629.58</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-63,446,479.89</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54,600,214.02</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59,812,463.14</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34,113,869.83</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37,577,231.22</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7,707,007.35</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9,121,735.42</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344,655.98</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727,034.96</w:t>
            </w:r>
          </w:p>
        </w:tc>
      </w:tr>
      <w:tr>
        <w:trPr>
          <w:trHeight w:val="497"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4"/>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89"/>
                <w:sz w:val="18"/>
                <w:szCs w:val="18"/>
              </w:rPr>
              <w:t>以</w:t>
            </w:r>
            <w:r>
              <w:rPr>
                <w:rFonts w:ascii="Arial" w:hAnsi="Arial" w:cs="Arial" w:eastAsia="Arial" w:hint="default"/>
                <w:spacing w:val="-1"/>
                <w:w w:val="89"/>
                <w:sz w:val="18"/>
                <w:szCs w:val="18"/>
              </w:rPr>
              <w:t>―</w:t>
            </w:r>
            <w:r>
              <w:rPr>
                <w:rFonts w:ascii="宋体" w:hAnsi="宋体" w:cs="宋体" w:eastAsia="宋体" w:hint="default"/>
                <w:spacing w:val="-1"/>
                <w:w w:val="89"/>
                <w:sz w:val="18"/>
                <w:szCs w:val="18"/>
              </w:rPr>
              <w:t>－</w:t>
            </w:r>
            <w:r>
              <w:rPr>
                <w:rFonts w:ascii="Arial" w:hAnsi="Arial" w:cs="Arial" w:eastAsia="Arial" w:hint="default"/>
                <w:spacing w:val="-1"/>
                <w:w w:val="89"/>
                <w:sz w:val="18"/>
                <w:szCs w:val="18"/>
              </w:rPr>
              <w:t>‖</w:t>
            </w:r>
            <w:r>
              <w:rPr>
                <w:rFonts w:ascii="宋体" w:hAnsi="宋体" w:cs="宋体" w:eastAsia="宋体" w:hint="default"/>
                <w:spacing w:val="-1"/>
                <w:w w:val="89"/>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1,139,939.30</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6,382,866.73</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40,928,021.72</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73,773,047.55</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6,218,297.24</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765,837.95</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-3,982,196.49</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-5,121,055.25</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-93,088,794.05</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-38,300,849.67</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-117,848,323.03</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2"/>
                <w:sz w:val="18"/>
              </w:rPr>
              <w:t>-116,285,023.98</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355,471,230.69</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2"/>
                <w:sz w:val="18"/>
              </w:rPr>
              <w:t>114,476,847.47</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105,193,292.98</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79,483,655.65</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191,027,082.32</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272,602,442.88</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272,602,442.88</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254,201,202.52</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46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0" w:type="dxa"/>
            <w:tcBorders>
              <w:top w:val="single" w:sz="6" w:space="0" w:color="000000"/>
              <w:left w:val="single" w:sz="6" w:space="0" w:color="000000"/>
              <w:bottom w:val="single" w:sz="12" w:space="0" w:color="000000"/>
              <w:right w:val="single" w:sz="6" w:space="0" w:color="000000"/>
            </w:tcBorders>
          </w:tcPr>
          <w:p>
            <w:pPr/>
          </w:p>
        </w:tc>
        <w:tc>
          <w:tcPr>
            <w:tcW w:w="212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080" w:bottom="1300" w:left="130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726"/>
        <w:gridCol w:w="2120"/>
        <w:gridCol w:w="2120"/>
      </w:tblGrid>
      <w:tr>
        <w:trPr>
          <w:trHeight w:val="398" w:hRule="exact"/>
        </w:trPr>
        <w:tc>
          <w:tcPr>
            <w:tcW w:w="4726"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4" w:hRule="exact"/>
        </w:trPr>
        <w:tc>
          <w:tcPr>
            <w:tcW w:w="47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792" w:right="0"/>
              <w:jc w:val="left"/>
              <w:rPr>
                <w:rFonts w:ascii="Arial" w:hAnsi="Arial" w:cs="Arial" w:eastAsia="Arial" w:hint="default"/>
                <w:sz w:val="18"/>
                <w:szCs w:val="18"/>
              </w:rPr>
            </w:pPr>
            <w:r>
              <w:rPr>
                <w:rFonts w:ascii="Arial"/>
                <w:sz w:val="18"/>
              </w:rPr>
              <w:t>-81,575,360.56</w:t>
            </w:r>
          </w:p>
        </w:tc>
        <w:tc>
          <w:tcPr>
            <w:tcW w:w="21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left="852" w:right="0"/>
              <w:jc w:val="left"/>
              <w:rPr>
                <w:rFonts w:ascii="Arial" w:hAnsi="Arial" w:cs="Arial" w:eastAsia="Arial" w:hint="default"/>
                <w:sz w:val="18"/>
                <w:szCs w:val="18"/>
              </w:rPr>
            </w:pPr>
            <w:r>
              <w:rPr>
                <w:rFonts w:ascii="Arial"/>
                <w:sz w:val="18"/>
              </w:rPr>
              <w:t>18,401,240.36</w:t>
            </w:r>
          </w:p>
        </w:tc>
      </w:tr>
    </w:tbl>
    <w:p>
      <w:pPr>
        <w:pStyle w:val="BodyText"/>
        <w:spacing w:line="240" w:lineRule="auto" w:before="86"/>
        <w:ind w:left="580" w:right="1326"/>
        <w:jc w:val="left"/>
      </w:pPr>
      <w:r>
        <w:rPr/>
        <w:t>（</w:t>
      </w:r>
      <w:r>
        <w:rPr>
          <w:rFonts w:ascii="Arial" w:hAnsi="Arial" w:cs="Arial" w:eastAsia="Arial" w:hint="default"/>
        </w:rPr>
        <w:t>2</w:t>
      </w:r>
      <w:r>
        <w:rPr/>
        <w:t>）本年取得或处置子公司及其他营业单位的有关信息</w:t>
      </w:r>
    </w:p>
    <w:p>
      <w:pPr>
        <w:spacing w:line="240" w:lineRule="auto" w:before="11"/>
        <w:rPr>
          <w:rFonts w:ascii="宋体" w:hAnsi="宋体" w:cs="宋体" w:eastAsia="宋体" w:hint="default"/>
          <w:sz w:val="20"/>
          <w:szCs w:val="20"/>
        </w:rPr>
      </w:pPr>
    </w:p>
    <w:tbl>
      <w:tblPr>
        <w:tblW w:w="0" w:type="auto"/>
        <w:jc w:val="left"/>
        <w:tblInd w:w="225" w:type="dxa"/>
        <w:tblLayout w:type="fixed"/>
        <w:tblCellMar>
          <w:top w:w="0" w:type="dxa"/>
          <w:left w:w="0" w:type="dxa"/>
          <w:bottom w:w="0" w:type="dxa"/>
          <w:right w:w="0" w:type="dxa"/>
        </w:tblCellMar>
        <w:tblLook w:val="01E0"/>
      </w:tblPr>
      <w:tblGrid>
        <w:gridCol w:w="5027"/>
        <w:gridCol w:w="1913"/>
        <w:gridCol w:w="1916"/>
      </w:tblGrid>
      <w:tr>
        <w:trPr>
          <w:trHeight w:val="377" w:hRule="exact"/>
        </w:trPr>
        <w:tc>
          <w:tcPr>
            <w:tcW w:w="50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9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62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一、处置子公司及其他营业单位的有关信息：</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．处置子公司及其他营业单位的价格</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129,008,833.75</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2"/>
                <w:sz w:val="18"/>
              </w:rPr>
              <w:t>87,116,000.00</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14"/>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．处置子公司及其他营业单位收到的现金和现金等价物</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20,359,057.12</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sz w:val="18"/>
              </w:rPr>
              <w:t>86,116,000.00</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216"/>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33,535,440.55</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36,222,740.27</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．处置子公司及其他营业单位收到的现金净额</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-13,176,383.43</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49,893,259.73</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．处置子公司的净资产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136,100,609.25</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87,833,270.51</w:t>
            </w:r>
          </w:p>
        </w:tc>
      </w:tr>
      <w:tr>
        <w:trPr>
          <w:trHeight w:val="356"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75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200,351,151.74</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sz w:val="18"/>
              </w:rPr>
              <w:t>643,526,231.23</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161,896,286.94</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74,842,273.93</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196,146,829.43</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627,565,234.65</w:t>
            </w:r>
          </w:p>
        </w:tc>
      </w:tr>
      <w:tr>
        <w:trPr>
          <w:trHeight w:val="362" w:hRule="exact"/>
        </w:trPr>
        <w:tc>
          <w:tcPr>
            <w:tcW w:w="50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30,000,000.00</w:t>
            </w:r>
          </w:p>
        </w:tc>
        <w:tc>
          <w:tcPr>
            <w:tcW w:w="19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sz w:val="18"/>
              </w:rPr>
              <w:t>2,970,000.00</w:t>
            </w:r>
          </w:p>
        </w:tc>
      </w:tr>
    </w:tbl>
    <w:p>
      <w:pPr>
        <w:pStyle w:val="BodyText"/>
        <w:spacing w:line="240" w:lineRule="auto" w:before="86"/>
        <w:ind w:left="580" w:right="1326"/>
        <w:jc w:val="left"/>
      </w:pPr>
      <w:r>
        <w:rPr/>
        <w:t>（</w:t>
      </w:r>
      <w:r>
        <w:rPr>
          <w:rFonts w:ascii="Arial" w:hAnsi="Arial" w:cs="Arial" w:eastAsia="Arial" w:hint="default"/>
        </w:rPr>
        <w:t>3</w:t>
      </w:r>
      <w:r>
        <w:rPr/>
        <w:t>）现金和现金等价物</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5012"/>
        <w:gridCol w:w="1925"/>
        <w:gridCol w:w="1923"/>
      </w:tblGrid>
      <w:tr>
        <w:trPr>
          <w:trHeight w:val="362" w:hRule="exact"/>
        </w:trPr>
        <w:tc>
          <w:tcPr>
            <w:tcW w:w="50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9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191,027,082.32</w:t>
            </w:r>
            <w:r>
              <w:rPr>
                <w:rFonts w:ascii="Arial"/>
                <w:b/>
                <w:spacing w:val="-1"/>
                <w:sz w:val="18"/>
              </w:rPr>
            </w:r>
            <w:r>
              <w:rPr>
                <w:rFonts w:ascii="Arial"/>
                <w:spacing w:val="-1"/>
                <w:sz w:val="18"/>
              </w:rPr>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272,602,442.88</w:t>
            </w:r>
            <w:r>
              <w:rPr>
                <w:rFonts w:ascii="Arial"/>
                <w:b/>
                <w:spacing w:val="-1"/>
                <w:sz w:val="18"/>
              </w:rPr>
            </w:r>
            <w:r>
              <w:rPr>
                <w:rFonts w:ascii="Arial"/>
                <w:spacing w:val="-1"/>
                <w:sz w:val="18"/>
              </w:rPr>
            </w: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129,411.30</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2"/>
                <w:sz w:val="18"/>
              </w:rPr>
              <w:t>1,115,925.06</w:t>
            </w:r>
          </w:p>
        </w:tc>
      </w:tr>
      <w:tr>
        <w:trPr>
          <w:trHeight w:val="353"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190,897,671.02</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271,486,517.82</w:t>
            </w:r>
          </w:p>
        </w:tc>
      </w:tr>
      <w:tr>
        <w:trPr>
          <w:trHeight w:val="356"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191,027,082.32</w:t>
            </w:r>
            <w:r>
              <w:rPr>
                <w:rFonts w:ascii="Arial"/>
                <w:b/>
                <w:spacing w:val="-1"/>
                <w:sz w:val="18"/>
              </w:rPr>
            </w:r>
            <w:r>
              <w:rPr>
                <w:rFonts w:ascii="Arial"/>
                <w:spacing w:val="-1"/>
                <w:sz w:val="18"/>
              </w:rPr>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272,602,442.88</w:t>
            </w:r>
            <w:r>
              <w:rPr>
                <w:rFonts w:ascii="Arial"/>
                <w:b/>
                <w:spacing w:val="-1"/>
                <w:sz w:val="18"/>
              </w:rPr>
            </w:r>
            <w:r>
              <w:rPr>
                <w:rFonts w:ascii="Arial"/>
                <w:spacing w:val="-1"/>
                <w:sz w:val="18"/>
              </w:rPr>
            </w:r>
          </w:p>
        </w:tc>
      </w:tr>
      <w:tr>
        <w:trPr>
          <w:trHeight w:val="365" w:hRule="exact"/>
        </w:trPr>
        <w:tc>
          <w:tcPr>
            <w:tcW w:w="50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四、母公司或集团内子公司使用受限制的现金和现金等价物</w:t>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63,959,050.00</w:t>
            </w:r>
          </w:p>
        </w:tc>
        <w:tc>
          <w:tcPr>
            <w:tcW w:w="19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161,976,445.89</w:t>
            </w:r>
          </w:p>
        </w:tc>
      </w:tr>
    </w:tbl>
    <w:p>
      <w:pPr>
        <w:pStyle w:val="Heading4"/>
        <w:spacing w:line="240" w:lineRule="auto" w:before="86"/>
        <w:ind w:left="143" w:right="8072"/>
        <w:jc w:val="center"/>
        <w:rPr>
          <w:b w:val="0"/>
          <w:bCs w:val="0"/>
        </w:rPr>
      </w:pPr>
      <w:r>
        <w:rPr/>
        <w:t>六、</w:t>
      </w:r>
      <w:r>
        <w:rPr>
          <w:spacing w:val="-54"/>
        </w:rPr>
        <w:t> </w:t>
      </w:r>
      <w:r>
        <w:rPr/>
        <w:t>关联方关系及其交易</w:t>
      </w:r>
      <w:r>
        <w:rPr>
          <w:b w:val="0"/>
          <w:bCs w:val="0"/>
        </w:rPr>
      </w:r>
    </w:p>
    <w:p>
      <w:pPr>
        <w:spacing w:line="240" w:lineRule="auto" w:before="5"/>
        <w:rPr>
          <w:rFonts w:ascii="宋体" w:hAnsi="宋体" w:cs="宋体" w:eastAsia="宋体" w:hint="default"/>
          <w:b/>
          <w:bCs/>
          <w:sz w:val="19"/>
          <w:szCs w:val="19"/>
        </w:rPr>
      </w:pPr>
    </w:p>
    <w:p>
      <w:pPr>
        <w:spacing w:before="0"/>
        <w:ind w:left="143" w:right="7950" w:firstLine="0"/>
        <w:jc w:val="center"/>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2"/>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695" w:right="132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20" w:type="dxa"/>
        <w:tblLayout w:type="fixed"/>
        <w:tblCellMar>
          <w:top w:w="0" w:type="dxa"/>
          <w:left w:w="0" w:type="dxa"/>
          <w:bottom w:w="0" w:type="dxa"/>
          <w:right w:w="0" w:type="dxa"/>
        </w:tblCellMar>
        <w:tblLook w:val="01E0"/>
      </w:tblPr>
      <w:tblGrid>
        <w:gridCol w:w="1126"/>
        <w:gridCol w:w="598"/>
        <w:gridCol w:w="1436"/>
        <w:gridCol w:w="754"/>
        <w:gridCol w:w="581"/>
        <w:gridCol w:w="1016"/>
        <w:gridCol w:w="1178"/>
        <w:gridCol w:w="1066"/>
        <w:gridCol w:w="1111"/>
      </w:tblGrid>
      <w:tr>
        <w:trPr>
          <w:trHeight w:val="985" w:hRule="exact"/>
        </w:trPr>
        <w:tc>
          <w:tcPr>
            <w:tcW w:w="11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480" w:right="187"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5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110" w:right="11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189" w:right="18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5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100" w:right="10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489" w:right="13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母公司对</w:t>
            </w:r>
          </w:p>
          <w:p>
            <w:pPr>
              <w:pStyle w:val="TableParagraph"/>
              <w:spacing w:line="244" w:lineRule="auto" w:before="5"/>
              <w:ind w:left="165" w:right="164"/>
              <w:jc w:val="center"/>
              <w:rPr>
                <w:rFonts w:ascii="宋体" w:hAnsi="宋体" w:cs="宋体" w:eastAsia="宋体" w:hint="default"/>
                <w:sz w:val="18"/>
                <w:szCs w:val="18"/>
              </w:rPr>
            </w:pPr>
            <w:r>
              <w:rPr>
                <w:rFonts w:ascii="宋体" w:hAnsi="宋体" w:cs="宋体" w:eastAsia="宋体" w:hint="default"/>
                <w:sz w:val="18"/>
                <w:szCs w:val="18"/>
              </w:rPr>
              <w:t>本企业的 持股比例</w:t>
            </w:r>
          </w:p>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11" w:type="dxa"/>
            <w:tcBorders>
              <w:top w:val="single" w:sz="12" w:space="0" w:color="000000"/>
              <w:left w:val="single" w:sz="6" w:space="0" w:color="000000"/>
              <w:bottom w:val="single" w:sz="6" w:space="0" w:color="000000"/>
              <w:right w:val="nil" w:sz="6" w:space="0" w:color="auto"/>
            </w:tcBorders>
          </w:tcPr>
          <w:p>
            <w:pPr>
              <w:pStyle w:val="TableParagraph"/>
              <w:spacing w:line="220" w:lineRule="exact"/>
              <w:ind w:left="187" w:right="0"/>
              <w:jc w:val="both"/>
              <w:rPr>
                <w:rFonts w:ascii="宋体" w:hAnsi="宋体" w:cs="宋体" w:eastAsia="宋体" w:hint="default"/>
                <w:sz w:val="18"/>
                <w:szCs w:val="18"/>
              </w:rPr>
            </w:pPr>
            <w:r>
              <w:rPr>
                <w:rFonts w:ascii="宋体" w:hAnsi="宋体" w:cs="宋体" w:eastAsia="宋体" w:hint="default"/>
                <w:sz w:val="18"/>
                <w:szCs w:val="18"/>
              </w:rPr>
              <w:t>母公司对</w:t>
            </w:r>
          </w:p>
          <w:p>
            <w:pPr>
              <w:pStyle w:val="TableParagraph"/>
              <w:spacing w:line="244" w:lineRule="auto" w:before="5"/>
              <w:ind w:left="187" w:right="194"/>
              <w:jc w:val="both"/>
              <w:rPr>
                <w:rFonts w:ascii="宋体" w:hAnsi="宋体" w:cs="宋体" w:eastAsia="宋体" w:hint="default"/>
                <w:sz w:val="18"/>
                <w:szCs w:val="18"/>
              </w:rPr>
            </w:pPr>
            <w:r>
              <w:rPr>
                <w:rFonts w:ascii="宋体" w:hAnsi="宋体" w:cs="宋体" w:eastAsia="宋体" w:hint="default"/>
                <w:sz w:val="18"/>
                <w:szCs w:val="18"/>
              </w:rPr>
              <w:t>本企业的 表决权比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744" w:hRule="exact"/>
        </w:trPr>
        <w:tc>
          <w:tcPr>
            <w:tcW w:w="1126"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208" w:right="187"/>
              <w:jc w:val="center"/>
              <w:rPr>
                <w:rFonts w:ascii="宋体" w:hAnsi="宋体" w:cs="宋体" w:eastAsia="宋体" w:hint="default"/>
                <w:sz w:val="18"/>
                <w:szCs w:val="18"/>
              </w:rPr>
            </w:pPr>
            <w:r>
              <w:rPr>
                <w:rFonts w:ascii="宋体" w:hAnsi="宋体" w:cs="宋体" w:eastAsia="宋体" w:hint="default"/>
                <w:sz w:val="18"/>
                <w:szCs w:val="18"/>
              </w:rPr>
              <w:t>华立集团 股份有限 公司</w:t>
            </w:r>
          </w:p>
        </w:tc>
        <w:tc>
          <w:tcPr>
            <w:tcW w:w="59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110" w:right="110"/>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70" w:right="170"/>
              <w:jc w:val="both"/>
              <w:rPr>
                <w:rFonts w:ascii="宋体" w:hAnsi="宋体" w:cs="宋体" w:eastAsia="宋体" w:hint="default"/>
                <w:sz w:val="18"/>
                <w:szCs w:val="18"/>
              </w:rPr>
            </w:pPr>
            <w:r>
              <w:rPr>
                <w:rFonts w:ascii="宋体" w:hAnsi="宋体" w:cs="宋体" w:eastAsia="宋体" w:hint="default"/>
                <w:sz w:val="18"/>
                <w:szCs w:val="18"/>
              </w:rPr>
              <w:t>杭州市余杭区 五常街道五常 大道</w:t>
            </w:r>
            <w:r>
              <w:rPr>
                <w:rFonts w:ascii="宋体" w:hAnsi="宋体" w:cs="宋体" w:eastAsia="宋体" w:hint="default"/>
                <w:spacing w:val="-45"/>
                <w:sz w:val="18"/>
                <w:szCs w:val="18"/>
              </w:rPr>
              <w:t>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278" w:right="187" w:hanging="89"/>
              <w:jc w:val="left"/>
              <w:rPr>
                <w:rFonts w:ascii="宋体" w:hAnsi="宋体" w:cs="宋体" w:eastAsia="宋体" w:hint="default"/>
                <w:sz w:val="18"/>
                <w:szCs w:val="18"/>
              </w:rPr>
            </w:pPr>
            <w:r>
              <w:rPr>
                <w:rFonts w:ascii="宋体" w:hAnsi="宋体" w:cs="宋体" w:eastAsia="宋体" w:hint="default"/>
                <w:sz w:val="18"/>
                <w:szCs w:val="18"/>
              </w:rPr>
              <w:t>汪力 成</w:t>
            </w:r>
          </w:p>
        </w:tc>
        <w:tc>
          <w:tcPr>
            <w:tcW w:w="5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30,338.00</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70420699-8</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00" w:right="0"/>
              <w:jc w:val="left"/>
              <w:rPr>
                <w:rFonts w:ascii="Arial" w:hAnsi="Arial" w:cs="Arial" w:eastAsia="Arial" w:hint="default"/>
                <w:sz w:val="18"/>
                <w:szCs w:val="18"/>
              </w:rPr>
            </w:pPr>
            <w:r>
              <w:rPr>
                <w:rFonts w:ascii="Arial"/>
                <w:sz w:val="18"/>
              </w:rPr>
              <w:t>23.52</w:t>
            </w:r>
          </w:p>
        </w:tc>
        <w:tc>
          <w:tcPr>
            <w:tcW w:w="11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21" w:right="0"/>
              <w:jc w:val="left"/>
              <w:rPr>
                <w:rFonts w:ascii="Arial" w:hAnsi="Arial" w:cs="Arial" w:eastAsia="Arial" w:hint="default"/>
                <w:sz w:val="18"/>
                <w:szCs w:val="18"/>
              </w:rPr>
            </w:pPr>
            <w:r>
              <w:rPr>
                <w:rFonts w:ascii="Arial"/>
                <w:sz w:val="18"/>
              </w:rPr>
              <w:t>23.52</w:t>
            </w:r>
          </w:p>
        </w:tc>
      </w:tr>
    </w:tbl>
    <w:p>
      <w:pPr>
        <w:spacing w:line="240" w:lineRule="auto" w:before="13"/>
        <w:rPr>
          <w:rFonts w:ascii="宋体" w:hAnsi="宋体" w:cs="宋体" w:eastAsia="宋体" w:hint="default"/>
          <w:b/>
          <w:bCs/>
          <w:sz w:val="12"/>
          <w:szCs w:val="12"/>
        </w:rPr>
      </w:pPr>
    </w:p>
    <w:p>
      <w:pPr>
        <w:spacing w:line="398" w:lineRule="auto" w:before="36"/>
        <w:ind w:left="580" w:right="4252" w:firstLine="115"/>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子公司情况详见本附注四、企业合并及合并财务报表之（一）。</w:t>
      </w:r>
      <w:r>
        <w:rPr>
          <w:rFonts w:ascii="宋体" w:hAnsi="宋体" w:cs="宋体" w:eastAsia="宋体" w:hint="default"/>
          <w:w w:val="100"/>
          <w:sz w:val="21"/>
          <w:szCs w:val="21"/>
        </w:rPr>
        <w:t> </w:t>
      </w: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本公司联营企业情况</w:t>
      </w:r>
      <w:r>
        <w:rPr>
          <w:rFonts w:ascii="宋体" w:hAnsi="宋体" w:cs="宋体" w:eastAsia="宋体" w:hint="default"/>
          <w:sz w:val="21"/>
          <w:szCs w:val="21"/>
        </w:rPr>
      </w:r>
    </w:p>
    <w:p>
      <w:pPr>
        <w:spacing w:after="0" w:line="398" w:lineRule="auto"/>
        <w:jc w:val="left"/>
        <w:rPr>
          <w:rFonts w:ascii="宋体" w:hAnsi="宋体" w:cs="宋体" w:eastAsia="宋体" w:hint="default"/>
          <w:sz w:val="21"/>
          <w:szCs w:val="21"/>
        </w:rPr>
        <w:sectPr>
          <w:pgSz w:w="11910" w:h="16840"/>
          <w:pgMar w:header="884" w:footer="1013" w:top="1080" w:bottom="1200" w:left="1280" w:right="0"/>
        </w:sectPr>
      </w:pPr>
    </w:p>
    <w:p>
      <w:pPr>
        <w:pStyle w:val="BodyText"/>
        <w:spacing w:line="240" w:lineRule="auto" w:before="30"/>
        <w:ind w:left="560" w:right="1205"/>
        <w:jc w:val="left"/>
      </w:pPr>
      <w:r>
        <w:rPr/>
        <w:pict>
          <v:group style="position:absolute;margin-left:70.584pt;margin-top:2.843696pt;width:436.3pt;height:.1pt;mso-position-horizontal-relative:page;mso-position-vertical-relative:paragraph;z-index:-635896" coordorigin="1412,57" coordsize="8726,2">
            <v:shape style="position:absolute;left:1412;top:57;width:8726;height:2" coordorigin="1412,57" coordsize="8726,0" path="m1412,57l10137,57e" filled="false" stroked="true" strokeweight=".72pt" strokecolor="#000000">
              <v:path arrowok="t"/>
            </v:shape>
            <w10:wrap type="none"/>
          </v:group>
        </w:pict>
      </w:r>
      <w:r>
        <w:rPr>
          <w:w w:val="100"/>
        </w:rPr>
        <w:t>联营</w:t>
      </w:r>
      <w:r>
        <w:rPr>
          <w:spacing w:val="-3"/>
          <w:w w:val="100"/>
        </w:rPr>
        <w:t>企</w:t>
      </w:r>
      <w:r>
        <w:rPr>
          <w:w w:val="100"/>
        </w:rPr>
        <w:t>业</w:t>
      </w:r>
      <w:r>
        <w:rPr>
          <w:spacing w:val="-3"/>
          <w:w w:val="100"/>
        </w:rPr>
        <w:t>情</w:t>
      </w:r>
      <w:r>
        <w:rPr>
          <w:w w:val="100"/>
        </w:rPr>
        <w:t>况</w:t>
      </w:r>
      <w:r>
        <w:rPr>
          <w:spacing w:val="-3"/>
          <w:w w:val="100"/>
        </w:rPr>
        <w:t>详</w:t>
      </w:r>
      <w:r>
        <w:rPr>
          <w:w w:val="100"/>
        </w:rPr>
        <w:t>见</w:t>
      </w:r>
      <w:r>
        <w:rPr>
          <w:spacing w:val="-3"/>
          <w:w w:val="100"/>
        </w:rPr>
        <w:t>本</w:t>
      </w:r>
      <w:r>
        <w:rPr>
          <w:w w:val="100"/>
        </w:rPr>
        <w:t>附</w:t>
      </w:r>
      <w:r>
        <w:rPr>
          <w:spacing w:val="-3"/>
          <w:w w:val="100"/>
        </w:rPr>
        <w:t>注</w:t>
      </w:r>
      <w:r>
        <w:rPr>
          <w:w w:val="100"/>
        </w:rPr>
        <w:t>五</w:t>
      </w:r>
      <w:r>
        <w:rPr>
          <w:spacing w:val="-106"/>
          <w:w w:val="100"/>
        </w:rPr>
        <w:t>、</w:t>
      </w:r>
      <w:r>
        <w:rPr>
          <w:spacing w:val="-3"/>
          <w:w w:val="100"/>
        </w:rPr>
        <w:t>（</w:t>
      </w:r>
      <w:r>
        <w:rPr>
          <w:w w:val="100"/>
        </w:rPr>
        <w:t>七</w:t>
      </w:r>
      <w:r>
        <w:rPr>
          <w:spacing w:val="-3"/>
          <w:w w:val="100"/>
        </w:rPr>
        <w:t>）</w:t>
      </w:r>
      <w:r>
        <w:rPr>
          <w:w w:val="100"/>
        </w:rPr>
        <w:t>对</w:t>
      </w:r>
      <w:r>
        <w:rPr>
          <w:spacing w:val="-3"/>
          <w:w w:val="100"/>
        </w:rPr>
        <w:t>联</w:t>
      </w:r>
      <w:r>
        <w:rPr>
          <w:w w:val="100"/>
        </w:rPr>
        <w:t>营</w:t>
      </w:r>
      <w:r>
        <w:rPr>
          <w:spacing w:val="-3"/>
          <w:w w:val="100"/>
        </w:rPr>
        <w:t>企</w:t>
      </w:r>
      <w:r>
        <w:rPr>
          <w:w w:val="100"/>
        </w:rPr>
        <w:t>业</w:t>
      </w:r>
      <w:r>
        <w:rPr>
          <w:spacing w:val="-3"/>
          <w:w w:val="100"/>
        </w:rPr>
        <w:t>投资</w:t>
      </w:r>
      <w:r>
        <w:rPr>
          <w:w w:val="100"/>
        </w:rPr>
        <w:t>。</w:t>
      </w:r>
    </w:p>
    <w:p>
      <w:pPr>
        <w:spacing w:line="240" w:lineRule="auto" w:before="13"/>
        <w:rPr>
          <w:rFonts w:ascii="宋体" w:hAnsi="宋体" w:cs="宋体" w:eastAsia="宋体" w:hint="default"/>
          <w:sz w:val="14"/>
          <w:szCs w:val="14"/>
        </w:rPr>
      </w:pPr>
    </w:p>
    <w:p>
      <w:pPr>
        <w:pStyle w:val="Heading4"/>
        <w:spacing w:line="240" w:lineRule="auto"/>
        <w:ind w:left="675" w:right="1205"/>
        <w:jc w:val="left"/>
        <w:rPr>
          <w:b w:val="0"/>
          <w:bCs w:val="0"/>
        </w:rPr>
      </w:pPr>
      <w:r>
        <w:rPr>
          <w:rFonts w:ascii="Arial" w:hAnsi="Arial" w:cs="Arial" w:eastAsia="Arial" w:hint="default"/>
        </w:rPr>
        <w:t>4</w:t>
      </w:r>
      <w:r>
        <w:rPr/>
        <w:t>．</w:t>
      </w:r>
      <w:r>
        <w:rPr>
          <w:spacing w:val="-75"/>
        </w:rPr>
        <w:t> </w:t>
      </w:r>
      <w:r>
        <w:rPr/>
        <w:t>本公司的其他关联方情况</w:t>
      </w:r>
      <w:r>
        <w:rPr>
          <w:b w:val="0"/>
          <w:bCs w:val="0"/>
        </w:rPr>
      </w:r>
    </w:p>
    <w:p>
      <w:pPr>
        <w:spacing w:line="240" w:lineRule="auto" w:before="3"/>
        <w:rPr>
          <w:rFonts w:ascii="宋体" w:hAnsi="宋体" w:cs="宋体" w:eastAsia="宋体" w:hint="default"/>
          <w:b/>
          <w:bCs/>
          <w:sz w:val="16"/>
          <w:szCs w:val="16"/>
        </w:rPr>
      </w:pPr>
    </w:p>
    <w:tbl>
      <w:tblPr>
        <w:tblW w:w="0" w:type="auto"/>
        <w:jc w:val="left"/>
        <w:tblInd w:w="202" w:type="dxa"/>
        <w:tblLayout w:type="fixed"/>
        <w:tblCellMar>
          <w:top w:w="0" w:type="dxa"/>
          <w:left w:w="0" w:type="dxa"/>
          <w:bottom w:w="0" w:type="dxa"/>
          <w:right w:w="0" w:type="dxa"/>
        </w:tblCellMar>
        <w:tblLook w:val="01E0"/>
      </w:tblPr>
      <w:tblGrid>
        <w:gridCol w:w="3615"/>
        <w:gridCol w:w="3600"/>
        <w:gridCol w:w="1644"/>
      </w:tblGrid>
      <w:tr>
        <w:trPr>
          <w:trHeight w:val="362" w:hRule="exact"/>
        </w:trPr>
        <w:tc>
          <w:tcPr>
            <w:tcW w:w="361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24"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6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06"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14291820-4</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67722908-5</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21656228-0</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浙江华立通信集团有限公司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76799998-0</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79558094-1</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70420257-5</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77925500-6</w:t>
            </w:r>
          </w:p>
        </w:tc>
      </w:tr>
      <w:tr>
        <w:trPr>
          <w:trHeight w:val="356"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334" w:right="0"/>
              <w:jc w:val="left"/>
              <w:rPr>
                <w:rFonts w:ascii="Arial" w:hAnsi="Arial" w:cs="Arial" w:eastAsia="Arial" w:hint="default"/>
                <w:sz w:val="18"/>
                <w:szCs w:val="18"/>
              </w:rPr>
            </w:pPr>
            <w:r>
              <w:rPr>
                <w:rFonts w:ascii="Arial"/>
                <w:sz w:val="18"/>
              </w:rPr>
              <w:t>71253357-7</w:t>
            </w:r>
          </w:p>
        </w:tc>
      </w:tr>
      <w:tr>
        <w:trPr>
          <w:trHeight w:val="353"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70938223-7</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74" w:right="0"/>
              <w:jc w:val="left"/>
              <w:rPr>
                <w:rFonts w:ascii="Arial" w:hAnsi="Arial" w:cs="Arial" w:eastAsia="Arial" w:hint="default"/>
                <w:sz w:val="18"/>
                <w:szCs w:val="18"/>
              </w:rPr>
            </w:pPr>
            <w:r>
              <w:rPr>
                <w:rFonts w:ascii="Arial"/>
                <w:sz w:val="18"/>
              </w:rPr>
              <w:t>732967725-X</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24" w:right="0"/>
              <w:jc w:val="left"/>
              <w:rPr>
                <w:rFonts w:ascii="Arial" w:hAnsi="Arial" w:cs="Arial" w:eastAsia="Arial" w:hint="default"/>
                <w:sz w:val="18"/>
                <w:szCs w:val="18"/>
              </w:rPr>
            </w:pPr>
            <w:r>
              <w:rPr>
                <w:rFonts w:ascii="Arial"/>
                <w:sz w:val="18"/>
              </w:rPr>
              <w:t>55200064-X</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4" w:right="0"/>
              <w:jc w:val="left"/>
              <w:rPr>
                <w:rFonts w:ascii="Arial" w:hAnsi="Arial" w:cs="Arial" w:eastAsia="Arial" w:hint="default"/>
                <w:sz w:val="18"/>
                <w:szCs w:val="18"/>
              </w:rPr>
            </w:pPr>
            <w:r>
              <w:rPr>
                <w:rFonts w:ascii="Arial"/>
                <w:sz w:val="18"/>
              </w:rPr>
              <w:t>14646029-6</w:t>
            </w:r>
          </w:p>
        </w:tc>
      </w:tr>
      <w:tr>
        <w:trPr>
          <w:trHeight w:val="355" w:hRule="exact"/>
        </w:trPr>
        <w:tc>
          <w:tcPr>
            <w:tcW w:w="36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24" w:right="0"/>
              <w:jc w:val="left"/>
              <w:rPr>
                <w:rFonts w:ascii="Arial" w:hAnsi="Arial" w:cs="Arial" w:eastAsia="Arial" w:hint="default"/>
                <w:sz w:val="18"/>
                <w:szCs w:val="18"/>
              </w:rPr>
            </w:pPr>
            <w:r>
              <w:rPr>
                <w:rFonts w:ascii="Arial"/>
                <w:sz w:val="18"/>
              </w:rPr>
              <w:t>77314003-X</w:t>
            </w:r>
          </w:p>
        </w:tc>
      </w:tr>
      <w:tr>
        <w:trPr>
          <w:trHeight w:val="365" w:hRule="exact"/>
        </w:trPr>
        <w:tc>
          <w:tcPr>
            <w:tcW w:w="361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360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502" w:right="120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2"/>
          <w:sz w:val="21"/>
          <w:szCs w:val="21"/>
        </w:rPr>
        <w:t>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60" w:right="1205"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1"/>
          <w:sz w:val="21"/>
          <w:szCs w:val="21"/>
        </w:rPr>
        <w:t> </w:t>
      </w:r>
      <w:r>
        <w:rPr>
          <w:rFonts w:ascii="宋体" w:hAnsi="宋体" w:cs="宋体" w:eastAsia="宋体" w:hint="default"/>
          <w:b/>
          <w:bCs/>
          <w:sz w:val="21"/>
          <w:szCs w:val="21"/>
        </w:rPr>
        <w:t>销售商品</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tbl>
      <w:tblPr>
        <w:tblW w:w="0" w:type="auto"/>
        <w:jc w:val="left"/>
        <w:tblInd w:w="207" w:type="dxa"/>
        <w:tblLayout w:type="fixed"/>
        <w:tblCellMar>
          <w:top w:w="0" w:type="dxa"/>
          <w:left w:w="0" w:type="dxa"/>
          <w:bottom w:w="0" w:type="dxa"/>
          <w:right w:w="0" w:type="dxa"/>
        </w:tblCellMar>
        <w:tblLook w:val="01E0"/>
      </w:tblPr>
      <w:tblGrid>
        <w:gridCol w:w="1630"/>
        <w:gridCol w:w="1131"/>
        <w:gridCol w:w="1478"/>
        <w:gridCol w:w="958"/>
        <w:gridCol w:w="1490"/>
        <w:gridCol w:w="1071"/>
        <w:gridCol w:w="1092"/>
      </w:tblGrid>
      <w:tr>
        <w:trPr>
          <w:trHeight w:val="362" w:hRule="exact"/>
        </w:trPr>
        <w:tc>
          <w:tcPr>
            <w:tcW w:w="163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13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pacing w:val="-25"/>
                <w:sz w:val="18"/>
                <w:szCs w:val="18"/>
              </w:rPr>
              <w:t>交易内容</w:t>
            </w:r>
          </w:p>
        </w:tc>
        <w:tc>
          <w:tcPr>
            <w:tcW w:w="24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28"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56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28" w:right="0"/>
              <w:jc w:val="center"/>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1092" w:type="dxa"/>
            <w:vMerge w:val="restart"/>
            <w:tcBorders>
              <w:top w:val="single" w:sz="12"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4" w:lineRule="auto"/>
              <w:ind w:left="242" w:right="144" w:hanging="75"/>
              <w:jc w:val="left"/>
              <w:rPr>
                <w:rFonts w:ascii="宋体" w:hAnsi="宋体" w:cs="宋体" w:eastAsia="宋体" w:hint="default"/>
                <w:sz w:val="18"/>
                <w:szCs w:val="18"/>
              </w:rPr>
            </w:pPr>
            <w:r>
              <w:rPr>
                <w:rFonts w:ascii="宋体" w:hAnsi="宋体" w:cs="宋体" w:eastAsia="宋体" w:hint="default"/>
                <w:spacing w:val="-27"/>
                <w:sz w:val="18"/>
                <w:szCs w:val="18"/>
              </w:rPr>
              <w:t>定价方式及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决策程序</w:t>
            </w:r>
          </w:p>
        </w:tc>
      </w:tr>
      <w:tr>
        <w:trPr>
          <w:trHeight w:val="734" w:hRule="exact"/>
        </w:trPr>
        <w:tc>
          <w:tcPr>
            <w:tcW w:w="1630" w:type="dxa"/>
            <w:vMerge/>
            <w:tcBorders>
              <w:left w:val="nil" w:sz="6" w:space="0" w:color="auto"/>
              <w:bottom w:val="single" w:sz="6" w:space="0" w:color="000000"/>
              <w:right w:val="single" w:sz="6" w:space="0" w:color="000000"/>
            </w:tcBorders>
          </w:tcPr>
          <w:p>
            <w:pPr/>
          </w:p>
        </w:tc>
        <w:tc>
          <w:tcPr>
            <w:tcW w:w="1131" w:type="dxa"/>
            <w:vMerge/>
            <w:tcBorders>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 w:firstLine="12"/>
              <w:jc w:val="both"/>
              <w:rPr>
                <w:rFonts w:ascii="宋体" w:hAnsi="宋体" w:cs="宋体" w:eastAsia="宋体"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Arial" w:hAnsi="Arial" w:cs="Arial" w:eastAsia="Arial" w:hint="default"/>
                <w:spacing w:val="-10"/>
                <w:sz w:val="18"/>
                <w:szCs w:val="18"/>
              </w:rPr>
              <w:t>%</w:t>
            </w:r>
            <w:r>
              <w:rPr>
                <w:rFonts w:ascii="宋体" w:hAnsi="宋体" w:cs="宋体" w:eastAsia="宋体" w:hint="default"/>
                <w:spacing w:val="-10"/>
                <w:sz w:val="18"/>
                <w:szCs w:val="18"/>
              </w:rPr>
              <w:t>）</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2" w:firstLine="67"/>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Arial" w:hAnsi="Arial" w:cs="Arial" w:eastAsia="Arial" w:hint="default"/>
                <w:sz w:val="18"/>
                <w:szCs w:val="18"/>
              </w:rPr>
              <w:t>%</w:t>
            </w:r>
            <w:r>
              <w:rPr>
                <w:rFonts w:ascii="宋体" w:hAnsi="宋体" w:cs="宋体" w:eastAsia="宋体" w:hint="default"/>
                <w:sz w:val="18"/>
                <w:szCs w:val="18"/>
              </w:rPr>
              <w:t>）</w:t>
            </w:r>
          </w:p>
        </w:tc>
        <w:tc>
          <w:tcPr>
            <w:tcW w:w="1092" w:type="dxa"/>
            <w:vMerge/>
            <w:tcBorders>
              <w:left w:val="single" w:sz="6" w:space="0" w:color="000000"/>
              <w:bottom w:val="single" w:sz="6" w:space="0" w:color="000000"/>
              <w:right w:val="nil" w:sz="6" w:space="0" w:color="auto"/>
            </w:tcBorders>
          </w:tcPr>
          <w:p>
            <w:pPr/>
          </w:p>
        </w:tc>
      </w:tr>
      <w:tr>
        <w:trPr>
          <w:trHeight w:val="494"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立电</w:t>
            </w:r>
            <w:r>
              <w:rPr>
                <w:rFonts w:ascii="宋体" w:hAnsi="宋体" w:cs="宋体" w:eastAsia="宋体" w:hint="default"/>
                <w:spacing w:val="-67"/>
                <w:sz w:val="18"/>
                <w:szCs w:val="18"/>
              </w:rPr>
              <w:t> </w:t>
            </w:r>
            <w:r>
              <w:rPr>
                <w:rFonts w:ascii="宋体" w:hAnsi="宋体" w:cs="宋体" w:eastAsia="宋体" w:hint="default"/>
                <w:sz w:val="18"/>
                <w:szCs w:val="18"/>
              </w:rPr>
              <w:t>力</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2,700,636.77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w w:val="95"/>
                <w:sz w:val="18"/>
              </w:rPr>
              <w:t>0.29</w:t>
            </w:r>
            <w:r>
              <w:rPr>
                <w:rFonts w:ascii="Arial"/>
                <w:sz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4,398,639.96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0.22</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7"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7"/>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展有限公司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Arial" w:hAnsi="Arial" w:cs="Arial" w:eastAsia="Arial" w:hint="default"/>
                <w:sz w:val="18"/>
                <w:szCs w:val="18"/>
              </w:rPr>
            </w:pPr>
            <w:r>
              <w:rPr>
                <w:rFonts w:ascii="Arial"/>
                <w:spacing w:val="-1"/>
                <w:sz w:val="18"/>
              </w:rPr>
              <w:t>36,792,265.15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Arial" w:hAnsi="Arial" w:cs="Arial" w:eastAsia="Arial" w:hint="default"/>
                <w:sz w:val="18"/>
                <w:szCs w:val="18"/>
              </w:rPr>
            </w:pPr>
            <w:r>
              <w:rPr>
                <w:rFonts w:ascii="Arial"/>
                <w:w w:val="95"/>
                <w:sz w:val="18"/>
              </w:rPr>
              <w:t>3.91</w:t>
            </w:r>
            <w:r>
              <w:rPr>
                <w:rFonts w:ascii="Arial"/>
                <w:sz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Arial" w:hAnsi="Arial" w:cs="Arial" w:eastAsia="Arial" w:hint="default"/>
                <w:sz w:val="18"/>
                <w:szCs w:val="18"/>
              </w:rPr>
            </w:pPr>
            <w:r>
              <w:rPr>
                <w:rFonts w:ascii="Arial"/>
                <w:spacing w:val="-1"/>
                <w:sz w:val="18"/>
              </w:rPr>
              <w:t>6,001,576.65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w w:val="95"/>
                <w:sz w:val="18"/>
              </w:rPr>
              <w:t>0.31</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left="177" w:right="0"/>
              <w:jc w:val="lef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57"/>
              <w:jc w:val="left"/>
              <w:rPr>
                <w:rFonts w:ascii="宋体" w:hAnsi="宋体" w:cs="宋体" w:eastAsia="宋体" w:hint="default"/>
                <w:sz w:val="18"/>
                <w:szCs w:val="18"/>
              </w:rPr>
            </w:pPr>
            <w:r>
              <w:rPr>
                <w:rFonts w:ascii="宋体" w:hAnsi="宋体" w:cs="宋体" w:eastAsia="宋体" w:hint="default"/>
                <w:sz w:val="18"/>
                <w:szCs w:val="18"/>
              </w:rPr>
              <w:t>华立集团（泰国） 电气有限公司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35,399,687.81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w w:val="95"/>
                <w:sz w:val="18"/>
              </w:rPr>
              <w:t>3.76</w:t>
            </w:r>
            <w:r>
              <w:rPr>
                <w:rFonts w:ascii="Arial"/>
                <w:sz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38,099,930.22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1.95</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立电</w:t>
            </w:r>
            <w:r>
              <w:rPr>
                <w:rFonts w:ascii="宋体" w:hAnsi="宋体" w:cs="宋体" w:eastAsia="宋体" w:hint="default"/>
                <w:spacing w:val="-67"/>
                <w:sz w:val="18"/>
                <w:szCs w:val="18"/>
              </w:rPr>
              <w:t> </w:t>
            </w:r>
            <w:r>
              <w:rPr>
                <w:rFonts w:ascii="宋体" w:hAnsi="宋体" w:cs="宋体" w:eastAsia="宋体" w:hint="default"/>
                <w:sz w:val="18"/>
                <w:szCs w:val="18"/>
              </w:rPr>
              <w:t>力</w:t>
            </w:r>
            <w:r>
              <w:rPr>
                <w:rFonts w:ascii="宋体" w:hAnsi="宋体" w:cs="宋体" w:eastAsia="宋体" w:hint="default"/>
                <w:spacing w:val="-67"/>
                <w:sz w:val="18"/>
                <w:szCs w:val="18"/>
              </w:rPr>
              <w:t> </w:t>
            </w:r>
            <w:r>
              <w:rPr>
                <w:rFonts w:ascii="宋体" w:hAnsi="宋体" w:cs="宋体" w:eastAsia="宋体" w:hint="default"/>
                <w:sz w:val="18"/>
                <w:szCs w:val="18"/>
              </w:rPr>
              <w:t>系</w:t>
            </w:r>
            <w:r>
              <w:rPr>
                <w:rFonts w:ascii="宋体" w:hAnsi="宋体" w:cs="宋体" w:eastAsia="宋体" w:hint="default"/>
                <w:sz w:val="18"/>
                <w:szCs w:val="18"/>
              </w:rPr>
              <w:t> 统工程有限公司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2"/>
                <w:sz w:val="18"/>
              </w:rPr>
              <w:t>555,811.97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w w:val="95"/>
                <w:sz w:val="18"/>
              </w:rPr>
              <w:t>0.06</w:t>
            </w:r>
            <w:r>
              <w:rPr>
                <w:rFonts w:ascii="Arial"/>
                <w:sz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1,606,081.03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0.08</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市场价格</w:t>
            </w:r>
          </w:p>
        </w:tc>
      </w:tr>
      <w:tr>
        <w:trPr>
          <w:trHeight w:val="505" w:hRule="exact"/>
        </w:trPr>
        <w:tc>
          <w:tcPr>
            <w:tcW w:w="1630"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立南</w:t>
            </w:r>
            <w:r>
              <w:rPr>
                <w:rFonts w:ascii="宋体" w:hAnsi="宋体" w:cs="宋体" w:eastAsia="宋体" w:hint="default"/>
                <w:spacing w:val="-67"/>
                <w:sz w:val="18"/>
                <w:szCs w:val="18"/>
              </w:rPr>
              <w:t> </w:t>
            </w:r>
            <w:r>
              <w:rPr>
                <w:rFonts w:ascii="宋体" w:hAnsi="宋体" w:cs="宋体" w:eastAsia="宋体" w:hint="default"/>
                <w:sz w:val="18"/>
                <w:szCs w:val="18"/>
              </w:rPr>
              <w:t>方</w:t>
            </w:r>
            <w:r>
              <w:rPr>
                <w:rFonts w:ascii="宋体" w:hAnsi="宋体" w:cs="宋体" w:eastAsia="宋体" w:hint="default"/>
                <w:spacing w:val="-67"/>
                <w:sz w:val="18"/>
                <w:szCs w:val="18"/>
              </w:rPr>
              <w:t> </w:t>
            </w:r>
            <w:r>
              <w:rPr>
                <w:rFonts w:ascii="宋体" w:hAnsi="宋体" w:cs="宋体" w:eastAsia="宋体" w:hint="default"/>
                <w:sz w:val="18"/>
                <w:szCs w:val="18"/>
              </w:rPr>
              <w:t>电</w:t>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子技术有限公司</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5,096,666.67</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w w:val="95"/>
                <w:sz w:val="18"/>
              </w:rPr>
              <w:t>0.54</w:t>
            </w:r>
            <w:r>
              <w:rPr>
                <w:rFonts w:ascii="Arial"/>
                <w:sz w:val="18"/>
              </w:rPr>
            </w:r>
          </w:p>
        </w:tc>
        <w:tc>
          <w:tcPr>
            <w:tcW w:w="1490" w:type="dxa"/>
            <w:tcBorders>
              <w:top w:val="single" w:sz="6" w:space="0" w:color="000000"/>
              <w:left w:val="single" w:sz="6" w:space="0" w:color="000000"/>
              <w:bottom w:val="single" w:sz="12" w:space="0" w:color="000000"/>
              <w:right w:val="single" w:sz="6" w:space="0" w:color="000000"/>
            </w:tcBorders>
          </w:tcPr>
          <w:p>
            <w:pPr/>
          </w:p>
        </w:tc>
        <w:tc>
          <w:tcPr>
            <w:tcW w:w="1071" w:type="dxa"/>
            <w:tcBorders>
              <w:top w:val="single" w:sz="6" w:space="0" w:color="000000"/>
              <w:left w:val="single" w:sz="6" w:space="0" w:color="000000"/>
              <w:bottom w:val="single" w:sz="12" w:space="0" w:color="000000"/>
              <w:right w:val="single" w:sz="6" w:space="0" w:color="000000"/>
            </w:tcBorders>
          </w:tcPr>
          <w:p>
            <w:pPr/>
          </w:p>
        </w:tc>
        <w:tc>
          <w:tcPr>
            <w:tcW w:w="10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市场价格</w:t>
            </w:r>
          </w:p>
        </w:tc>
      </w:tr>
    </w:tbl>
    <w:p>
      <w:pPr>
        <w:spacing w:before="86"/>
        <w:ind w:left="560" w:right="1205"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41"/>
          <w:sz w:val="21"/>
          <w:szCs w:val="21"/>
        </w:rPr>
        <w:t> </w:t>
      </w:r>
      <w:r>
        <w:rPr>
          <w:rFonts w:ascii="宋体" w:hAnsi="宋体" w:cs="宋体" w:eastAsia="宋体" w:hint="default"/>
          <w:b/>
          <w:bCs/>
          <w:sz w:val="21"/>
          <w:szCs w:val="21"/>
        </w:rPr>
        <w:t>购买商品</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tbl>
      <w:tblPr>
        <w:tblW w:w="0" w:type="auto"/>
        <w:jc w:val="left"/>
        <w:tblInd w:w="219" w:type="dxa"/>
        <w:tblLayout w:type="fixed"/>
        <w:tblCellMar>
          <w:top w:w="0" w:type="dxa"/>
          <w:left w:w="0" w:type="dxa"/>
          <w:bottom w:w="0" w:type="dxa"/>
          <w:right w:w="0" w:type="dxa"/>
        </w:tblCellMar>
        <w:tblLook w:val="01E0"/>
      </w:tblPr>
      <w:tblGrid>
        <w:gridCol w:w="2014"/>
        <w:gridCol w:w="1054"/>
        <w:gridCol w:w="1368"/>
        <w:gridCol w:w="1090"/>
        <w:gridCol w:w="1368"/>
        <w:gridCol w:w="982"/>
        <w:gridCol w:w="948"/>
      </w:tblGrid>
      <w:tr>
        <w:trPr>
          <w:trHeight w:val="362" w:hRule="exact"/>
        </w:trPr>
        <w:tc>
          <w:tcPr>
            <w:tcW w:w="20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5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4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30"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35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796" w:right="0"/>
              <w:jc w:val="left"/>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948" w:type="dxa"/>
            <w:vMerge w:val="restart"/>
            <w:tcBorders>
              <w:top w:val="single" w:sz="12" w:space="0" w:color="000000"/>
              <w:left w:val="single" w:sz="6" w:space="0" w:color="000000"/>
              <w:right w:val="nil" w:sz="6" w:space="0" w:color="auto"/>
            </w:tcBorders>
          </w:tcPr>
          <w:p>
            <w:pPr>
              <w:pStyle w:val="TableParagraph"/>
              <w:spacing w:line="244" w:lineRule="auto" w:before="159"/>
              <w:ind w:left="170" w:right="144"/>
              <w:jc w:val="center"/>
              <w:rPr>
                <w:rFonts w:ascii="宋体" w:hAnsi="宋体" w:cs="宋体" w:eastAsia="宋体" w:hint="default"/>
                <w:sz w:val="18"/>
                <w:szCs w:val="18"/>
              </w:rPr>
            </w:pPr>
            <w:r>
              <w:rPr>
                <w:rFonts w:ascii="宋体" w:hAnsi="宋体" w:cs="宋体" w:eastAsia="宋体" w:hint="default"/>
                <w:spacing w:val="-25"/>
                <w:sz w:val="18"/>
                <w:szCs w:val="18"/>
              </w:rPr>
              <w:t>定价方式</w:t>
            </w:r>
            <w:r>
              <w:rPr>
                <w:rFonts w:ascii="宋体" w:hAnsi="宋体" w:cs="宋体" w:eastAsia="宋体" w:hint="default"/>
                <w:sz w:val="18"/>
                <w:szCs w:val="18"/>
              </w:rPr>
              <w:t> </w:t>
            </w:r>
            <w:r>
              <w:rPr>
                <w:rFonts w:ascii="宋体" w:hAnsi="宋体" w:cs="宋体" w:eastAsia="宋体" w:hint="default"/>
                <w:spacing w:val="-25"/>
                <w:sz w:val="18"/>
                <w:szCs w:val="18"/>
              </w:rPr>
              <w:t>及决策程</w:t>
            </w:r>
            <w:r>
              <w:rPr>
                <w:rFonts w:ascii="宋体" w:hAnsi="宋体" w:cs="宋体" w:eastAsia="宋体" w:hint="default"/>
                <w:sz w:val="18"/>
                <w:szCs w:val="18"/>
              </w:rPr>
              <w:t> 序</w:t>
            </w:r>
          </w:p>
        </w:tc>
      </w:tr>
      <w:tr>
        <w:trPr>
          <w:trHeight w:val="734" w:hRule="exact"/>
        </w:trPr>
        <w:tc>
          <w:tcPr>
            <w:tcW w:w="2014" w:type="dxa"/>
            <w:vMerge/>
            <w:tcBorders>
              <w:left w:val="nil" w:sz="6" w:space="0" w:color="auto"/>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1" w:firstLine="76"/>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 w:firstLine="21"/>
              <w:jc w:val="both"/>
              <w:rPr>
                <w:rFonts w:ascii="宋体" w:hAnsi="宋体" w:cs="宋体" w:eastAsia="宋体"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5"/>
                <w:sz w:val="18"/>
                <w:szCs w:val="18"/>
              </w:rPr>
              <w:t>比例（</w:t>
            </w:r>
            <w:r>
              <w:rPr>
                <w:rFonts w:ascii="Arial" w:hAnsi="Arial" w:cs="Arial" w:eastAsia="Arial" w:hint="default"/>
                <w:spacing w:val="-5"/>
                <w:sz w:val="18"/>
                <w:szCs w:val="18"/>
              </w:rPr>
              <w:t>%</w:t>
            </w:r>
            <w:r>
              <w:rPr>
                <w:rFonts w:ascii="宋体" w:hAnsi="宋体" w:cs="宋体" w:eastAsia="宋体" w:hint="default"/>
                <w:spacing w:val="-5"/>
                <w:sz w:val="18"/>
                <w:szCs w:val="18"/>
              </w:rPr>
              <w:t>）</w:t>
            </w:r>
          </w:p>
        </w:tc>
        <w:tc>
          <w:tcPr>
            <w:tcW w:w="948" w:type="dxa"/>
            <w:vMerge/>
            <w:tcBorders>
              <w:left w:val="single" w:sz="6" w:space="0" w:color="000000"/>
              <w:bottom w:val="single" w:sz="6" w:space="0" w:color="000000"/>
              <w:right w:val="nil" w:sz="6" w:space="0" w:color="auto"/>
            </w:tcBorders>
          </w:tcPr>
          <w:p>
            <w:pPr/>
          </w:p>
        </w:tc>
      </w:tr>
      <w:tr>
        <w:trPr>
          <w:trHeight w:val="49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17"/>
                <w:sz w:val="18"/>
                <w:szCs w:val="18"/>
              </w:rPr>
              <w:t>浙江华立电力科技有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采购仪表</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20,794.88</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0.002</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8,964,063.27</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0.61</w:t>
            </w:r>
            <w:r>
              <w:rPr>
                <w:rFonts w:ascii="Arial"/>
                <w:sz w:val="18"/>
              </w:rPr>
            </w:r>
          </w:p>
        </w:tc>
        <w:tc>
          <w:tcPr>
            <w:tcW w:w="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504" w:hRule="exact"/>
        </w:trPr>
        <w:tc>
          <w:tcPr>
            <w:tcW w:w="2014" w:type="dxa"/>
            <w:tcBorders>
              <w:top w:val="single" w:sz="6" w:space="0" w:color="000000"/>
              <w:left w:val="nil" w:sz="6" w:space="0" w:color="auto"/>
              <w:bottom w:val="single" w:sz="12" w:space="0" w:color="000000"/>
              <w:right w:val="single" w:sz="6" w:space="0" w:color="000000"/>
            </w:tcBorders>
          </w:tcPr>
          <w:p>
            <w:pPr>
              <w:pStyle w:val="TableParagraph"/>
              <w:spacing w:line="240" w:lineRule="exact" w:before="2"/>
              <w:ind w:left="122" w:right="102"/>
              <w:jc w:val="left"/>
              <w:rPr>
                <w:rFonts w:ascii="宋体" w:hAnsi="宋体" w:cs="宋体" w:eastAsia="宋体" w:hint="default"/>
                <w:sz w:val="18"/>
                <w:szCs w:val="18"/>
              </w:rPr>
            </w:pPr>
            <w:r>
              <w:rPr>
                <w:rFonts w:ascii="宋体" w:hAnsi="宋体" w:cs="宋体" w:eastAsia="宋体" w:hint="default"/>
                <w:spacing w:val="17"/>
                <w:sz w:val="18"/>
                <w:szCs w:val="18"/>
              </w:rPr>
              <w:t>深圳华立南方电子技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术有限公司</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left="158" w:right="0"/>
              <w:jc w:val="left"/>
              <w:rPr>
                <w:rFonts w:ascii="宋体" w:hAnsi="宋体" w:cs="宋体" w:eastAsia="宋体" w:hint="default"/>
                <w:sz w:val="18"/>
                <w:szCs w:val="18"/>
              </w:rPr>
            </w:pPr>
            <w:r>
              <w:rPr>
                <w:rFonts w:ascii="宋体" w:hAnsi="宋体" w:cs="宋体" w:eastAsia="宋体" w:hint="default"/>
                <w:sz w:val="18"/>
                <w:szCs w:val="18"/>
              </w:rPr>
              <w:t>采购仪表</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17,669,999.23</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1.32</w:t>
            </w:r>
            <w:r>
              <w:rPr>
                <w:rFonts w:ascii="Arial"/>
                <w:sz w:val="18"/>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30,273,024.37</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w w:val="95"/>
                <w:sz w:val="18"/>
              </w:rPr>
              <w:t>2.05</w:t>
            </w:r>
            <w:r>
              <w:rPr>
                <w:rFonts w:ascii="Arial"/>
                <w:sz w:val="18"/>
              </w:rPr>
            </w:r>
          </w:p>
        </w:tc>
        <w:tc>
          <w:tcPr>
            <w:tcW w:w="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r>
    </w:tbl>
    <w:p>
      <w:pPr>
        <w:spacing w:after="0" w:line="240" w:lineRule="auto"/>
        <w:jc w:val="center"/>
        <w:rPr>
          <w:rFonts w:ascii="宋体" w:hAnsi="宋体" w:cs="宋体" w:eastAsia="宋体" w:hint="default"/>
          <w:sz w:val="18"/>
          <w:szCs w:val="18"/>
        </w:rPr>
        <w:sectPr>
          <w:pgSz w:w="11910" w:h="16840"/>
          <w:pgMar w:header="884" w:footer="1013" w:top="1080" w:bottom="1200" w:left="1300" w:right="0"/>
        </w:sectPr>
      </w:pPr>
    </w:p>
    <w:p>
      <w:pPr>
        <w:spacing w:line="240" w:lineRule="auto" w:before="10"/>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2136"/>
        <w:gridCol w:w="1054"/>
        <w:gridCol w:w="1368"/>
        <w:gridCol w:w="1090"/>
        <w:gridCol w:w="1368"/>
        <w:gridCol w:w="982"/>
        <w:gridCol w:w="948"/>
      </w:tblGrid>
      <w:tr>
        <w:trPr>
          <w:trHeight w:val="518" w:hRule="exact"/>
        </w:trPr>
        <w:tc>
          <w:tcPr>
            <w:tcW w:w="2136" w:type="dxa"/>
            <w:tcBorders>
              <w:top w:val="single" w:sz="17" w:space="0" w:color="000000"/>
              <w:left w:val="nil" w:sz="6" w:space="0" w:color="auto"/>
              <w:bottom w:val="single" w:sz="12" w:space="0" w:color="000000"/>
              <w:right w:val="single" w:sz="6" w:space="0" w:color="000000"/>
            </w:tcBorders>
          </w:tcPr>
          <w:p>
            <w:pPr>
              <w:pStyle w:val="TableParagraph"/>
              <w:spacing w:line="240" w:lineRule="exact"/>
              <w:ind w:left="244" w:right="102"/>
              <w:jc w:val="left"/>
              <w:rPr>
                <w:rFonts w:ascii="宋体" w:hAnsi="宋体" w:cs="宋体" w:eastAsia="宋体" w:hint="default"/>
                <w:sz w:val="18"/>
                <w:szCs w:val="18"/>
              </w:rPr>
            </w:pPr>
            <w:r>
              <w:rPr>
                <w:rFonts w:ascii="宋体" w:hAnsi="宋体" w:cs="宋体" w:eastAsia="宋体" w:hint="default"/>
                <w:spacing w:val="17"/>
                <w:sz w:val="18"/>
                <w:szCs w:val="18"/>
              </w:rPr>
              <w:t>昆明制药集团股份有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54"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采购药品</w:t>
            </w:r>
          </w:p>
        </w:tc>
        <w:tc>
          <w:tcPr>
            <w:tcW w:w="1368"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43"/>
              <w:ind w:left="552" w:right="0"/>
              <w:jc w:val="left"/>
              <w:rPr>
                <w:rFonts w:ascii="Arial" w:hAnsi="Arial" w:cs="Arial" w:eastAsia="Arial" w:hint="default"/>
                <w:sz w:val="18"/>
                <w:szCs w:val="18"/>
              </w:rPr>
            </w:pPr>
            <w:r>
              <w:rPr>
                <w:rFonts w:ascii="Arial"/>
                <w:sz w:val="18"/>
              </w:rPr>
              <w:t>1,251.28</w:t>
            </w:r>
          </w:p>
        </w:tc>
        <w:tc>
          <w:tcPr>
            <w:tcW w:w="1090"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36"/>
              <w:ind w:left="626" w:right="0"/>
              <w:jc w:val="left"/>
              <w:rPr>
                <w:rFonts w:ascii="Arial" w:hAnsi="Arial" w:cs="Arial" w:eastAsia="Arial" w:hint="default"/>
                <w:sz w:val="18"/>
                <w:szCs w:val="18"/>
              </w:rPr>
            </w:pPr>
            <w:r>
              <w:rPr>
                <w:rFonts w:ascii="Arial"/>
                <w:sz w:val="18"/>
              </w:rPr>
              <w:t>0.00</w:t>
            </w:r>
          </w:p>
        </w:tc>
        <w:tc>
          <w:tcPr>
            <w:tcW w:w="1368"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43"/>
              <w:ind w:left="201" w:right="0"/>
              <w:jc w:val="left"/>
              <w:rPr>
                <w:rFonts w:ascii="Arial" w:hAnsi="Arial" w:cs="Arial" w:eastAsia="Arial" w:hint="default"/>
                <w:sz w:val="18"/>
                <w:szCs w:val="18"/>
              </w:rPr>
            </w:pPr>
            <w:r>
              <w:rPr>
                <w:rFonts w:ascii="Arial"/>
                <w:sz w:val="18"/>
              </w:rPr>
              <w:t>4,799,404.45</w:t>
            </w:r>
          </w:p>
        </w:tc>
        <w:tc>
          <w:tcPr>
            <w:tcW w:w="982"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43"/>
              <w:ind w:left="516" w:right="0"/>
              <w:jc w:val="left"/>
              <w:rPr>
                <w:rFonts w:ascii="Arial" w:hAnsi="Arial" w:cs="Arial" w:eastAsia="Arial" w:hint="default"/>
                <w:sz w:val="18"/>
                <w:szCs w:val="18"/>
              </w:rPr>
            </w:pPr>
            <w:r>
              <w:rPr>
                <w:rFonts w:ascii="Arial"/>
                <w:sz w:val="18"/>
              </w:rPr>
              <w:t>0.33</w:t>
            </w:r>
          </w:p>
        </w:tc>
        <w:tc>
          <w:tcPr>
            <w:tcW w:w="948" w:type="dxa"/>
            <w:tcBorders>
              <w:top w:val="single" w:sz="17" w:space="0" w:color="000000"/>
              <w:left w:val="single" w:sz="6" w:space="0" w:color="000000"/>
              <w:bottom w:val="single" w:sz="12" w:space="0" w:color="000000"/>
              <w:right w:val="nil" w:sz="6" w:space="0" w:color="auto"/>
            </w:tcBorders>
          </w:tcPr>
          <w:p>
            <w:pPr>
              <w:pStyle w:val="TableParagraph"/>
              <w:spacing w:line="240" w:lineRule="auto" w:before="101"/>
              <w:ind w:left="107" w:right="0"/>
              <w:jc w:val="left"/>
              <w:rPr>
                <w:rFonts w:ascii="宋体" w:hAnsi="宋体" w:cs="宋体" w:eastAsia="宋体" w:hint="default"/>
                <w:sz w:val="18"/>
                <w:szCs w:val="18"/>
              </w:rPr>
            </w:pPr>
            <w:r>
              <w:rPr>
                <w:rFonts w:ascii="宋体" w:hAnsi="宋体" w:cs="宋体" w:eastAsia="宋体" w:hint="default"/>
                <w:sz w:val="18"/>
                <w:szCs w:val="18"/>
              </w:rPr>
              <w:t>市场价格</w:t>
            </w:r>
          </w:p>
        </w:tc>
      </w:tr>
    </w:tbl>
    <w:p>
      <w:pPr>
        <w:spacing w:before="86"/>
        <w:ind w:left="580" w:right="1326"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42"/>
          <w:sz w:val="21"/>
          <w:szCs w:val="21"/>
        </w:rPr>
        <w:t> </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38" w:lineRule="auto"/>
        <w:ind w:left="160" w:right="1430" w:firstLine="420"/>
        <w:jc w:val="left"/>
      </w:pPr>
      <w:r>
        <w:rPr>
          <w:spacing w:val="-1"/>
          <w:w w:val="100"/>
        </w:rPr>
        <w:t>（</w:t>
      </w:r>
      <w:r>
        <w:rPr>
          <w:rFonts w:ascii="Arial" w:hAnsi="Arial" w:cs="Arial" w:eastAsia="Arial" w:hint="default"/>
          <w:w w:val="100"/>
        </w:rPr>
        <w:t>1</w:t>
      </w:r>
      <w:r>
        <w:rPr>
          <w:spacing w:val="-20"/>
          <w:w w:val="100"/>
        </w:rPr>
        <w:t>）</w:t>
      </w:r>
      <w:r>
        <w:rPr>
          <w:w w:val="100"/>
        </w:rPr>
        <w:t>子</w:t>
      </w:r>
      <w:r>
        <w:rPr>
          <w:spacing w:val="-3"/>
          <w:w w:val="100"/>
        </w:rPr>
        <w:t>公</w:t>
      </w:r>
      <w:r>
        <w:rPr>
          <w:spacing w:val="-1"/>
          <w:w w:val="100"/>
        </w:rPr>
        <w:t>司</w:t>
      </w:r>
      <w:r>
        <w:rPr>
          <w:spacing w:val="-3"/>
          <w:w w:val="100"/>
        </w:rPr>
        <w:t>华</w:t>
      </w:r>
      <w:r>
        <w:rPr>
          <w:w w:val="100"/>
        </w:rPr>
        <w:t>立</w:t>
      </w:r>
      <w:r>
        <w:rPr>
          <w:spacing w:val="-3"/>
          <w:w w:val="100"/>
        </w:rPr>
        <w:t>仪</w:t>
      </w:r>
      <w:r>
        <w:rPr>
          <w:w w:val="100"/>
        </w:rPr>
        <w:t>表</w:t>
      </w:r>
      <w:r>
        <w:rPr>
          <w:spacing w:val="-3"/>
          <w:w w:val="100"/>
        </w:rPr>
        <w:t>集团</w:t>
      </w:r>
      <w:r>
        <w:rPr>
          <w:w w:val="100"/>
        </w:rPr>
        <w:t>股份</w:t>
      </w:r>
      <w:r>
        <w:rPr>
          <w:spacing w:val="-3"/>
          <w:w w:val="100"/>
        </w:rPr>
        <w:t>有</w:t>
      </w:r>
      <w:r>
        <w:rPr>
          <w:w w:val="100"/>
        </w:rPr>
        <w:t>限</w:t>
      </w:r>
      <w:r>
        <w:rPr>
          <w:spacing w:val="-3"/>
          <w:w w:val="100"/>
        </w:rPr>
        <w:t>公</w:t>
      </w:r>
      <w:r>
        <w:rPr>
          <w:spacing w:val="-17"/>
          <w:w w:val="100"/>
        </w:rPr>
        <w:t>司</w:t>
      </w:r>
      <w:r>
        <w:rPr>
          <w:spacing w:val="-3"/>
          <w:w w:val="100"/>
        </w:rPr>
        <w:t>（</w:t>
      </w:r>
      <w:r>
        <w:rPr>
          <w:w w:val="100"/>
        </w:rPr>
        <w:t>以</w:t>
      </w:r>
      <w:r>
        <w:rPr>
          <w:spacing w:val="-3"/>
          <w:w w:val="100"/>
        </w:rPr>
        <w:t>下</w:t>
      </w:r>
      <w:r>
        <w:rPr>
          <w:w w:val="100"/>
        </w:rPr>
        <w:t>简称</w:t>
      </w:r>
      <w:r>
        <w:rPr>
          <w:rFonts w:ascii="Arial" w:hAnsi="Arial" w:cs="Arial" w:eastAsia="Arial" w:hint="default"/>
          <w:spacing w:val="-4"/>
          <w:w w:val="33"/>
        </w:rPr>
        <w:t>―</w:t>
      </w:r>
      <w:r>
        <w:rPr>
          <w:w w:val="100"/>
        </w:rPr>
        <w:t>华立</w:t>
      </w:r>
      <w:r>
        <w:rPr>
          <w:spacing w:val="-3"/>
          <w:w w:val="100"/>
        </w:rPr>
        <w:t>仪</w:t>
      </w:r>
      <w:r>
        <w:rPr>
          <w:spacing w:val="-1"/>
          <w:w w:val="100"/>
        </w:rPr>
        <w:t>表</w:t>
      </w:r>
      <w:r>
        <w:rPr>
          <w:rFonts w:ascii="Arial" w:hAnsi="Arial" w:cs="Arial" w:eastAsia="Arial" w:hint="default"/>
          <w:spacing w:val="-1"/>
          <w:w w:val="81"/>
        </w:rPr>
        <w:t>‖</w:t>
      </w:r>
      <w:r>
        <w:rPr>
          <w:spacing w:val="-20"/>
          <w:w w:val="100"/>
        </w:rPr>
        <w:t>）</w:t>
      </w:r>
      <w:r>
        <w:rPr>
          <w:w w:val="100"/>
        </w:rPr>
        <w:t>与</w:t>
      </w:r>
      <w:r>
        <w:rPr>
          <w:spacing w:val="-3"/>
          <w:w w:val="100"/>
        </w:rPr>
        <w:t>浙</w:t>
      </w:r>
      <w:r>
        <w:rPr>
          <w:w w:val="100"/>
        </w:rPr>
        <w:t>江</w:t>
      </w:r>
      <w:r>
        <w:rPr>
          <w:spacing w:val="-3"/>
          <w:w w:val="100"/>
        </w:rPr>
        <w:t>华</w:t>
      </w:r>
      <w:r>
        <w:rPr>
          <w:w w:val="100"/>
        </w:rPr>
        <w:t>立</w:t>
      </w:r>
      <w:r>
        <w:rPr>
          <w:spacing w:val="-3"/>
          <w:w w:val="100"/>
        </w:rPr>
        <w:t>电</w:t>
      </w:r>
      <w:r>
        <w:rPr>
          <w:w w:val="100"/>
        </w:rPr>
        <w:t>力科</w:t>
      </w:r>
      <w:r>
        <w:rPr>
          <w:spacing w:val="-3"/>
          <w:w w:val="100"/>
        </w:rPr>
        <w:t>技</w:t>
      </w:r>
      <w:r>
        <w:rPr>
          <w:w w:val="100"/>
        </w:rPr>
        <w:t>有</w:t>
      </w:r>
      <w:r>
        <w:rPr>
          <w:spacing w:val="-3"/>
          <w:w w:val="100"/>
        </w:rPr>
        <w:t>限</w:t>
      </w:r>
      <w:r>
        <w:rPr>
          <w:w w:val="100"/>
        </w:rPr>
        <w:t>公司</w:t>
      </w:r>
      <w:r>
        <w:rPr>
          <w:w w:val="100"/>
        </w:rPr>
        <w:t> 签订</w:t>
      </w:r>
      <w:r>
        <w:rPr>
          <w:spacing w:val="-3"/>
          <w:w w:val="100"/>
        </w:rPr>
        <w:t>《</w:t>
      </w:r>
      <w:r>
        <w:rPr>
          <w:w w:val="100"/>
        </w:rPr>
        <w:t>房</w:t>
      </w:r>
      <w:r>
        <w:rPr>
          <w:spacing w:val="-3"/>
          <w:w w:val="100"/>
        </w:rPr>
        <w:t>屋</w:t>
      </w:r>
      <w:r>
        <w:rPr>
          <w:w w:val="100"/>
        </w:rPr>
        <w:t>租</w:t>
      </w:r>
      <w:r>
        <w:rPr>
          <w:spacing w:val="-3"/>
          <w:w w:val="100"/>
        </w:rPr>
        <w:t>赁</w:t>
      </w:r>
      <w:r>
        <w:rPr>
          <w:w w:val="100"/>
        </w:rPr>
        <w:t>合</w:t>
      </w:r>
      <w:r>
        <w:rPr>
          <w:spacing w:val="-3"/>
          <w:w w:val="100"/>
        </w:rPr>
        <w:t>同</w:t>
      </w:r>
      <w:r>
        <w:rPr>
          <w:spacing w:val="-106"/>
          <w:w w:val="100"/>
        </w:rPr>
        <w:t>》</w:t>
      </w:r>
      <w:r>
        <w:rPr>
          <w:spacing w:val="-3"/>
          <w:w w:val="100"/>
        </w:rPr>
        <w:t>，将</w:t>
      </w:r>
      <w:r>
        <w:rPr>
          <w:w w:val="100"/>
        </w:rPr>
        <w:t>五常</w:t>
      </w:r>
      <w:r>
        <w:rPr>
          <w:spacing w:val="-3"/>
          <w:w w:val="100"/>
        </w:rPr>
        <w:t>华</w:t>
      </w:r>
      <w:r>
        <w:rPr>
          <w:w w:val="100"/>
        </w:rPr>
        <w:t>立</w:t>
      </w:r>
      <w:r>
        <w:rPr>
          <w:spacing w:val="-3"/>
          <w:w w:val="100"/>
        </w:rPr>
        <w:t>科</w:t>
      </w:r>
      <w:r>
        <w:rPr>
          <w:w w:val="100"/>
        </w:rPr>
        <w:t>技</w:t>
      </w:r>
      <w:r>
        <w:rPr>
          <w:spacing w:val="-3"/>
          <w:w w:val="100"/>
        </w:rPr>
        <w:t>园南</w:t>
      </w:r>
      <w:r>
        <w:rPr>
          <w:w w:val="100"/>
        </w:rPr>
        <w:t>区</w:t>
      </w:r>
      <w:r>
        <w:rPr>
          <w:spacing w:val="-53"/>
        </w:rPr>
        <w:t> </w:t>
      </w:r>
      <w:r>
        <w:rPr>
          <w:rFonts w:ascii="Arial" w:hAnsi="Arial" w:cs="Arial" w:eastAsia="Arial" w:hint="default"/>
          <w:w w:val="100"/>
        </w:rPr>
        <w:t>2</w:t>
      </w:r>
      <w:r>
        <w:rPr>
          <w:rFonts w:ascii="Arial" w:hAnsi="Arial" w:cs="Arial" w:eastAsia="Arial" w:hint="default"/>
          <w:spacing w:val="-3"/>
        </w:rPr>
        <w:t> </w:t>
      </w:r>
      <w:r>
        <w:rPr>
          <w:spacing w:val="-3"/>
          <w:w w:val="100"/>
        </w:rPr>
        <w:t>号</w:t>
      </w:r>
      <w:r>
        <w:rPr>
          <w:w w:val="100"/>
        </w:rPr>
        <w:t>厂房</w:t>
      </w:r>
      <w:r>
        <w:rPr>
          <w:spacing w:val="-3"/>
          <w:w w:val="100"/>
        </w:rPr>
        <w:t>一</w:t>
      </w:r>
      <w:r>
        <w:rPr>
          <w:w w:val="100"/>
        </w:rPr>
        <w:t>层</w:t>
      </w:r>
      <w:r>
        <w:rPr>
          <w:spacing w:val="-3"/>
          <w:w w:val="100"/>
        </w:rPr>
        <w:t>房</w:t>
      </w:r>
      <w:r>
        <w:rPr>
          <w:w w:val="100"/>
        </w:rPr>
        <w:t>屋</w:t>
      </w:r>
      <w:r>
        <w:rPr>
          <w:spacing w:val="-3"/>
          <w:w w:val="100"/>
        </w:rPr>
        <w:t>面积</w:t>
      </w:r>
      <w:r>
        <w:rPr>
          <w:w w:val="100"/>
        </w:rPr>
        <w:t>为</w:t>
      </w:r>
      <w:r>
        <w:rPr>
          <w:spacing w:val="-50"/>
        </w:rPr>
        <w:t> </w:t>
      </w:r>
      <w:r>
        <w:rPr>
          <w:rFonts w:ascii="Arial" w:hAnsi="Arial" w:cs="Arial" w:eastAsia="Arial" w:hint="default"/>
          <w:w w:val="100"/>
        </w:rPr>
        <w:t>1</w:t>
      </w:r>
      <w:r>
        <w:rPr>
          <w:rFonts w:ascii="Arial" w:hAnsi="Arial" w:cs="Arial" w:eastAsia="Arial" w:hint="default"/>
          <w:spacing w:val="-1"/>
          <w:w w:val="100"/>
        </w:rPr>
        <w:t>,</w:t>
      </w:r>
      <w:r>
        <w:rPr>
          <w:rFonts w:ascii="Arial" w:hAnsi="Arial" w:cs="Arial" w:eastAsia="Arial" w:hint="default"/>
          <w:spacing w:val="-3"/>
          <w:w w:val="100"/>
        </w:rPr>
        <w:t>60</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00</w:t>
      </w:r>
      <w:r>
        <w:rPr>
          <w:rFonts w:ascii="Arial" w:hAnsi="Arial" w:cs="Arial" w:eastAsia="Arial" w:hint="default"/>
          <w:spacing w:val="-5"/>
        </w:rPr>
        <w:t> </w:t>
      </w:r>
      <w:r>
        <w:rPr>
          <w:w w:val="100"/>
        </w:rPr>
        <w:t>平</w:t>
      </w:r>
      <w:r>
        <w:rPr>
          <w:spacing w:val="-3"/>
          <w:w w:val="100"/>
        </w:rPr>
        <w:t>方</w:t>
      </w:r>
      <w:r>
        <w:rPr>
          <w:w w:val="100"/>
        </w:rPr>
        <w:t>米</w:t>
      </w:r>
      <w:r>
        <w:rPr>
          <w:spacing w:val="-3"/>
          <w:w w:val="100"/>
        </w:rPr>
        <w:t>（</w:t>
      </w:r>
      <w:r>
        <w:rPr>
          <w:w w:val="100"/>
        </w:rPr>
        <w:t>建</w:t>
      </w:r>
      <w:r>
        <w:rPr>
          <w:spacing w:val="-3"/>
          <w:w w:val="100"/>
        </w:rPr>
        <w:t>筑</w:t>
      </w:r>
      <w:r>
        <w:rPr>
          <w:w w:val="100"/>
        </w:rPr>
        <w:t>面</w:t>
      </w:r>
    </w:p>
    <w:p>
      <w:pPr>
        <w:pStyle w:val="BodyText"/>
        <w:spacing w:line="240" w:lineRule="auto" w:before="24"/>
        <w:ind w:left="160" w:right="1326"/>
        <w:jc w:val="left"/>
        <w:rPr>
          <w:rFonts w:ascii="Arial" w:hAnsi="Arial" w:cs="Arial" w:eastAsia="Arial" w:hint="default"/>
        </w:rPr>
      </w:pPr>
      <w:r>
        <w:rPr>
          <w:spacing w:val="-4"/>
        </w:rPr>
        <w:t>积）的房产租赁给其使用，年租金</w:t>
      </w:r>
      <w:r>
        <w:rPr>
          <w:spacing w:val="-52"/>
        </w:rPr>
        <w:t> </w:t>
      </w:r>
      <w:r>
        <w:rPr>
          <w:rFonts w:ascii="Arial" w:hAnsi="Arial" w:cs="Arial" w:eastAsia="Arial" w:hint="default"/>
        </w:rPr>
        <w:t>675,881.28</w:t>
      </w:r>
      <w:r>
        <w:rPr>
          <w:rFonts w:ascii="Arial" w:hAnsi="Arial" w:cs="Arial" w:eastAsia="Arial" w:hint="default"/>
          <w:spacing w:val="-5"/>
        </w:rPr>
        <w:t> </w:t>
      </w:r>
      <w:r>
        <w:rPr>
          <w:spacing w:val="-5"/>
        </w:rPr>
        <w:t>元，租赁期限为</w:t>
      </w:r>
      <w:r>
        <w:rPr>
          <w:spacing w:val="-49"/>
        </w:rPr>
        <w:t> </w:t>
      </w:r>
      <w:r>
        <w:rPr>
          <w:rFonts w:ascii="Arial" w:hAnsi="Arial" w:cs="Arial" w:eastAsia="Arial" w:hint="default"/>
        </w:rPr>
        <w:t>3</w:t>
      </w:r>
      <w:r>
        <w:rPr>
          <w:rFonts w:ascii="Arial" w:hAnsi="Arial" w:cs="Arial" w:eastAsia="Arial" w:hint="default"/>
          <w:spacing w:val="-5"/>
        </w:rPr>
        <w:t> </w:t>
      </w:r>
      <w:r>
        <w:rPr>
          <w:spacing w:val="-8"/>
        </w:rPr>
        <w:t>年，自</w:t>
      </w:r>
      <w:r>
        <w:rPr>
          <w:spacing w:val="-49"/>
        </w:rPr>
        <w:t> </w:t>
      </w:r>
      <w:r>
        <w:rPr>
          <w:rFonts w:ascii="Arial" w:hAnsi="Arial" w:cs="Arial" w:eastAsia="Arial" w:hint="default"/>
        </w:rPr>
        <w:t>2008</w:t>
      </w:r>
      <w:r>
        <w:rPr>
          <w:rFonts w:ascii="Arial" w:hAnsi="Arial" w:cs="Arial" w:eastAsia="Arial" w:hint="default"/>
          <w:spacing w:val="-5"/>
        </w:rPr>
        <w:t> </w:t>
      </w:r>
      <w:r>
        <w:rPr/>
        <w:t>年</w:t>
      </w:r>
      <w:r>
        <w:rPr>
          <w:spacing w:val="-48"/>
        </w:rPr>
        <w:t> </w:t>
      </w:r>
      <w:r>
        <w:rPr>
          <w:rFonts w:ascii="Arial" w:hAnsi="Arial" w:cs="Arial" w:eastAsia="Arial" w:hint="default"/>
        </w:rPr>
        <w:t>3</w:t>
      </w:r>
      <w:r>
        <w:rPr>
          <w:rFonts w:ascii="Arial" w:hAnsi="Arial" w:cs="Arial" w:eastAsia="Arial" w:hint="default"/>
          <w:spacing w:val="-5"/>
        </w:rPr>
        <w:t> </w:t>
      </w:r>
      <w:r>
        <w:rPr/>
        <w:t>月</w:t>
      </w:r>
      <w:r>
        <w:rPr>
          <w:spacing w:val="-49"/>
        </w:rPr>
        <w:t> </w:t>
      </w:r>
      <w:r>
        <w:rPr>
          <w:rFonts w:ascii="Arial" w:hAnsi="Arial" w:cs="Arial" w:eastAsia="Arial" w:hint="default"/>
        </w:rPr>
        <w:t>20</w:t>
      </w:r>
      <w:r>
        <w:rPr>
          <w:rFonts w:ascii="Arial" w:hAnsi="Arial" w:cs="Arial" w:eastAsia="Arial" w:hint="default"/>
          <w:spacing w:val="-2"/>
        </w:rPr>
        <w:t> </w:t>
      </w:r>
      <w:r>
        <w:rPr/>
        <w:t>日至</w:t>
      </w:r>
      <w:r>
        <w:rPr>
          <w:spacing w:val="-49"/>
        </w:rPr>
        <w:t> </w:t>
      </w:r>
      <w:r>
        <w:rPr>
          <w:rFonts w:ascii="Arial" w:hAnsi="Arial" w:cs="Arial" w:eastAsia="Arial" w:hint="default"/>
          <w:spacing w:val="-5"/>
        </w:rPr>
        <w:t>2011</w:t>
      </w:r>
    </w:p>
    <w:p>
      <w:pPr>
        <w:pStyle w:val="BodyText"/>
        <w:spacing w:line="240" w:lineRule="auto" w:before="118"/>
        <w:ind w:left="160" w:right="1326"/>
        <w:jc w:val="left"/>
      </w:pPr>
      <w:r>
        <w:rPr/>
        <w:t>年</w:t>
      </w:r>
      <w:r>
        <w:rPr>
          <w:spacing w:val="-53"/>
        </w:rPr>
        <w:t> </w:t>
      </w:r>
      <w:r>
        <w:rPr>
          <w:rFonts w:ascii="Arial" w:hAnsi="Arial" w:cs="Arial" w:eastAsia="Arial" w:hint="default"/>
        </w:rPr>
        <w:t>3</w:t>
      </w:r>
      <w:r>
        <w:rPr>
          <w:rFonts w:ascii="Arial" w:hAnsi="Arial" w:cs="Arial" w:eastAsia="Arial" w:hint="default"/>
          <w:spacing w:val="-8"/>
        </w:rPr>
        <w:t> </w:t>
      </w:r>
      <w:r>
        <w:rPr/>
        <w:t>月</w:t>
      </w:r>
      <w:r>
        <w:rPr>
          <w:spacing w:val="-53"/>
        </w:rPr>
        <w:t> </w:t>
      </w:r>
      <w:r>
        <w:rPr>
          <w:rFonts w:ascii="Arial" w:hAnsi="Arial" w:cs="Arial" w:eastAsia="Arial" w:hint="default"/>
        </w:rPr>
        <w:t>19</w:t>
      </w:r>
      <w:r>
        <w:rPr>
          <w:rFonts w:ascii="Arial" w:hAnsi="Arial" w:cs="Arial" w:eastAsia="Arial" w:hint="default"/>
          <w:spacing w:val="-6"/>
        </w:rPr>
        <w:t> </w:t>
      </w:r>
      <w:r>
        <w:rPr/>
        <w:t>日止；公司将五常华立科技园行政办公大楼西区</w:t>
      </w:r>
      <w:r>
        <w:rPr>
          <w:spacing w:val="-53"/>
        </w:rPr>
        <w:t> </w:t>
      </w:r>
      <w:r>
        <w:rPr>
          <w:rFonts w:ascii="Arial" w:hAnsi="Arial" w:cs="Arial" w:eastAsia="Arial" w:hint="default"/>
        </w:rPr>
        <w:t>9</w:t>
      </w:r>
      <w:r>
        <w:rPr>
          <w:rFonts w:ascii="Arial" w:hAnsi="Arial" w:cs="Arial" w:eastAsia="Arial" w:hint="default"/>
          <w:spacing w:val="-8"/>
        </w:rPr>
        <w:t> </w:t>
      </w:r>
      <w:r>
        <w:rPr>
          <w:spacing w:val="-4"/>
        </w:rPr>
        <w:t>层，面积为</w:t>
      </w:r>
      <w:r>
        <w:rPr>
          <w:spacing w:val="-53"/>
        </w:rPr>
        <w:t> </w:t>
      </w:r>
      <w:r>
        <w:rPr>
          <w:rFonts w:ascii="Arial" w:hAnsi="Arial" w:cs="Arial" w:eastAsia="Arial" w:hint="default"/>
        </w:rPr>
        <w:t>1,134.52</w:t>
      </w:r>
      <w:r>
        <w:rPr>
          <w:rFonts w:ascii="Arial" w:hAnsi="Arial" w:cs="Arial" w:eastAsia="Arial" w:hint="default"/>
          <w:spacing w:val="-5"/>
        </w:rPr>
        <w:t> </w:t>
      </w:r>
      <w:r>
        <w:rPr>
          <w:spacing w:val="-3"/>
        </w:rPr>
        <w:t>平方米（建筑面</w:t>
      </w:r>
    </w:p>
    <w:p>
      <w:pPr>
        <w:pStyle w:val="BodyText"/>
        <w:spacing w:line="240" w:lineRule="auto" w:before="120"/>
        <w:ind w:left="160" w:right="1326"/>
        <w:jc w:val="left"/>
        <w:rPr>
          <w:rFonts w:ascii="Arial" w:hAnsi="Arial" w:cs="Arial" w:eastAsia="Arial" w:hint="default"/>
        </w:rPr>
      </w:pPr>
      <w:r>
        <w:rPr/>
        <w:t>积）的房产租赁给其使用，年租金为</w:t>
      </w:r>
      <w:r>
        <w:rPr>
          <w:spacing w:val="-45"/>
        </w:rPr>
        <w:t> </w:t>
      </w:r>
      <w:r>
        <w:rPr>
          <w:rFonts w:ascii="Arial" w:hAnsi="Arial" w:cs="Arial" w:eastAsia="Arial" w:hint="default"/>
        </w:rPr>
        <w:t>1,076,659.48</w:t>
      </w:r>
      <w:r>
        <w:rPr>
          <w:rFonts w:ascii="Arial" w:hAnsi="Arial" w:cs="Arial" w:eastAsia="Arial" w:hint="default"/>
          <w:spacing w:val="-1"/>
        </w:rPr>
        <w:t> </w:t>
      </w:r>
      <w:r>
        <w:rPr/>
        <w:t>元，租赁期限为</w:t>
      </w:r>
      <w:r>
        <w:rPr>
          <w:spacing w:val="-45"/>
        </w:rPr>
        <w:t> </w:t>
      </w:r>
      <w:r>
        <w:rPr>
          <w:rFonts w:ascii="Arial" w:hAnsi="Arial" w:cs="Arial" w:eastAsia="Arial" w:hint="default"/>
        </w:rPr>
        <w:t>2009</w:t>
      </w:r>
      <w:r>
        <w:rPr>
          <w:rFonts w:ascii="Arial" w:hAnsi="Arial" w:cs="Arial" w:eastAsia="Arial" w:hint="default"/>
          <w:spacing w:val="-1"/>
        </w:rPr>
        <w:t> </w:t>
      </w:r>
      <w:r>
        <w:rPr/>
        <w:t>年</w:t>
      </w:r>
      <w:r>
        <w:rPr>
          <w:spacing w:val="-48"/>
        </w:rPr>
        <w:t> </w:t>
      </w:r>
      <w:r>
        <w:rPr>
          <w:rFonts w:ascii="Arial" w:hAnsi="Arial" w:cs="Arial" w:eastAsia="Arial" w:hint="default"/>
        </w:rPr>
        <w:t>7</w:t>
      </w:r>
      <w:r>
        <w:rPr>
          <w:rFonts w:ascii="Arial" w:hAnsi="Arial" w:cs="Arial" w:eastAsia="Arial" w:hint="default"/>
          <w:spacing w:val="1"/>
        </w:rPr>
        <w:t> </w:t>
      </w:r>
      <w:r>
        <w:rPr/>
        <w:t>月</w:t>
      </w:r>
      <w:r>
        <w:rPr>
          <w:spacing w:val="-47"/>
        </w:rPr>
        <w:t> </w:t>
      </w:r>
      <w:r>
        <w:rPr>
          <w:rFonts w:ascii="Arial" w:hAnsi="Arial" w:cs="Arial" w:eastAsia="Arial" w:hint="default"/>
        </w:rPr>
        <w:t>1</w:t>
      </w:r>
      <w:r>
        <w:rPr>
          <w:rFonts w:ascii="Arial" w:hAnsi="Arial" w:cs="Arial" w:eastAsia="Arial" w:hint="default"/>
          <w:spacing w:val="-1"/>
        </w:rPr>
        <w:t> </w:t>
      </w:r>
      <w:r>
        <w:rPr/>
        <w:t>日至</w:t>
      </w:r>
      <w:r>
        <w:rPr>
          <w:spacing w:val="-48"/>
        </w:rPr>
        <w:t> </w:t>
      </w:r>
      <w:r>
        <w:rPr>
          <w:rFonts w:ascii="Arial" w:hAnsi="Arial" w:cs="Arial" w:eastAsia="Arial" w:hint="default"/>
          <w:spacing w:val="-5"/>
        </w:rPr>
        <w:t>2011</w:t>
      </w:r>
      <w:r>
        <w:rPr>
          <w:rFonts w:ascii="Arial" w:hAnsi="Arial" w:cs="Arial" w:eastAsia="Arial" w:hint="default"/>
          <w:spacing w:val="-1"/>
        </w:rPr>
        <w:t> </w:t>
      </w:r>
      <w:r>
        <w:rPr/>
        <w:t>年</w:t>
      </w:r>
      <w:r>
        <w:rPr>
          <w:spacing w:val="-45"/>
        </w:rPr>
        <w:t> </w:t>
      </w:r>
      <w:r>
        <w:rPr>
          <w:rFonts w:ascii="Arial" w:hAnsi="Arial" w:cs="Arial" w:eastAsia="Arial" w:hint="default"/>
        </w:rPr>
        <w:t>1</w:t>
      </w:r>
    </w:p>
    <w:p>
      <w:pPr>
        <w:pStyle w:val="BodyText"/>
        <w:spacing w:line="240" w:lineRule="auto" w:before="120"/>
        <w:ind w:left="160" w:right="1326"/>
        <w:jc w:val="left"/>
      </w:pPr>
      <w:r>
        <w:rPr/>
        <w:t>月</w:t>
      </w:r>
      <w:r>
        <w:rPr>
          <w:spacing w:val="-52"/>
        </w:rPr>
        <w:t> </w:t>
      </w:r>
      <w:r>
        <w:rPr>
          <w:rFonts w:ascii="Arial" w:hAnsi="Arial" w:cs="Arial" w:eastAsia="Arial" w:hint="default"/>
        </w:rPr>
        <w:t>31</w:t>
      </w:r>
      <w:r>
        <w:rPr>
          <w:rFonts w:ascii="Arial" w:hAnsi="Arial" w:cs="Arial" w:eastAsia="Arial" w:hint="default"/>
          <w:spacing w:val="-7"/>
        </w:rPr>
        <w:t> </w:t>
      </w:r>
      <w:r>
        <w:rPr/>
        <w:t>日止。</w:t>
      </w:r>
    </w:p>
    <w:p>
      <w:pPr>
        <w:spacing w:line="240" w:lineRule="auto" w:before="6"/>
        <w:rPr>
          <w:rFonts w:ascii="宋体" w:hAnsi="宋体" w:cs="宋体" w:eastAsia="宋体" w:hint="default"/>
          <w:sz w:val="27"/>
          <w:szCs w:val="27"/>
        </w:rPr>
      </w:pPr>
    </w:p>
    <w:p>
      <w:pPr>
        <w:pStyle w:val="BodyText"/>
        <w:spacing w:line="340" w:lineRule="auto"/>
        <w:ind w:left="160" w:right="1326" w:firstLine="420"/>
        <w:jc w:val="left"/>
      </w:pPr>
      <w:r>
        <w:rPr>
          <w:spacing w:val="-5"/>
          <w:w w:val="100"/>
        </w:rPr>
        <w:t>（</w:t>
      </w:r>
      <w:r>
        <w:rPr>
          <w:rFonts w:ascii="Arial" w:hAnsi="Arial" w:cs="Arial" w:eastAsia="Arial" w:hint="default"/>
          <w:spacing w:val="-5"/>
          <w:w w:val="100"/>
        </w:rPr>
        <w:t>2</w:t>
      </w:r>
      <w:r>
        <w:rPr>
          <w:spacing w:val="-5"/>
          <w:w w:val="100"/>
        </w:rPr>
        <w:t>）子公司华立仪表与浙江华立电网控制系统有限公司签订《房屋租赁合同》，约定将杭州市</w:t>
      </w:r>
      <w:r>
        <w:rPr>
          <w:w w:val="100"/>
        </w:rPr>
        <w:t> </w:t>
      </w:r>
      <w:r>
        <w:rPr/>
        <w:t>余杭区五常大道</w:t>
      </w:r>
      <w:r>
        <w:rPr>
          <w:spacing w:val="-48"/>
        </w:rPr>
        <w:t> </w:t>
      </w:r>
      <w:r>
        <w:rPr>
          <w:rFonts w:ascii="Arial" w:hAnsi="Arial" w:cs="Arial" w:eastAsia="Arial" w:hint="default"/>
        </w:rPr>
        <w:t>181</w:t>
      </w:r>
      <w:r>
        <w:rPr>
          <w:rFonts w:ascii="Arial" w:hAnsi="Arial" w:cs="Arial" w:eastAsia="Arial" w:hint="default"/>
          <w:spacing w:val="-1"/>
        </w:rPr>
        <w:t> </w:t>
      </w:r>
      <w:r>
        <w:rPr/>
        <w:t>号华立科技园行政办公楼西区</w:t>
      </w:r>
      <w:r>
        <w:rPr>
          <w:spacing w:val="-50"/>
        </w:rPr>
        <w:t> </w:t>
      </w:r>
      <w:r>
        <w:rPr>
          <w:rFonts w:ascii="Arial" w:hAnsi="Arial" w:cs="Arial" w:eastAsia="Arial" w:hint="default"/>
        </w:rPr>
        <w:t>9 </w:t>
      </w:r>
      <w:r>
        <w:rPr/>
        <w:t>层面积为</w:t>
      </w:r>
      <w:r>
        <w:rPr>
          <w:spacing w:val="-48"/>
        </w:rPr>
        <w:t> </w:t>
      </w:r>
      <w:r>
        <w:rPr>
          <w:rFonts w:ascii="Arial" w:hAnsi="Arial" w:cs="Arial" w:eastAsia="Arial" w:hint="default"/>
        </w:rPr>
        <w:t>429.48</w:t>
      </w:r>
      <w:r>
        <w:rPr>
          <w:rFonts w:ascii="Arial" w:hAnsi="Arial" w:cs="Arial" w:eastAsia="Arial" w:hint="default"/>
          <w:spacing w:val="-3"/>
        </w:rPr>
        <w:t> </w:t>
      </w:r>
      <w:r>
        <w:rPr/>
        <w:t>平方米（建筑面积）的房产</w:t>
      </w:r>
    </w:p>
    <w:p>
      <w:pPr>
        <w:pStyle w:val="BodyText"/>
        <w:spacing w:line="240" w:lineRule="auto" w:before="22"/>
        <w:ind w:left="160" w:right="1326"/>
        <w:jc w:val="left"/>
      </w:pPr>
      <w:r>
        <w:rPr/>
        <w:t>租赁给其使用，年租金</w:t>
      </w:r>
      <w:r>
        <w:rPr>
          <w:spacing w:val="-53"/>
        </w:rPr>
        <w:t> </w:t>
      </w:r>
      <w:r>
        <w:rPr>
          <w:rFonts w:ascii="Arial" w:hAnsi="Arial" w:cs="Arial" w:eastAsia="Arial" w:hint="default"/>
        </w:rPr>
        <w:t>407,576.52</w:t>
      </w:r>
      <w:r>
        <w:rPr>
          <w:rFonts w:ascii="Arial" w:hAnsi="Arial" w:cs="Arial" w:eastAsia="Arial" w:hint="default"/>
          <w:spacing w:val="-5"/>
        </w:rPr>
        <w:t> </w:t>
      </w:r>
      <w:r>
        <w:rPr/>
        <w:t>元，租赁期限为</w:t>
      </w:r>
      <w:r>
        <w:rPr>
          <w:spacing w:val="-55"/>
        </w:rPr>
        <w:t> </w:t>
      </w:r>
      <w:r>
        <w:rPr>
          <w:rFonts w:ascii="Arial" w:hAnsi="Arial" w:cs="Arial" w:eastAsia="Arial" w:hint="default"/>
        </w:rPr>
        <w:t>2009</w:t>
      </w:r>
      <w:r>
        <w:rPr>
          <w:rFonts w:ascii="Arial" w:hAnsi="Arial" w:cs="Arial" w:eastAsia="Arial" w:hint="default"/>
          <w:spacing w:val="-5"/>
        </w:rPr>
        <w:t> </w:t>
      </w:r>
      <w:r>
        <w:rPr/>
        <w:t>年</w:t>
      </w:r>
      <w:r>
        <w:rPr>
          <w:spacing w:val="-55"/>
        </w:rPr>
        <w:t> </w:t>
      </w:r>
      <w:r>
        <w:rPr>
          <w:rFonts w:ascii="Arial" w:hAnsi="Arial" w:cs="Arial" w:eastAsia="Arial" w:hint="default"/>
        </w:rPr>
        <w:t>7</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日至</w:t>
      </w:r>
      <w:r>
        <w:rPr>
          <w:spacing w:val="-53"/>
        </w:rPr>
        <w:t> </w:t>
      </w:r>
      <w:r>
        <w:rPr>
          <w:rFonts w:ascii="Arial" w:hAnsi="Arial" w:cs="Arial" w:eastAsia="Arial" w:hint="default"/>
          <w:spacing w:val="-5"/>
        </w:rPr>
        <w:t>2011</w:t>
      </w:r>
      <w:r>
        <w:rPr>
          <w:rFonts w:ascii="Arial" w:hAnsi="Arial" w:cs="Arial" w:eastAsia="Arial" w:hint="default"/>
          <w:spacing w:val="-8"/>
        </w:rPr>
        <w:t> </w:t>
      </w:r>
      <w:r>
        <w:rPr/>
        <w:t>年</w:t>
      </w:r>
      <w:r>
        <w:rPr>
          <w:spacing w:val="-52"/>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日止。</w:t>
      </w:r>
    </w:p>
    <w:p>
      <w:pPr>
        <w:spacing w:line="240" w:lineRule="auto" w:before="5"/>
        <w:rPr>
          <w:rFonts w:ascii="宋体" w:hAnsi="宋体" w:cs="宋体" w:eastAsia="宋体" w:hint="default"/>
          <w:sz w:val="27"/>
          <w:szCs w:val="27"/>
        </w:rPr>
      </w:pPr>
    </w:p>
    <w:p>
      <w:pPr>
        <w:pStyle w:val="BodyText"/>
        <w:spacing w:line="340" w:lineRule="auto"/>
        <w:ind w:left="160" w:right="1428" w:firstLine="420"/>
        <w:jc w:val="left"/>
      </w:pPr>
      <w:r>
        <w:rPr>
          <w:spacing w:val="-5"/>
          <w:w w:val="100"/>
        </w:rPr>
        <w:t>（</w:t>
      </w:r>
      <w:r>
        <w:rPr>
          <w:rFonts w:ascii="Arial" w:hAnsi="Arial" w:cs="Arial" w:eastAsia="Arial" w:hint="default"/>
          <w:spacing w:val="-5"/>
          <w:w w:val="100"/>
        </w:rPr>
        <w:t>3</w:t>
      </w:r>
      <w:r>
        <w:rPr>
          <w:spacing w:val="-5"/>
          <w:w w:val="100"/>
        </w:rPr>
        <w:t>）子公司华立仪表与华方医药科技有限公司签订《房屋租赁合同》，约定将余杭区五常街道</w:t>
      </w:r>
      <w:r>
        <w:rPr>
          <w:w w:val="100"/>
        </w:rPr>
        <w:t> </w:t>
      </w:r>
      <w:r>
        <w:rPr/>
        <w:t>五常大道</w:t>
      </w:r>
      <w:r>
        <w:rPr>
          <w:spacing w:val="-50"/>
        </w:rPr>
        <w:t> </w:t>
      </w:r>
      <w:r>
        <w:rPr>
          <w:rFonts w:ascii="Arial" w:hAnsi="Arial" w:cs="Arial" w:eastAsia="Arial" w:hint="default"/>
        </w:rPr>
        <w:t>181</w:t>
      </w:r>
      <w:r>
        <w:rPr>
          <w:rFonts w:ascii="Arial" w:hAnsi="Arial" w:cs="Arial" w:eastAsia="Arial" w:hint="default"/>
          <w:spacing w:val="-6"/>
        </w:rPr>
        <w:t> </w:t>
      </w:r>
      <w:r>
        <w:rPr/>
        <w:t>号仪表园区</w:t>
      </w:r>
      <w:r>
        <w:rPr>
          <w:spacing w:val="-52"/>
        </w:rPr>
        <w:t> </w:t>
      </w:r>
      <w:r>
        <w:rPr>
          <w:rFonts w:ascii="Arial" w:hAnsi="Arial" w:cs="Arial" w:eastAsia="Arial" w:hint="default"/>
        </w:rPr>
        <w:t>3#</w:t>
      </w:r>
      <w:r>
        <w:rPr/>
        <w:t>厂房一层面积</w:t>
      </w:r>
      <w:r>
        <w:rPr>
          <w:spacing w:val="-51"/>
        </w:rPr>
        <w:t> </w:t>
      </w:r>
      <w:r>
        <w:rPr>
          <w:rFonts w:ascii="Arial" w:hAnsi="Arial" w:cs="Arial" w:eastAsia="Arial" w:hint="default"/>
        </w:rPr>
        <w:t>1,448.04</w:t>
      </w:r>
      <w:r>
        <w:rPr>
          <w:rFonts w:ascii="Arial" w:hAnsi="Arial" w:cs="Arial" w:eastAsia="Arial" w:hint="default"/>
          <w:spacing w:val="-6"/>
        </w:rPr>
        <w:t> </w:t>
      </w:r>
      <w:r>
        <w:rPr/>
        <w:t>平方米（建筑面积）的商业物流库房租赁给其</w:t>
      </w:r>
    </w:p>
    <w:p>
      <w:pPr>
        <w:pStyle w:val="BodyText"/>
        <w:spacing w:line="240" w:lineRule="auto" w:before="19"/>
        <w:ind w:left="160" w:right="1326"/>
        <w:jc w:val="left"/>
      </w:pPr>
      <w:r>
        <w:rPr/>
        <w:t>使用，年租金</w:t>
      </w:r>
      <w:r>
        <w:rPr>
          <w:spacing w:val="-53"/>
        </w:rPr>
        <w:t> </w:t>
      </w:r>
      <w:r>
        <w:rPr>
          <w:rFonts w:ascii="Arial" w:hAnsi="Arial" w:cs="Arial" w:eastAsia="Arial" w:hint="default"/>
        </w:rPr>
        <w:t>260,647.20</w:t>
      </w:r>
      <w:r>
        <w:rPr>
          <w:rFonts w:ascii="Arial" w:hAnsi="Arial" w:cs="Arial" w:eastAsia="Arial" w:hint="default"/>
          <w:spacing w:val="-7"/>
        </w:rPr>
        <w:t> </w:t>
      </w:r>
      <w:r>
        <w:rPr/>
        <w:t>元，租赁期限为</w:t>
      </w:r>
      <w:r>
        <w:rPr>
          <w:spacing w:val="-53"/>
        </w:rPr>
        <w:t> </w:t>
      </w:r>
      <w:r>
        <w:rPr>
          <w:rFonts w:ascii="Arial" w:hAnsi="Arial" w:cs="Arial" w:eastAsia="Arial" w:hint="default"/>
        </w:rPr>
        <w:t>2</w:t>
      </w:r>
      <w:r>
        <w:rPr>
          <w:rFonts w:ascii="Arial" w:hAnsi="Arial" w:cs="Arial" w:eastAsia="Arial" w:hint="default"/>
          <w:spacing w:val="-8"/>
        </w:rPr>
        <w:t> </w:t>
      </w:r>
      <w:r>
        <w:rPr/>
        <w:t>年，自</w:t>
      </w:r>
      <w:r>
        <w:rPr>
          <w:spacing w:val="-55"/>
        </w:rPr>
        <w:t> </w:t>
      </w:r>
      <w:r>
        <w:rPr>
          <w:rFonts w:ascii="Arial" w:hAnsi="Arial" w:cs="Arial" w:eastAsia="Arial" w:hint="default"/>
        </w:rPr>
        <w:t>2009</w:t>
      </w:r>
      <w:r>
        <w:rPr>
          <w:rFonts w:ascii="Arial" w:hAnsi="Arial" w:cs="Arial" w:eastAsia="Arial" w:hint="default"/>
          <w:spacing w:val="-5"/>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日至</w:t>
      </w:r>
      <w:r>
        <w:rPr>
          <w:spacing w:val="-53"/>
        </w:rPr>
        <w:t> </w:t>
      </w:r>
      <w:r>
        <w:rPr>
          <w:rFonts w:ascii="Arial" w:hAnsi="Arial" w:cs="Arial" w:eastAsia="Arial" w:hint="default"/>
          <w:spacing w:val="-5"/>
        </w:rPr>
        <w:t>2011</w:t>
      </w:r>
      <w:r>
        <w:rPr>
          <w:rFonts w:ascii="Arial" w:hAnsi="Arial" w:cs="Arial" w:eastAsia="Arial" w:hint="default"/>
          <w:spacing w:val="-8"/>
        </w:rPr>
        <w:t> </w:t>
      </w:r>
      <w:r>
        <w:rPr/>
        <w:t>年</w:t>
      </w:r>
      <w:r>
        <w:rPr>
          <w:spacing w:val="-52"/>
        </w:rPr>
        <w:t> </w:t>
      </w:r>
      <w:r>
        <w:rPr>
          <w:rFonts w:ascii="Arial" w:hAnsi="Arial" w:cs="Arial" w:eastAsia="Arial" w:hint="default"/>
        </w:rPr>
        <w:t>5</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日止。</w:t>
      </w:r>
    </w:p>
    <w:p>
      <w:pPr>
        <w:spacing w:line="240" w:lineRule="auto" w:before="7"/>
        <w:rPr>
          <w:rFonts w:ascii="宋体" w:hAnsi="宋体" w:cs="宋体" w:eastAsia="宋体" w:hint="default"/>
          <w:sz w:val="27"/>
          <w:szCs w:val="27"/>
        </w:rPr>
      </w:pPr>
    </w:p>
    <w:p>
      <w:pPr>
        <w:pStyle w:val="BodyText"/>
        <w:spacing w:line="340" w:lineRule="auto"/>
        <w:ind w:left="160" w:right="1430" w:firstLine="420"/>
        <w:jc w:val="left"/>
        <w:rPr>
          <w:rFonts w:ascii="Arial" w:hAnsi="Arial" w:cs="Arial" w:eastAsia="Arial" w:hint="default"/>
        </w:rPr>
      </w:pPr>
      <w:r>
        <w:rPr>
          <w:spacing w:val="-1"/>
          <w:w w:val="100"/>
        </w:rPr>
        <w:t>（</w:t>
      </w:r>
      <w:r>
        <w:rPr>
          <w:rFonts w:ascii="Arial" w:hAnsi="Arial" w:cs="Arial" w:eastAsia="Arial" w:hint="default"/>
          <w:spacing w:val="-3"/>
          <w:w w:val="100"/>
        </w:rPr>
        <w:t>4</w:t>
      </w:r>
      <w:r>
        <w:rPr>
          <w:spacing w:val="-5"/>
          <w:w w:val="100"/>
        </w:rPr>
        <w:t>）</w:t>
      </w:r>
      <w:r>
        <w:rPr>
          <w:spacing w:val="-3"/>
          <w:w w:val="100"/>
        </w:rPr>
        <w:t>子</w:t>
      </w:r>
      <w:r>
        <w:rPr>
          <w:w w:val="100"/>
        </w:rPr>
        <w:t>公司</w:t>
      </w:r>
      <w:r>
        <w:rPr>
          <w:spacing w:val="-3"/>
          <w:w w:val="100"/>
        </w:rPr>
        <w:t>华</w:t>
      </w:r>
      <w:r>
        <w:rPr>
          <w:w w:val="100"/>
        </w:rPr>
        <w:t>立</w:t>
      </w:r>
      <w:r>
        <w:rPr>
          <w:spacing w:val="-3"/>
          <w:w w:val="100"/>
        </w:rPr>
        <w:t>仪</w:t>
      </w:r>
      <w:r>
        <w:rPr>
          <w:w w:val="100"/>
        </w:rPr>
        <w:t>表</w:t>
      </w:r>
      <w:r>
        <w:rPr>
          <w:spacing w:val="-3"/>
          <w:w w:val="100"/>
        </w:rPr>
        <w:t>与杭</w:t>
      </w:r>
      <w:r>
        <w:rPr>
          <w:w w:val="100"/>
        </w:rPr>
        <w:t>州华</w:t>
      </w:r>
      <w:r>
        <w:rPr>
          <w:spacing w:val="-3"/>
          <w:w w:val="100"/>
        </w:rPr>
        <w:t>立</w:t>
      </w:r>
      <w:r>
        <w:rPr>
          <w:w w:val="100"/>
        </w:rPr>
        <w:t>电</w:t>
      </w:r>
      <w:r>
        <w:rPr>
          <w:spacing w:val="-3"/>
          <w:w w:val="100"/>
        </w:rPr>
        <w:t>力</w:t>
      </w:r>
      <w:r>
        <w:rPr>
          <w:w w:val="100"/>
        </w:rPr>
        <w:t>系</w:t>
      </w:r>
      <w:r>
        <w:rPr>
          <w:spacing w:val="-3"/>
          <w:w w:val="100"/>
        </w:rPr>
        <w:t>统</w:t>
      </w:r>
      <w:r>
        <w:rPr>
          <w:w w:val="100"/>
        </w:rPr>
        <w:t>工</w:t>
      </w:r>
      <w:r>
        <w:rPr>
          <w:spacing w:val="-3"/>
          <w:w w:val="100"/>
        </w:rPr>
        <w:t>程</w:t>
      </w:r>
      <w:r>
        <w:rPr>
          <w:w w:val="100"/>
        </w:rPr>
        <w:t>有</w:t>
      </w:r>
      <w:r>
        <w:rPr>
          <w:spacing w:val="-3"/>
          <w:w w:val="100"/>
        </w:rPr>
        <w:t>限</w:t>
      </w:r>
      <w:r>
        <w:rPr>
          <w:w w:val="100"/>
        </w:rPr>
        <w:t>公司</w:t>
      </w:r>
      <w:r>
        <w:rPr>
          <w:spacing w:val="-3"/>
          <w:w w:val="100"/>
        </w:rPr>
        <w:t>签</w:t>
      </w:r>
      <w:r>
        <w:rPr>
          <w:spacing w:val="-8"/>
          <w:w w:val="100"/>
        </w:rPr>
        <w:t>订</w:t>
      </w:r>
      <w:r>
        <w:rPr>
          <w:w w:val="100"/>
        </w:rPr>
        <w:t>《</w:t>
      </w:r>
      <w:r>
        <w:rPr>
          <w:spacing w:val="-3"/>
          <w:w w:val="100"/>
        </w:rPr>
        <w:t>房</w:t>
      </w:r>
      <w:r>
        <w:rPr>
          <w:w w:val="100"/>
        </w:rPr>
        <w:t>屋</w:t>
      </w:r>
      <w:r>
        <w:rPr>
          <w:spacing w:val="-3"/>
          <w:w w:val="100"/>
        </w:rPr>
        <w:t>租</w:t>
      </w:r>
      <w:r>
        <w:rPr>
          <w:w w:val="100"/>
        </w:rPr>
        <w:t>赁</w:t>
      </w:r>
      <w:r>
        <w:rPr>
          <w:spacing w:val="-3"/>
          <w:w w:val="100"/>
        </w:rPr>
        <w:t>合</w:t>
      </w:r>
      <w:r>
        <w:rPr>
          <w:w w:val="100"/>
        </w:rPr>
        <w:t>同</w:t>
      </w:r>
      <w:r>
        <w:rPr>
          <w:spacing w:val="-108"/>
          <w:w w:val="100"/>
        </w:rPr>
        <w:t>》</w:t>
      </w:r>
      <w:r>
        <w:rPr>
          <w:spacing w:val="-5"/>
          <w:w w:val="100"/>
        </w:rPr>
        <w:t>，</w:t>
      </w:r>
      <w:r>
        <w:rPr>
          <w:spacing w:val="-3"/>
          <w:w w:val="100"/>
        </w:rPr>
        <w:t>约</w:t>
      </w:r>
      <w:r>
        <w:rPr>
          <w:w w:val="100"/>
        </w:rPr>
        <w:t>定</w:t>
      </w:r>
      <w:r>
        <w:rPr>
          <w:spacing w:val="-3"/>
          <w:w w:val="100"/>
        </w:rPr>
        <w:t>将</w:t>
      </w:r>
      <w:r>
        <w:rPr>
          <w:w w:val="100"/>
        </w:rPr>
        <w:t>五</w:t>
      </w:r>
      <w:r>
        <w:rPr>
          <w:spacing w:val="-3"/>
          <w:w w:val="100"/>
        </w:rPr>
        <w:t>常</w:t>
      </w:r>
      <w:r>
        <w:rPr>
          <w:w w:val="100"/>
        </w:rPr>
        <w:t>华</w:t>
      </w:r>
      <w:r>
        <w:rPr>
          <w:w w:val="100"/>
        </w:rPr>
        <w:t> 立科</w:t>
      </w:r>
      <w:r>
        <w:rPr>
          <w:spacing w:val="-3"/>
          <w:w w:val="100"/>
        </w:rPr>
        <w:t>技</w:t>
      </w:r>
      <w:r>
        <w:rPr>
          <w:w w:val="100"/>
        </w:rPr>
        <w:t>园</w:t>
      </w:r>
      <w:r>
        <w:rPr>
          <w:spacing w:val="-3"/>
          <w:w w:val="100"/>
        </w:rPr>
        <w:t>行</w:t>
      </w:r>
      <w:r>
        <w:rPr>
          <w:w w:val="100"/>
        </w:rPr>
        <w:t>政</w:t>
      </w:r>
      <w:r>
        <w:rPr>
          <w:spacing w:val="-3"/>
          <w:w w:val="100"/>
        </w:rPr>
        <w:t>办</w:t>
      </w:r>
      <w:r>
        <w:rPr>
          <w:w w:val="100"/>
        </w:rPr>
        <w:t>公</w:t>
      </w:r>
      <w:r>
        <w:rPr>
          <w:spacing w:val="-3"/>
          <w:w w:val="100"/>
        </w:rPr>
        <w:t>大</w:t>
      </w:r>
      <w:r>
        <w:rPr>
          <w:w w:val="100"/>
        </w:rPr>
        <w:t>楼</w:t>
      </w:r>
      <w:r>
        <w:rPr>
          <w:spacing w:val="-70"/>
        </w:rPr>
        <w:t> </w:t>
      </w:r>
      <w:r>
        <w:rPr>
          <w:rFonts w:ascii="Arial" w:hAnsi="Arial" w:cs="Arial" w:eastAsia="Arial" w:hint="default"/>
          <w:w w:val="100"/>
        </w:rPr>
        <w:t>6</w:t>
      </w:r>
      <w:r>
        <w:rPr>
          <w:rFonts w:ascii="Arial" w:hAnsi="Arial" w:cs="Arial" w:eastAsia="Arial" w:hint="default"/>
          <w:spacing w:val="-25"/>
        </w:rPr>
        <w:t> </w:t>
      </w:r>
      <w:r>
        <w:rPr>
          <w:w w:val="100"/>
        </w:rPr>
        <w:t>层面积</w:t>
      </w:r>
      <w:r>
        <w:rPr>
          <w:spacing w:val="-71"/>
        </w:rPr>
        <w:t> </w:t>
      </w:r>
      <w:r>
        <w:rPr>
          <w:rFonts w:ascii="Arial" w:hAnsi="Arial" w:cs="Arial" w:eastAsia="Arial" w:hint="default"/>
          <w:w w:val="100"/>
        </w:rPr>
        <w:t>507.</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23"/>
        </w:rPr>
        <w:t> </w:t>
      </w:r>
      <w:r>
        <w:rPr>
          <w:spacing w:val="-3"/>
          <w:w w:val="100"/>
        </w:rPr>
        <w:t>平</w:t>
      </w:r>
      <w:r>
        <w:rPr>
          <w:w w:val="100"/>
        </w:rPr>
        <w:t>方</w:t>
      </w:r>
      <w:r>
        <w:rPr>
          <w:spacing w:val="-106"/>
          <w:w w:val="100"/>
        </w:rPr>
        <w:t>米</w:t>
      </w:r>
      <w:r>
        <w:rPr>
          <w:spacing w:val="-3"/>
          <w:w w:val="100"/>
        </w:rPr>
        <w:t>（建</w:t>
      </w:r>
      <w:r>
        <w:rPr>
          <w:w w:val="100"/>
        </w:rPr>
        <w:t>筑面</w:t>
      </w:r>
      <w:r>
        <w:rPr>
          <w:spacing w:val="-3"/>
          <w:w w:val="100"/>
        </w:rPr>
        <w:t>积</w:t>
      </w:r>
      <w:r>
        <w:rPr>
          <w:spacing w:val="-106"/>
          <w:w w:val="100"/>
        </w:rPr>
        <w:t>）</w:t>
      </w:r>
      <w:r>
        <w:rPr>
          <w:spacing w:val="-3"/>
          <w:w w:val="100"/>
        </w:rPr>
        <w:t>的</w:t>
      </w:r>
      <w:r>
        <w:rPr>
          <w:w w:val="100"/>
        </w:rPr>
        <w:t>房</w:t>
      </w:r>
      <w:r>
        <w:rPr>
          <w:spacing w:val="-3"/>
          <w:w w:val="100"/>
        </w:rPr>
        <w:t>产</w:t>
      </w:r>
      <w:r>
        <w:rPr>
          <w:w w:val="100"/>
        </w:rPr>
        <w:t>租</w:t>
      </w:r>
      <w:r>
        <w:rPr>
          <w:spacing w:val="-3"/>
          <w:w w:val="100"/>
        </w:rPr>
        <w:t>赁</w:t>
      </w:r>
      <w:r>
        <w:rPr>
          <w:w w:val="100"/>
        </w:rPr>
        <w:t>给</w:t>
      </w:r>
      <w:r>
        <w:rPr>
          <w:spacing w:val="-3"/>
          <w:w w:val="100"/>
        </w:rPr>
        <w:t>其使</w:t>
      </w:r>
      <w:r>
        <w:rPr>
          <w:w w:val="100"/>
        </w:rPr>
        <w:t>用</w:t>
      </w:r>
      <w:r>
        <w:rPr>
          <w:spacing w:val="-106"/>
          <w:w w:val="100"/>
        </w:rPr>
        <w:t>，</w:t>
      </w:r>
      <w:r>
        <w:rPr>
          <w:spacing w:val="-3"/>
          <w:w w:val="100"/>
        </w:rPr>
        <w:t>年</w:t>
      </w:r>
      <w:r>
        <w:rPr>
          <w:w w:val="100"/>
        </w:rPr>
        <w:t>租金</w:t>
      </w:r>
      <w:r>
        <w:rPr>
          <w:spacing w:val="-69"/>
        </w:rPr>
        <w:t> </w:t>
      </w:r>
      <w:r>
        <w:rPr>
          <w:rFonts w:ascii="Arial" w:hAnsi="Arial" w:cs="Arial" w:eastAsia="Arial" w:hint="default"/>
          <w:spacing w:val="-3"/>
          <w:w w:val="100"/>
        </w:rPr>
        <w:t>4</w:t>
      </w:r>
      <w:r>
        <w:rPr>
          <w:rFonts w:ascii="Arial" w:hAnsi="Arial" w:cs="Arial" w:eastAsia="Arial" w:hint="default"/>
          <w:w w:val="100"/>
        </w:rPr>
        <w:t>81</w:t>
      </w:r>
      <w:r>
        <w:rPr>
          <w:rFonts w:ascii="Arial" w:hAnsi="Arial" w:cs="Arial" w:eastAsia="Arial" w:hint="default"/>
          <w:spacing w:val="-1"/>
          <w:w w:val="100"/>
        </w:rPr>
        <w:t>,</w:t>
      </w:r>
      <w:r>
        <w:rPr>
          <w:rFonts w:ascii="Arial" w:hAnsi="Arial" w:cs="Arial" w:eastAsia="Arial" w:hint="default"/>
          <w:spacing w:val="-3"/>
          <w:w w:val="100"/>
        </w:rPr>
        <w:t>1</w:t>
      </w:r>
      <w:r>
        <w:rPr>
          <w:rFonts w:ascii="Arial" w:hAnsi="Arial" w:cs="Arial" w:eastAsia="Arial" w:hint="default"/>
          <w:w w:val="100"/>
        </w:rPr>
        <w:t>43</w:t>
      </w:r>
      <w:r>
        <w:rPr>
          <w:rFonts w:ascii="Arial" w:hAnsi="Arial" w:cs="Arial" w:eastAsia="Arial" w:hint="default"/>
          <w:spacing w:val="-1"/>
          <w:w w:val="100"/>
        </w:rPr>
        <w:t>.</w:t>
      </w:r>
      <w:r>
        <w:rPr>
          <w:rFonts w:ascii="Arial" w:hAnsi="Arial" w:cs="Arial" w:eastAsia="Arial" w:hint="default"/>
          <w:w w:val="100"/>
        </w:rPr>
        <w:t>00</w:t>
      </w:r>
    </w:p>
    <w:p>
      <w:pPr>
        <w:pStyle w:val="BodyText"/>
        <w:spacing w:line="240" w:lineRule="auto" w:before="20"/>
        <w:ind w:left="160" w:right="1326"/>
        <w:jc w:val="left"/>
      </w:pPr>
      <w:r>
        <w:rPr/>
        <w:t>元，租赁期限为</w:t>
      </w:r>
      <w:r>
        <w:rPr>
          <w:spacing w:val="-53"/>
        </w:rPr>
        <w:t> </w:t>
      </w:r>
      <w:r>
        <w:rPr>
          <w:rFonts w:ascii="Arial" w:hAnsi="Arial" w:cs="Arial" w:eastAsia="Arial" w:hint="default"/>
        </w:rPr>
        <w:t>3</w:t>
      </w:r>
      <w:r>
        <w:rPr>
          <w:rFonts w:ascii="Arial" w:hAnsi="Arial" w:cs="Arial" w:eastAsia="Arial" w:hint="default"/>
          <w:spacing w:val="-8"/>
        </w:rPr>
        <w:t> </w:t>
      </w:r>
      <w:r>
        <w:rPr/>
        <w:t>年，自</w:t>
      </w:r>
      <w:r>
        <w:rPr>
          <w:spacing w:val="-55"/>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2</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日至</w:t>
      </w:r>
      <w:r>
        <w:rPr>
          <w:spacing w:val="-53"/>
        </w:rPr>
        <w:t> </w:t>
      </w:r>
      <w:r>
        <w:rPr>
          <w:rFonts w:ascii="Arial" w:hAnsi="Arial" w:cs="Arial" w:eastAsia="Arial" w:hint="default"/>
          <w:spacing w:val="-5"/>
        </w:rPr>
        <w:t>2011</w:t>
      </w:r>
      <w:r>
        <w:rPr>
          <w:rFonts w:ascii="Arial" w:hAnsi="Arial" w:cs="Arial" w:eastAsia="Arial" w:hint="default"/>
          <w:spacing w:val="-8"/>
        </w:rPr>
        <w:t> </w:t>
      </w:r>
      <w:r>
        <w:rPr/>
        <w:t>年</w:t>
      </w:r>
      <w:r>
        <w:rPr>
          <w:spacing w:val="-52"/>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日止。</w:t>
      </w:r>
    </w:p>
    <w:p>
      <w:pPr>
        <w:spacing w:line="240" w:lineRule="auto" w:before="7"/>
        <w:rPr>
          <w:rFonts w:ascii="宋体" w:hAnsi="宋体" w:cs="宋体" w:eastAsia="宋体" w:hint="default"/>
          <w:sz w:val="27"/>
          <w:szCs w:val="27"/>
        </w:rPr>
      </w:pPr>
    </w:p>
    <w:p>
      <w:pPr>
        <w:pStyle w:val="BodyText"/>
        <w:spacing w:line="338" w:lineRule="auto"/>
        <w:ind w:left="160" w:right="1431" w:firstLine="420"/>
        <w:jc w:val="both"/>
      </w:pPr>
      <w:r>
        <w:rPr>
          <w:spacing w:val="-5"/>
          <w:w w:val="100"/>
        </w:rPr>
        <w:t>（</w:t>
      </w:r>
      <w:r>
        <w:rPr>
          <w:rFonts w:ascii="Arial" w:hAnsi="Arial" w:cs="Arial" w:eastAsia="Arial" w:hint="default"/>
          <w:spacing w:val="-5"/>
          <w:w w:val="100"/>
        </w:rPr>
        <w:t>5</w:t>
      </w:r>
      <w:r>
        <w:rPr>
          <w:spacing w:val="-5"/>
          <w:w w:val="100"/>
        </w:rPr>
        <w:t>）子公司华立仪表与浙江华立通信集团有限公司签订《房屋租赁合同》，约定将余杭区闲林</w:t>
      </w:r>
      <w:r>
        <w:rPr>
          <w:w w:val="100"/>
        </w:rPr>
        <w:t> </w:t>
      </w:r>
      <w:r>
        <w:rPr/>
        <w:t>镇联胜路</w:t>
      </w:r>
      <w:r>
        <w:rPr>
          <w:spacing w:val="-50"/>
        </w:rPr>
        <w:t> </w:t>
      </w:r>
      <w:r>
        <w:rPr>
          <w:rFonts w:ascii="Arial" w:hAnsi="Arial" w:cs="Arial" w:eastAsia="Arial" w:hint="default"/>
        </w:rPr>
        <w:t>8</w:t>
      </w:r>
      <w:r>
        <w:rPr>
          <w:rFonts w:ascii="Arial" w:hAnsi="Arial" w:cs="Arial" w:eastAsia="Arial" w:hint="default"/>
          <w:spacing w:val="-1"/>
        </w:rPr>
        <w:t> </w:t>
      </w:r>
      <w:r>
        <w:rPr/>
        <w:t>号仪表园区</w:t>
      </w:r>
      <w:r>
        <w:rPr>
          <w:spacing w:val="-50"/>
        </w:rPr>
        <w:t> </w:t>
      </w:r>
      <w:r>
        <w:rPr>
          <w:rFonts w:ascii="Arial" w:hAnsi="Arial" w:cs="Arial" w:eastAsia="Arial" w:hint="default"/>
        </w:rPr>
        <w:t>B1 </w:t>
      </w:r>
      <w:r>
        <w:rPr/>
        <w:t>厂房一层西侧面积</w:t>
      </w:r>
      <w:r>
        <w:rPr>
          <w:spacing w:val="-48"/>
        </w:rPr>
        <w:t> </w:t>
      </w:r>
      <w:r>
        <w:rPr>
          <w:rFonts w:ascii="Arial" w:hAnsi="Arial" w:cs="Arial" w:eastAsia="Arial" w:hint="default"/>
        </w:rPr>
        <w:t>334.00 </w:t>
      </w:r>
      <w:r>
        <w:rPr>
          <w:spacing w:val="-6"/>
        </w:rPr>
        <w:t>平方米（建筑面积）的房产租赁给其使用，年</w:t>
      </w:r>
      <w:r>
        <w:rPr>
          <w:spacing w:val="-103"/>
        </w:rPr>
        <w:t> </w:t>
      </w:r>
      <w:r>
        <w:rPr>
          <w:spacing w:val="-103"/>
        </w:rPr>
      </w:r>
      <w:r>
        <w:rPr/>
        <w:t>租金</w:t>
      </w:r>
      <w:r>
        <w:rPr>
          <w:spacing w:val="-53"/>
        </w:rPr>
        <w:t> </w:t>
      </w:r>
      <w:r>
        <w:rPr>
          <w:rFonts w:ascii="Arial" w:hAnsi="Arial" w:cs="Arial" w:eastAsia="Arial" w:hint="default"/>
        </w:rPr>
        <w:t>108,900</w:t>
      </w:r>
      <w:r>
        <w:rPr>
          <w:rFonts w:ascii="Arial" w:hAnsi="Arial" w:cs="Arial" w:eastAsia="Arial" w:hint="default"/>
          <w:spacing w:val="-5"/>
        </w:rPr>
        <w:t> </w:t>
      </w:r>
      <w:r>
        <w:rPr/>
        <w:t>元，租赁期限为</w:t>
      </w:r>
      <w:r>
        <w:rPr>
          <w:spacing w:val="-55"/>
        </w:rPr>
        <w:t> </w:t>
      </w:r>
      <w:r>
        <w:rPr>
          <w:rFonts w:ascii="Arial" w:hAnsi="Arial" w:cs="Arial" w:eastAsia="Arial" w:hint="default"/>
        </w:rPr>
        <w:t>2</w:t>
      </w:r>
      <w:r>
        <w:rPr>
          <w:rFonts w:ascii="Arial" w:hAnsi="Arial" w:cs="Arial" w:eastAsia="Arial" w:hint="default"/>
          <w:spacing w:val="-6"/>
        </w:rPr>
        <w:t> </w:t>
      </w:r>
      <w:r>
        <w:rPr/>
        <w:t>年，自</w:t>
      </w:r>
      <w:r>
        <w:rPr>
          <w:spacing w:val="-55"/>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8"/>
        </w:rPr>
        <w:t> </w:t>
      </w:r>
      <w:r>
        <w:rPr/>
        <w:t>月</w:t>
      </w:r>
      <w:r>
        <w:rPr>
          <w:spacing w:val="-52"/>
        </w:rPr>
        <w:t> </w:t>
      </w:r>
      <w:r>
        <w:rPr>
          <w:rFonts w:ascii="Arial" w:hAnsi="Arial" w:cs="Arial" w:eastAsia="Arial" w:hint="default"/>
        </w:rPr>
        <w:t>21</w:t>
      </w:r>
      <w:r>
        <w:rPr>
          <w:rFonts w:ascii="Arial" w:hAnsi="Arial" w:cs="Arial" w:eastAsia="Arial" w:hint="default"/>
          <w:spacing w:val="-8"/>
        </w:rPr>
        <w:t> </w:t>
      </w:r>
      <w:r>
        <w:rPr/>
        <w:t>日至</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20</w:t>
      </w:r>
      <w:r>
        <w:rPr>
          <w:rFonts w:ascii="Arial" w:hAnsi="Arial" w:cs="Arial" w:eastAsia="Arial" w:hint="default"/>
          <w:spacing w:val="-6"/>
        </w:rPr>
        <w:t> </w:t>
      </w:r>
      <w:r>
        <w:rPr/>
        <w:t>日止。</w:t>
      </w:r>
    </w:p>
    <w:p>
      <w:pPr>
        <w:spacing w:line="240" w:lineRule="auto" w:before="3"/>
        <w:rPr>
          <w:rFonts w:ascii="宋体" w:hAnsi="宋体" w:cs="宋体" w:eastAsia="宋体" w:hint="default"/>
          <w:sz w:val="20"/>
          <w:szCs w:val="20"/>
        </w:rPr>
      </w:pPr>
    </w:p>
    <w:p>
      <w:pPr>
        <w:pStyle w:val="BodyText"/>
        <w:spacing w:line="338" w:lineRule="auto"/>
        <w:ind w:left="160" w:right="1427" w:firstLine="420"/>
        <w:jc w:val="left"/>
      </w:pPr>
      <w:r>
        <w:rPr>
          <w:spacing w:val="-5"/>
          <w:w w:val="100"/>
        </w:rPr>
        <w:t>（</w:t>
      </w:r>
      <w:r>
        <w:rPr>
          <w:rFonts w:ascii="Arial" w:hAnsi="Arial" w:cs="Arial" w:eastAsia="Arial" w:hint="default"/>
          <w:spacing w:val="-5"/>
          <w:w w:val="100"/>
        </w:rPr>
        <w:t>6</w:t>
      </w:r>
      <w:r>
        <w:rPr>
          <w:spacing w:val="-5"/>
          <w:w w:val="100"/>
        </w:rPr>
        <w:t>）子公司华立仪表与杭州厚达自动化系统有限公司签订的《房屋租赁合同》，将五常华立科</w:t>
      </w:r>
      <w:r>
        <w:rPr>
          <w:w w:val="100"/>
        </w:rPr>
        <w:t> </w:t>
      </w:r>
      <w:r>
        <w:rPr/>
        <w:t>技园南区智能钢结构厂房面积为 </w:t>
      </w:r>
      <w:r>
        <w:rPr>
          <w:rFonts w:ascii="Arial" w:hAnsi="Arial" w:cs="Arial" w:eastAsia="Arial" w:hint="default"/>
        </w:rPr>
        <w:t>598.71 </w:t>
      </w:r>
      <w:r>
        <w:rPr/>
        <w:t>平方米的房产租赁给其使用，年租金 </w:t>
      </w:r>
      <w:r>
        <w:rPr>
          <w:rFonts w:ascii="Arial" w:hAnsi="Arial" w:cs="Arial" w:eastAsia="Arial" w:hint="default"/>
        </w:rPr>
        <w:t>79,029.72</w:t>
      </w:r>
      <w:r>
        <w:rPr>
          <w:rFonts w:ascii="Arial" w:hAnsi="Arial" w:cs="Arial" w:eastAsia="Arial" w:hint="default"/>
          <w:spacing w:val="-24"/>
        </w:rPr>
        <w:t> </w:t>
      </w:r>
      <w:r>
        <w:rPr/>
        <w:t>元，租赁</w:t>
      </w:r>
    </w:p>
    <w:p>
      <w:pPr>
        <w:pStyle w:val="BodyText"/>
        <w:spacing w:line="240" w:lineRule="auto" w:before="24"/>
        <w:ind w:left="160" w:right="1326"/>
        <w:jc w:val="left"/>
      </w:pPr>
      <w:r>
        <w:rPr/>
        <w:t>期限为</w:t>
      </w:r>
      <w:r>
        <w:rPr>
          <w:spacing w:val="-50"/>
        </w:rPr>
        <w:t> </w:t>
      </w:r>
      <w:r>
        <w:rPr>
          <w:rFonts w:ascii="Arial" w:hAnsi="Arial" w:cs="Arial" w:eastAsia="Arial" w:hint="default"/>
        </w:rPr>
        <w:t>3</w:t>
      </w:r>
      <w:r>
        <w:rPr>
          <w:rFonts w:ascii="Arial" w:hAnsi="Arial" w:cs="Arial" w:eastAsia="Arial" w:hint="default"/>
          <w:spacing w:val="-5"/>
        </w:rPr>
        <w:t> </w:t>
      </w:r>
      <w:r>
        <w:rPr>
          <w:spacing w:val="-12"/>
        </w:rPr>
        <w:t>年，自</w:t>
      </w:r>
      <w:r>
        <w:rPr>
          <w:spacing w:val="-50"/>
        </w:rPr>
        <w:t> </w:t>
      </w:r>
      <w:r>
        <w:rPr>
          <w:rFonts w:ascii="Arial" w:hAnsi="Arial" w:cs="Arial" w:eastAsia="Arial" w:hint="default"/>
        </w:rPr>
        <w:t>2010</w:t>
      </w:r>
      <w:r>
        <w:rPr>
          <w:rFonts w:ascii="Arial" w:hAnsi="Arial" w:cs="Arial" w:eastAsia="Arial" w:hint="default"/>
          <w:spacing w:val="-5"/>
        </w:rPr>
        <w:t> </w:t>
      </w:r>
      <w:r>
        <w:rPr/>
        <w:t>年</w:t>
      </w:r>
      <w:r>
        <w:rPr>
          <w:spacing w:val="-53"/>
        </w:rPr>
        <w:t> </w:t>
      </w:r>
      <w:r>
        <w:rPr>
          <w:rFonts w:ascii="Arial" w:hAnsi="Arial" w:cs="Arial" w:eastAsia="Arial" w:hint="default"/>
        </w:rPr>
        <w:t>7</w:t>
      </w:r>
      <w:r>
        <w:rPr>
          <w:rFonts w:ascii="Arial" w:hAnsi="Arial" w:cs="Arial" w:eastAsia="Arial" w:hint="default"/>
          <w:spacing w:val="-5"/>
        </w:rPr>
        <w:t> </w:t>
      </w:r>
      <w:r>
        <w:rPr/>
        <w:t>月</w:t>
      </w:r>
      <w:r>
        <w:rPr>
          <w:spacing w:val="-50"/>
        </w:rPr>
        <w:t> </w:t>
      </w:r>
      <w:r>
        <w:rPr>
          <w:rFonts w:ascii="Arial" w:hAnsi="Arial" w:cs="Arial" w:eastAsia="Arial" w:hint="default"/>
        </w:rPr>
        <w:t>1</w:t>
      </w:r>
      <w:r>
        <w:rPr>
          <w:rFonts w:ascii="Arial" w:hAnsi="Arial" w:cs="Arial" w:eastAsia="Arial" w:hint="default"/>
          <w:spacing w:val="-5"/>
        </w:rPr>
        <w:t> </w:t>
      </w:r>
      <w:r>
        <w:rPr/>
        <w:t>日至</w:t>
      </w:r>
      <w:r>
        <w:rPr>
          <w:spacing w:val="-53"/>
        </w:rPr>
        <w:t> </w:t>
      </w:r>
      <w:r>
        <w:rPr>
          <w:rFonts w:ascii="Arial" w:hAnsi="Arial" w:cs="Arial" w:eastAsia="Arial" w:hint="default"/>
        </w:rPr>
        <w:t>2013</w:t>
      </w:r>
      <w:r>
        <w:rPr>
          <w:rFonts w:ascii="Arial" w:hAnsi="Arial" w:cs="Arial" w:eastAsia="Arial" w:hint="default"/>
          <w:spacing w:val="-3"/>
        </w:rPr>
        <w:t> </w:t>
      </w:r>
      <w:r>
        <w:rPr/>
        <w:t>年</w:t>
      </w:r>
      <w:r>
        <w:rPr>
          <w:spacing w:val="-53"/>
        </w:rPr>
        <w:t> </w:t>
      </w:r>
      <w:r>
        <w:rPr>
          <w:rFonts w:ascii="Arial" w:hAnsi="Arial" w:cs="Arial" w:eastAsia="Arial" w:hint="default"/>
        </w:rPr>
        <w:t>6</w:t>
      </w:r>
      <w:r>
        <w:rPr>
          <w:rFonts w:ascii="Arial" w:hAnsi="Arial" w:cs="Arial" w:eastAsia="Arial" w:hint="default"/>
          <w:spacing w:val="-3"/>
        </w:rPr>
        <w:t> </w:t>
      </w:r>
      <w:r>
        <w:rPr/>
        <w:t>月</w:t>
      </w:r>
      <w:r>
        <w:rPr>
          <w:spacing w:val="-53"/>
        </w:rPr>
        <w:t> </w:t>
      </w:r>
      <w:r>
        <w:rPr>
          <w:rFonts w:ascii="Arial" w:hAnsi="Arial" w:cs="Arial" w:eastAsia="Arial" w:hint="default"/>
        </w:rPr>
        <w:t>30</w:t>
      </w:r>
      <w:r>
        <w:rPr>
          <w:rFonts w:ascii="Arial" w:hAnsi="Arial" w:cs="Arial" w:eastAsia="Arial" w:hint="default"/>
          <w:spacing w:val="-5"/>
        </w:rPr>
        <w:t> </w:t>
      </w:r>
      <w:r>
        <w:rPr>
          <w:spacing w:val="-3"/>
        </w:rPr>
        <w:t>日止。同时将五常华立科技园行政办公大楼西</w:t>
      </w:r>
    </w:p>
    <w:p>
      <w:pPr>
        <w:pStyle w:val="BodyText"/>
        <w:spacing w:line="240" w:lineRule="auto" w:before="121"/>
        <w:ind w:left="160" w:right="1326"/>
        <w:jc w:val="left"/>
      </w:pPr>
      <w:r>
        <w:rPr/>
        <w:t>区</w:t>
      </w:r>
      <w:r>
        <w:rPr>
          <w:spacing w:val="-43"/>
        </w:rPr>
        <w:t> </w:t>
      </w:r>
      <w:r>
        <w:rPr>
          <w:rFonts w:ascii="Arial" w:hAnsi="Arial" w:cs="Arial" w:eastAsia="Arial" w:hint="default"/>
        </w:rPr>
        <w:t>6</w:t>
      </w:r>
      <w:r>
        <w:rPr>
          <w:rFonts w:ascii="Arial" w:hAnsi="Arial" w:cs="Arial" w:eastAsia="Arial" w:hint="default"/>
          <w:spacing w:val="2"/>
        </w:rPr>
        <w:t> </w:t>
      </w:r>
      <w:r>
        <w:rPr>
          <w:spacing w:val="-3"/>
        </w:rPr>
        <w:t>层，面积为</w:t>
      </w:r>
      <w:r>
        <w:rPr>
          <w:spacing w:val="-43"/>
        </w:rPr>
        <w:t> </w:t>
      </w:r>
      <w:r>
        <w:rPr>
          <w:rFonts w:ascii="Arial" w:hAnsi="Arial" w:cs="Arial" w:eastAsia="Arial" w:hint="default"/>
        </w:rPr>
        <w:t>681.33</w:t>
      </w:r>
      <w:r>
        <w:rPr>
          <w:rFonts w:ascii="Arial" w:hAnsi="Arial" w:cs="Arial" w:eastAsia="Arial" w:hint="default"/>
          <w:spacing w:val="4"/>
        </w:rPr>
        <w:t> </w:t>
      </w:r>
      <w:r>
        <w:rPr>
          <w:spacing w:val="-3"/>
        </w:rPr>
        <w:t>平方米（建筑面积）的房产租赁给其使用，年租金为</w:t>
      </w:r>
      <w:r>
        <w:rPr>
          <w:spacing w:val="-45"/>
        </w:rPr>
        <w:t> </w:t>
      </w:r>
      <w:r>
        <w:rPr>
          <w:rFonts w:ascii="Arial" w:hAnsi="Arial" w:cs="Arial" w:eastAsia="Arial" w:hint="default"/>
        </w:rPr>
        <w:t>323,291.09</w:t>
      </w:r>
      <w:r>
        <w:rPr>
          <w:rFonts w:ascii="Arial" w:hAnsi="Arial" w:cs="Arial" w:eastAsia="Arial" w:hint="default"/>
          <w:spacing w:val="3"/>
        </w:rPr>
        <w:t> </w:t>
      </w:r>
      <w:r>
        <w:rPr>
          <w:spacing w:val="-3"/>
        </w:rPr>
        <w:t>元，租赁</w:t>
      </w:r>
    </w:p>
    <w:p>
      <w:pPr>
        <w:pStyle w:val="BodyText"/>
        <w:spacing w:line="240" w:lineRule="auto" w:before="118"/>
        <w:ind w:left="160" w:right="1326"/>
        <w:jc w:val="left"/>
      </w:pPr>
      <w:r>
        <w:rPr/>
        <w:t>期限为</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6</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日至</w:t>
      </w:r>
      <w:r>
        <w:rPr>
          <w:spacing w:val="-52"/>
        </w:rPr>
        <w:t> </w:t>
      </w:r>
      <w:r>
        <w:rPr>
          <w:rFonts w:ascii="Arial" w:hAnsi="Arial" w:cs="Arial" w:eastAsia="Arial" w:hint="default"/>
        </w:rPr>
        <w:t>2013</w:t>
      </w:r>
      <w:r>
        <w:rPr>
          <w:rFonts w:ascii="Arial" w:hAnsi="Arial" w:cs="Arial" w:eastAsia="Arial" w:hint="default"/>
          <w:spacing w:val="-8"/>
        </w:rPr>
        <w:t> </w:t>
      </w:r>
      <w:r>
        <w:rPr/>
        <w:t>年</w:t>
      </w:r>
      <w:r>
        <w:rPr>
          <w:spacing w:val="-53"/>
        </w:rPr>
        <w:t> </w:t>
      </w:r>
      <w:r>
        <w:rPr>
          <w:rFonts w:ascii="Arial" w:hAnsi="Arial" w:cs="Arial" w:eastAsia="Arial" w:hint="default"/>
        </w:rPr>
        <w:t>5</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日止。</w:t>
      </w:r>
    </w:p>
    <w:p>
      <w:pPr>
        <w:spacing w:line="240" w:lineRule="auto" w:before="7"/>
        <w:rPr>
          <w:rFonts w:ascii="宋体" w:hAnsi="宋体" w:cs="宋体" w:eastAsia="宋体" w:hint="default"/>
          <w:sz w:val="27"/>
          <w:szCs w:val="27"/>
        </w:rPr>
      </w:pPr>
    </w:p>
    <w:p>
      <w:pPr>
        <w:pStyle w:val="Heading4"/>
        <w:spacing w:line="240" w:lineRule="auto"/>
        <w:ind w:left="580" w:right="1326"/>
        <w:jc w:val="left"/>
        <w:rPr>
          <w:b w:val="0"/>
          <w:bCs w:val="0"/>
        </w:rPr>
      </w:pPr>
      <w:r>
        <w:rPr>
          <w:rFonts w:ascii="Arial" w:hAnsi="Arial" w:cs="Arial" w:eastAsia="Arial" w:hint="default"/>
        </w:rPr>
        <w:t>4. </w:t>
      </w:r>
      <w:r>
        <w:rPr>
          <w:rFonts w:ascii="Arial" w:hAnsi="Arial" w:cs="Arial" w:eastAsia="Arial" w:hint="default"/>
          <w:spacing w:val="42"/>
        </w:rPr>
        <w:t> </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580" w:right="1326"/>
        <w:jc w:val="left"/>
      </w:pPr>
      <w:r>
        <w:rPr>
          <w:rFonts w:ascii="Arial" w:hAnsi="Arial" w:cs="Arial" w:eastAsia="Arial" w:hint="default"/>
        </w:rPr>
        <w:t>A</w:t>
      </w:r>
      <w:r>
        <w:rPr/>
        <w:t>、接受担保</w:t>
      </w:r>
    </w:p>
    <w:p>
      <w:pPr>
        <w:spacing w:line="240" w:lineRule="auto" w:before="5"/>
        <w:rPr>
          <w:rFonts w:ascii="宋体" w:hAnsi="宋体" w:cs="宋体" w:eastAsia="宋体" w:hint="default"/>
          <w:sz w:val="27"/>
          <w:szCs w:val="27"/>
        </w:rPr>
      </w:pPr>
    </w:p>
    <w:p>
      <w:pPr>
        <w:pStyle w:val="BodyText"/>
        <w:spacing w:line="240" w:lineRule="auto"/>
        <w:ind w:left="580" w:right="1326"/>
        <w:jc w:val="left"/>
      </w:pPr>
      <w:r>
        <w:rPr/>
        <w:t>（</w:t>
      </w:r>
      <w:r>
        <w:rPr>
          <w:rFonts w:ascii="Arial" w:hAnsi="Arial" w:cs="Arial" w:eastAsia="Arial" w:hint="default"/>
        </w:rPr>
        <w:t>1</w:t>
      </w:r>
      <w:r>
        <w:rPr/>
        <w:t>）华方医药科技有限公司为公司提供担保如下：</w:t>
      </w:r>
    </w:p>
    <w:p>
      <w:pPr>
        <w:spacing w:line="240" w:lineRule="auto" w:before="7"/>
        <w:rPr>
          <w:rFonts w:ascii="宋体" w:hAnsi="宋体" w:cs="宋体" w:eastAsia="宋体" w:hint="default"/>
          <w:sz w:val="27"/>
          <w:szCs w:val="27"/>
        </w:rPr>
      </w:pPr>
    </w:p>
    <w:p>
      <w:pPr>
        <w:pStyle w:val="BodyText"/>
        <w:spacing w:line="240" w:lineRule="auto"/>
        <w:ind w:left="580" w:right="1326"/>
        <w:jc w:val="left"/>
        <w:rPr>
          <w:rFonts w:ascii="Arial" w:hAnsi="Arial" w:cs="Arial" w:eastAsia="Arial" w:hint="default"/>
        </w:rPr>
      </w:pPr>
      <w:r>
        <w:rPr/>
        <w:t>为公司在中国银行重庆分行借款提供</w:t>
      </w:r>
      <w:r>
        <w:rPr>
          <w:spacing w:val="-49"/>
        </w:rPr>
        <w:t> </w:t>
      </w:r>
      <w:r>
        <w:rPr>
          <w:rFonts w:ascii="Arial" w:hAnsi="Arial" w:cs="Arial" w:eastAsia="Arial" w:hint="default"/>
        </w:rPr>
        <w:t>7,500.00</w:t>
      </w:r>
      <w:r>
        <w:rPr>
          <w:rFonts w:ascii="Arial" w:hAnsi="Arial" w:cs="Arial" w:eastAsia="Arial" w:hint="default"/>
          <w:spacing w:val="-5"/>
        </w:rPr>
        <w:t> </w:t>
      </w:r>
      <w:r>
        <w:rPr>
          <w:spacing w:val="-4"/>
        </w:rPr>
        <w:t>万元的最高额保证担保。截止</w:t>
      </w:r>
      <w:r>
        <w:rPr>
          <w:spacing w:val="-50"/>
        </w:rPr>
        <w:t> </w:t>
      </w:r>
      <w:r>
        <w:rPr>
          <w:rFonts w:ascii="Arial" w:hAnsi="Arial" w:cs="Arial" w:eastAsia="Arial" w:hint="default"/>
        </w:rPr>
        <w:t>2010</w:t>
      </w:r>
      <w:r>
        <w:rPr>
          <w:rFonts w:ascii="Arial" w:hAnsi="Arial" w:cs="Arial" w:eastAsia="Arial" w:hint="default"/>
          <w:spacing w:val="-2"/>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p>
    <w:p>
      <w:pPr>
        <w:spacing w:after="0" w:line="240" w:lineRule="auto"/>
        <w:jc w:val="left"/>
        <w:rPr>
          <w:rFonts w:ascii="Arial" w:hAnsi="Arial" w:cs="Arial" w:eastAsia="Arial" w:hint="default"/>
        </w:rPr>
        <w:sectPr>
          <w:pgSz w:w="11910" w:h="16840"/>
          <w:pgMar w:header="884" w:footer="1013" w:top="1080" w:bottom="1200" w:left="1280" w:right="0"/>
        </w:sectPr>
      </w:pPr>
    </w:p>
    <w:p>
      <w:pPr>
        <w:pStyle w:val="BodyText"/>
        <w:spacing w:line="240" w:lineRule="auto" w:before="30"/>
        <w:ind w:right="1205"/>
        <w:jc w:val="left"/>
      </w:pPr>
      <w:r>
        <w:rPr/>
        <w:pict>
          <v:group style="position:absolute;margin-left:70.584pt;margin-top:2.843696pt;width:436.3pt;height:.1pt;mso-position-horizontal-relative:page;mso-position-vertical-relative:paragraph;z-index:-635872" coordorigin="1412,57" coordsize="8726,2">
            <v:shape style="position:absolute;left:1412;top:57;width:8726;height:2" coordorigin="1412,57" coordsize="8726,0" path="m1412,57l10137,57e" filled="false" stroked="true" strokeweight=".72pt" strokecolor="#000000">
              <v:path arrowok="t"/>
            </v:shape>
            <w10:wrap type="none"/>
          </v:group>
        </w:pict>
      </w:r>
      <w:r>
        <w:rPr/>
        <w:t>日，公司在该合同下取得借款</w:t>
      </w:r>
      <w:r>
        <w:rPr>
          <w:spacing w:val="-45"/>
        </w:rPr>
        <w:t> </w:t>
      </w:r>
      <w:r>
        <w:rPr>
          <w:rFonts w:ascii="Arial" w:hAnsi="Arial" w:cs="Arial" w:eastAsia="Arial" w:hint="default"/>
        </w:rPr>
        <w:t>7,500.00 </w:t>
      </w:r>
      <w:r>
        <w:rPr/>
        <w:t>万元，公司同时以账面价值为</w:t>
      </w:r>
      <w:r>
        <w:rPr>
          <w:spacing w:val="-45"/>
        </w:rPr>
        <w:t> </w:t>
      </w:r>
      <w:r>
        <w:rPr>
          <w:rFonts w:ascii="Arial" w:hAnsi="Arial" w:cs="Arial" w:eastAsia="Arial" w:hint="default"/>
        </w:rPr>
        <w:t>2,614.48</w:t>
      </w:r>
      <w:r>
        <w:rPr>
          <w:rFonts w:ascii="Arial" w:hAnsi="Arial" w:cs="Arial" w:eastAsia="Arial" w:hint="default"/>
          <w:spacing w:val="2"/>
        </w:rPr>
        <w:t> </w:t>
      </w:r>
      <w:r>
        <w:rPr/>
        <w:t>万元的房屋建筑物</w:t>
      </w:r>
    </w:p>
    <w:p>
      <w:pPr>
        <w:pStyle w:val="BodyText"/>
        <w:spacing w:line="240" w:lineRule="auto" w:before="120"/>
        <w:ind w:right="1205"/>
        <w:jc w:val="left"/>
      </w:pPr>
      <w:r>
        <w:rPr/>
        <w:t>及账面价值为</w:t>
      </w:r>
      <w:r>
        <w:rPr>
          <w:spacing w:val="-56"/>
        </w:rPr>
        <w:t> </w:t>
      </w:r>
      <w:r>
        <w:rPr>
          <w:rFonts w:ascii="Arial" w:hAnsi="Arial" w:cs="Arial" w:eastAsia="Arial" w:hint="default"/>
        </w:rPr>
        <w:t>1,250.58</w:t>
      </w:r>
      <w:r>
        <w:rPr>
          <w:rFonts w:ascii="Arial" w:hAnsi="Arial" w:cs="Arial" w:eastAsia="Arial" w:hint="default"/>
          <w:spacing w:val="-9"/>
        </w:rPr>
        <w:t> </w:t>
      </w:r>
      <w:r>
        <w:rPr/>
        <w:t>万元的土地使用权为该款提供抵押担保。</w:t>
      </w:r>
    </w:p>
    <w:p>
      <w:pPr>
        <w:spacing w:line="240" w:lineRule="auto" w:before="5"/>
        <w:rPr>
          <w:rFonts w:ascii="宋体" w:hAnsi="宋体" w:cs="宋体" w:eastAsia="宋体" w:hint="default"/>
          <w:sz w:val="27"/>
          <w:szCs w:val="27"/>
        </w:rPr>
      </w:pPr>
    </w:p>
    <w:p>
      <w:pPr>
        <w:pStyle w:val="BodyText"/>
        <w:spacing w:line="240" w:lineRule="auto"/>
        <w:ind w:left="560" w:right="1205"/>
        <w:jc w:val="left"/>
      </w:pPr>
      <w:r>
        <w:rPr/>
        <w:t>（</w:t>
      </w:r>
      <w:r>
        <w:rPr>
          <w:rFonts w:ascii="Arial" w:hAnsi="Arial" w:cs="Arial" w:eastAsia="Arial" w:hint="default"/>
        </w:rPr>
        <w:t>2</w:t>
      </w:r>
      <w:r>
        <w:rPr/>
        <w:t>）华方医药科技有限公司为公司子公司提供担保如下：</w:t>
      </w:r>
    </w:p>
    <w:p>
      <w:pPr>
        <w:spacing w:line="240" w:lineRule="auto" w:before="7"/>
        <w:rPr>
          <w:rFonts w:ascii="宋体" w:hAnsi="宋体" w:cs="宋体" w:eastAsia="宋体" w:hint="default"/>
          <w:sz w:val="27"/>
          <w:szCs w:val="27"/>
        </w:rPr>
      </w:pPr>
    </w:p>
    <w:p>
      <w:pPr>
        <w:pStyle w:val="BodyText"/>
        <w:spacing w:line="240" w:lineRule="auto"/>
        <w:ind w:left="560" w:right="1205"/>
        <w:jc w:val="left"/>
      </w:pPr>
      <w:r>
        <w:rPr/>
        <w:t>①为子公司华立仪表在中国银行股份有限公司浙江省分行提供金额不超过</w:t>
      </w:r>
      <w:r>
        <w:rPr>
          <w:spacing w:val="-51"/>
        </w:rPr>
        <w:t> </w:t>
      </w:r>
      <w:r>
        <w:rPr>
          <w:rFonts w:ascii="Arial" w:hAnsi="Arial" w:cs="Arial" w:eastAsia="Arial" w:hint="default"/>
        </w:rPr>
        <w:t>20,000.00</w:t>
      </w:r>
      <w:r>
        <w:rPr>
          <w:rFonts w:ascii="Arial" w:hAnsi="Arial" w:cs="Arial" w:eastAsia="Arial" w:hint="default"/>
          <w:spacing w:val="-7"/>
        </w:rPr>
        <w:t> </w:t>
      </w:r>
      <w:r>
        <w:rPr/>
        <w:t>万元的最</w:t>
      </w:r>
    </w:p>
    <w:p>
      <w:pPr>
        <w:pStyle w:val="BodyText"/>
        <w:spacing w:line="240" w:lineRule="auto" w:before="118"/>
        <w:ind w:right="1205"/>
        <w:jc w:val="left"/>
      </w:pPr>
      <w:r>
        <w:rPr/>
        <w:t>高额保证。截至</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5"/>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日，华立仪表在该项保证协议下取得借款</w:t>
      </w:r>
      <w:r>
        <w:rPr>
          <w:spacing w:val="-55"/>
        </w:rPr>
        <w:t> </w:t>
      </w:r>
      <w:r>
        <w:rPr>
          <w:rFonts w:ascii="Arial" w:hAnsi="Arial" w:cs="Arial" w:eastAsia="Arial" w:hint="default"/>
          <w:spacing w:val="-3"/>
        </w:rPr>
        <w:t>11,000.00</w:t>
      </w:r>
      <w:r>
        <w:rPr>
          <w:rFonts w:ascii="Arial" w:hAnsi="Arial" w:cs="Arial" w:eastAsia="Arial" w:hint="default"/>
          <w:spacing w:val="-6"/>
        </w:rPr>
        <w:t> </w:t>
      </w:r>
      <w:r>
        <w:rPr/>
        <w:t>万元。</w:t>
      </w:r>
    </w:p>
    <w:p>
      <w:pPr>
        <w:spacing w:line="240" w:lineRule="auto" w:before="7"/>
        <w:rPr>
          <w:rFonts w:ascii="宋体" w:hAnsi="宋体" w:cs="宋体" w:eastAsia="宋体" w:hint="default"/>
          <w:sz w:val="27"/>
          <w:szCs w:val="27"/>
        </w:rPr>
      </w:pPr>
    </w:p>
    <w:p>
      <w:pPr>
        <w:pStyle w:val="BodyText"/>
        <w:spacing w:line="240" w:lineRule="auto"/>
        <w:ind w:left="558" w:right="1205"/>
        <w:jc w:val="left"/>
      </w:pPr>
      <w:r>
        <w:rPr/>
        <w:t>②为华立仪表在中国工商银行众安支行借款</w:t>
      </w:r>
      <w:r>
        <w:rPr>
          <w:spacing w:val="-53"/>
        </w:rPr>
        <w:t> </w:t>
      </w:r>
      <w:r>
        <w:rPr>
          <w:rFonts w:ascii="Arial" w:hAnsi="Arial" w:cs="Arial" w:eastAsia="Arial" w:hint="default"/>
        </w:rPr>
        <w:t>4,200.00</w:t>
      </w:r>
      <w:r>
        <w:rPr>
          <w:rFonts w:ascii="Arial" w:hAnsi="Arial" w:cs="Arial" w:eastAsia="Arial" w:hint="default"/>
          <w:spacing w:val="-8"/>
        </w:rPr>
        <w:t> </w:t>
      </w:r>
      <w:r>
        <w:rPr/>
        <w:t>万元提供连带责任担保。</w:t>
      </w:r>
    </w:p>
    <w:p>
      <w:pPr>
        <w:spacing w:line="240" w:lineRule="auto" w:before="7"/>
        <w:rPr>
          <w:rFonts w:ascii="宋体" w:hAnsi="宋体" w:cs="宋体" w:eastAsia="宋体" w:hint="default"/>
          <w:sz w:val="27"/>
          <w:szCs w:val="27"/>
        </w:rPr>
      </w:pPr>
    </w:p>
    <w:p>
      <w:pPr>
        <w:pStyle w:val="BodyText"/>
        <w:spacing w:line="240" w:lineRule="auto"/>
        <w:ind w:left="560" w:right="1205"/>
        <w:jc w:val="left"/>
      </w:pPr>
      <w:r>
        <w:rPr/>
        <w:t>③为华立仪表在深圳发展银行杭州武林支行综合授信 </w:t>
      </w:r>
      <w:r>
        <w:rPr>
          <w:rFonts w:ascii="Arial" w:hAnsi="Arial" w:cs="Arial" w:eastAsia="Arial" w:hint="default"/>
        </w:rPr>
        <w:t>6,000.00 </w:t>
      </w:r>
      <w:r>
        <w:rPr>
          <w:rFonts w:ascii="Arial" w:hAnsi="Arial" w:cs="Arial" w:eastAsia="Arial" w:hint="default"/>
          <w:spacing w:val="4"/>
        </w:rPr>
        <w:t> </w:t>
      </w:r>
      <w:r>
        <w:rPr/>
        <w:t>万元提供连带责任担保，截至</w:t>
      </w:r>
    </w:p>
    <w:p>
      <w:pPr>
        <w:pStyle w:val="BodyText"/>
        <w:spacing w:line="240" w:lineRule="auto" w:before="118"/>
        <w:ind w:right="1205"/>
        <w:jc w:val="left"/>
      </w:pP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日，公司在该项保证协议下取得借款</w:t>
      </w:r>
      <w:r>
        <w:rPr>
          <w:spacing w:val="-53"/>
        </w:rPr>
        <w:t> </w:t>
      </w:r>
      <w:r>
        <w:rPr>
          <w:rFonts w:ascii="Arial" w:hAnsi="Arial" w:cs="Arial" w:eastAsia="Arial" w:hint="default"/>
        </w:rPr>
        <w:t>1,500.00</w:t>
      </w:r>
      <w:r>
        <w:rPr>
          <w:rFonts w:ascii="Arial" w:hAnsi="Arial" w:cs="Arial" w:eastAsia="Arial" w:hint="default"/>
          <w:spacing w:val="-7"/>
        </w:rPr>
        <w:t> </w:t>
      </w:r>
      <w:r>
        <w:rPr/>
        <w:t>万元。</w:t>
      </w:r>
    </w:p>
    <w:p>
      <w:pPr>
        <w:spacing w:line="240" w:lineRule="auto" w:before="8"/>
        <w:rPr>
          <w:rFonts w:ascii="宋体" w:hAnsi="宋体" w:cs="宋体" w:eastAsia="宋体" w:hint="default"/>
          <w:sz w:val="27"/>
          <w:szCs w:val="27"/>
        </w:rPr>
      </w:pPr>
    </w:p>
    <w:p>
      <w:pPr>
        <w:pStyle w:val="BodyText"/>
        <w:spacing w:line="240" w:lineRule="auto"/>
        <w:ind w:left="560" w:right="1205"/>
        <w:jc w:val="left"/>
      </w:pPr>
      <w:r>
        <w:rPr/>
        <w:t>④为华立仪表开具</w:t>
      </w:r>
      <w:r>
        <w:rPr>
          <w:spacing w:val="-57"/>
        </w:rPr>
        <w:t> </w:t>
      </w:r>
      <w:r>
        <w:rPr>
          <w:rFonts w:ascii="Arial" w:hAnsi="Arial" w:cs="Arial" w:eastAsia="Arial" w:hint="default"/>
        </w:rPr>
        <w:t>10,907.90</w:t>
      </w:r>
      <w:r>
        <w:rPr>
          <w:rFonts w:ascii="Arial" w:hAnsi="Arial" w:cs="Arial" w:eastAsia="Arial" w:hint="default"/>
          <w:spacing w:val="-9"/>
        </w:rPr>
        <w:t> </w:t>
      </w:r>
      <w:r>
        <w:rPr/>
        <w:t>万元银行承兑汇票提供了连带责任担保；</w:t>
      </w:r>
    </w:p>
    <w:p>
      <w:pPr>
        <w:spacing w:line="240" w:lineRule="auto" w:before="5"/>
        <w:rPr>
          <w:rFonts w:ascii="宋体" w:hAnsi="宋体" w:cs="宋体" w:eastAsia="宋体" w:hint="default"/>
          <w:sz w:val="18"/>
          <w:szCs w:val="18"/>
        </w:rPr>
      </w:pPr>
    </w:p>
    <w:p>
      <w:pPr>
        <w:pStyle w:val="BodyText"/>
        <w:spacing w:line="240" w:lineRule="auto"/>
        <w:ind w:left="560" w:right="1205"/>
        <w:jc w:val="left"/>
      </w:pPr>
      <w:r>
        <w:rPr>
          <w:rFonts w:ascii="Arial" w:hAnsi="Arial" w:cs="Arial" w:eastAsia="Arial" w:hint="default"/>
        </w:rPr>
        <w:t>B</w:t>
      </w:r>
      <w:r>
        <w:rPr/>
        <w:t>、提供担保</w:t>
      </w:r>
    </w:p>
    <w:p>
      <w:pPr>
        <w:spacing w:line="240" w:lineRule="auto" w:before="5"/>
        <w:rPr>
          <w:rFonts w:ascii="宋体" w:hAnsi="宋体" w:cs="宋体" w:eastAsia="宋体" w:hint="default"/>
          <w:sz w:val="27"/>
          <w:szCs w:val="27"/>
        </w:rPr>
      </w:pPr>
    </w:p>
    <w:p>
      <w:pPr>
        <w:pStyle w:val="BodyText"/>
        <w:spacing w:line="240" w:lineRule="auto"/>
        <w:ind w:left="560" w:right="1205"/>
        <w:jc w:val="left"/>
      </w:pPr>
      <w:r>
        <w:rPr/>
        <w:t>（</w:t>
      </w:r>
      <w:r>
        <w:rPr>
          <w:rFonts w:ascii="Arial" w:hAnsi="Arial" w:cs="Arial" w:eastAsia="Arial" w:hint="default"/>
        </w:rPr>
        <w:t>1</w:t>
      </w:r>
      <w:r>
        <w:rPr/>
        <w:t>）子公司华立仪表为华方医药科技有限公司提供担保如下：</w:t>
      </w:r>
    </w:p>
    <w:p>
      <w:pPr>
        <w:spacing w:line="240" w:lineRule="auto" w:before="7"/>
        <w:rPr>
          <w:rFonts w:ascii="宋体" w:hAnsi="宋体" w:cs="宋体" w:eastAsia="宋体" w:hint="default"/>
          <w:sz w:val="27"/>
          <w:szCs w:val="27"/>
        </w:rPr>
      </w:pPr>
    </w:p>
    <w:p>
      <w:pPr>
        <w:pStyle w:val="BodyText"/>
        <w:spacing w:line="240" w:lineRule="auto"/>
        <w:ind w:left="560" w:right="1205"/>
        <w:jc w:val="left"/>
      </w:pPr>
      <w:r>
        <w:rPr/>
        <w:t>①为华方医药在招商银行杭州解放支行提供最高额为</w:t>
      </w:r>
      <w:r>
        <w:rPr>
          <w:spacing w:val="-53"/>
        </w:rPr>
        <w:t> </w:t>
      </w:r>
      <w:r>
        <w:rPr>
          <w:rFonts w:ascii="Arial" w:hAnsi="Arial" w:cs="Arial" w:eastAsia="Arial" w:hint="default"/>
        </w:rPr>
        <w:t>12,000.00</w:t>
      </w:r>
      <w:r>
        <w:rPr>
          <w:rFonts w:ascii="Arial" w:hAnsi="Arial" w:cs="Arial" w:eastAsia="Arial" w:hint="default"/>
          <w:spacing w:val="-6"/>
        </w:rPr>
        <w:t> </w:t>
      </w:r>
      <w:r>
        <w:rPr/>
        <w:t>万元的连带责任保证担保，截</w:t>
      </w:r>
    </w:p>
    <w:p>
      <w:pPr>
        <w:pStyle w:val="BodyText"/>
        <w:spacing w:line="240" w:lineRule="auto" w:before="118"/>
        <w:ind w:right="1205"/>
        <w:jc w:val="left"/>
      </w:pPr>
      <w:r>
        <w:rPr/>
        <w:t>至</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日，华方医药在此保证合同下借款</w:t>
      </w:r>
      <w:r>
        <w:rPr>
          <w:spacing w:val="-52"/>
        </w:rPr>
        <w:t> </w:t>
      </w:r>
      <w:r>
        <w:rPr>
          <w:rFonts w:ascii="Arial" w:hAnsi="Arial" w:cs="Arial" w:eastAsia="Arial" w:hint="default"/>
        </w:rPr>
        <w:t>12,000.00</w:t>
      </w:r>
      <w:r>
        <w:rPr>
          <w:rFonts w:ascii="Arial" w:hAnsi="Arial" w:cs="Arial" w:eastAsia="Arial" w:hint="default"/>
          <w:spacing w:val="-8"/>
        </w:rPr>
        <w:t> </w:t>
      </w:r>
      <w:r>
        <w:rPr/>
        <w:t>万元。</w:t>
      </w:r>
    </w:p>
    <w:p>
      <w:pPr>
        <w:spacing w:line="240" w:lineRule="auto" w:before="7"/>
        <w:rPr>
          <w:rFonts w:ascii="宋体" w:hAnsi="宋体" w:cs="宋体" w:eastAsia="宋体" w:hint="default"/>
          <w:sz w:val="27"/>
          <w:szCs w:val="27"/>
        </w:rPr>
      </w:pPr>
    </w:p>
    <w:p>
      <w:pPr>
        <w:pStyle w:val="BodyText"/>
        <w:spacing w:line="240" w:lineRule="auto"/>
        <w:ind w:left="560" w:right="1205"/>
        <w:jc w:val="left"/>
      </w:pPr>
      <w:r>
        <w:rPr/>
        <w:t>②为华方医药在中国工商银行众安支行借款</w:t>
      </w:r>
      <w:r>
        <w:rPr>
          <w:spacing w:val="-57"/>
        </w:rPr>
        <w:t> </w:t>
      </w:r>
      <w:r>
        <w:rPr>
          <w:rFonts w:ascii="Arial" w:hAnsi="Arial" w:cs="Arial" w:eastAsia="Arial" w:hint="default"/>
        </w:rPr>
        <w:t>2,000.00</w:t>
      </w:r>
      <w:r>
        <w:rPr>
          <w:rFonts w:ascii="Arial" w:hAnsi="Arial" w:cs="Arial" w:eastAsia="Arial" w:hint="default"/>
          <w:spacing w:val="-9"/>
        </w:rPr>
        <w:t> </w:t>
      </w:r>
      <w:r>
        <w:rPr/>
        <w:t>万元提供连带责任担保。</w:t>
      </w:r>
    </w:p>
    <w:p>
      <w:pPr>
        <w:spacing w:line="240" w:lineRule="auto" w:before="8"/>
        <w:rPr>
          <w:rFonts w:ascii="宋体" w:hAnsi="宋体" w:cs="宋体" w:eastAsia="宋体" w:hint="default"/>
          <w:sz w:val="27"/>
          <w:szCs w:val="27"/>
        </w:rPr>
      </w:pPr>
    </w:p>
    <w:p>
      <w:pPr>
        <w:pStyle w:val="BodyText"/>
        <w:spacing w:line="240" w:lineRule="auto"/>
        <w:ind w:left="560" w:right="1205"/>
        <w:jc w:val="left"/>
      </w:pPr>
      <w:r>
        <w:rPr/>
        <w:t>③为华方医药在恒丰银行杭州分行的借款提供最高额为 </w:t>
      </w:r>
      <w:r>
        <w:rPr>
          <w:rFonts w:ascii="Arial" w:hAnsi="Arial" w:cs="Arial" w:eastAsia="Arial" w:hint="default"/>
        </w:rPr>
        <w:t>8,000.00 </w:t>
      </w:r>
      <w:r>
        <w:rPr>
          <w:rFonts w:ascii="Arial" w:hAnsi="Arial" w:cs="Arial" w:eastAsia="Arial" w:hint="default"/>
          <w:spacing w:val="4"/>
        </w:rPr>
        <w:t> </w:t>
      </w:r>
      <w:r>
        <w:rPr/>
        <w:t>万元的连带责任担保，截止</w:t>
      </w:r>
    </w:p>
    <w:p>
      <w:pPr>
        <w:pStyle w:val="BodyText"/>
        <w:spacing w:line="240" w:lineRule="auto" w:before="118"/>
        <w:ind w:right="1205"/>
        <w:jc w:val="left"/>
      </w:pP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日，华方医药在此保证合同下借款</w:t>
      </w:r>
      <w:r>
        <w:rPr>
          <w:spacing w:val="-54"/>
        </w:rPr>
        <w:t> </w:t>
      </w:r>
      <w:r>
        <w:rPr>
          <w:rFonts w:ascii="Arial" w:hAnsi="Arial" w:cs="Arial" w:eastAsia="Arial" w:hint="default"/>
        </w:rPr>
        <w:t>8,000.00</w:t>
      </w:r>
      <w:r>
        <w:rPr>
          <w:rFonts w:ascii="Arial" w:hAnsi="Arial" w:cs="Arial" w:eastAsia="Arial" w:hint="default"/>
          <w:spacing w:val="-9"/>
        </w:rPr>
        <w:t> </w:t>
      </w:r>
      <w:r>
        <w:rPr/>
        <w:t>万元。</w:t>
      </w:r>
    </w:p>
    <w:p>
      <w:pPr>
        <w:spacing w:line="240" w:lineRule="auto" w:before="7"/>
        <w:rPr>
          <w:rFonts w:ascii="宋体" w:hAnsi="宋体" w:cs="宋体" w:eastAsia="宋体" w:hint="default"/>
          <w:sz w:val="27"/>
          <w:szCs w:val="27"/>
        </w:rPr>
      </w:pPr>
    </w:p>
    <w:p>
      <w:pPr>
        <w:pStyle w:val="BodyText"/>
        <w:spacing w:line="240" w:lineRule="auto"/>
        <w:ind w:left="565" w:right="1205"/>
        <w:jc w:val="left"/>
      </w:pPr>
      <w:r>
        <w:rPr>
          <w:spacing w:val="-1"/>
          <w:w w:val="100"/>
        </w:rPr>
        <w:t>（</w:t>
      </w:r>
      <w:r>
        <w:rPr>
          <w:rFonts w:ascii="Arial" w:hAnsi="Arial" w:cs="Arial" w:eastAsia="Arial" w:hint="default"/>
          <w:w w:val="100"/>
        </w:rPr>
        <w:t>2</w:t>
      </w:r>
      <w:r>
        <w:rPr>
          <w:spacing w:val="-3"/>
          <w:w w:val="100"/>
        </w:rPr>
        <w:t>）</w:t>
      </w:r>
      <w:r>
        <w:rPr>
          <w:w w:val="100"/>
        </w:rPr>
        <w:t>本</w:t>
      </w:r>
      <w:r>
        <w:rPr>
          <w:spacing w:val="-3"/>
          <w:w w:val="100"/>
        </w:rPr>
        <w:t>公</w:t>
      </w:r>
      <w:r>
        <w:rPr>
          <w:w w:val="100"/>
        </w:rPr>
        <w:t>司</w:t>
      </w:r>
      <w:r>
        <w:rPr>
          <w:spacing w:val="-3"/>
          <w:w w:val="100"/>
        </w:rPr>
        <w:t>为</w:t>
      </w:r>
      <w:r>
        <w:rPr>
          <w:w w:val="100"/>
        </w:rPr>
        <w:t>浙</w:t>
      </w:r>
      <w:r>
        <w:rPr>
          <w:spacing w:val="-3"/>
          <w:w w:val="100"/>
        </w:rPr>
        <w:t>江</w:t>
      </w:r>
      <w:r>
        <w:rPr>
          <w:w w:val="100"/>
        </w:rPr>
        <w:t>华</w:t>
      </w:r>
      <w:r>
        <w:rPr>
          <w:spacing w:val="-3"/>
          <w:w w:val="100"/>
        </w:rPr>
        <w:t>立南</w:t>
      </w:r>
      <w:r>
        <w:rPr>
          <w:w w:val="100"/>
        </w:rPr>
        <w:t>湖制</w:t>
      </w:r>
      <w:r>
        <w:rPr>
          <w:spacing w:val="-3"/>
          <w:w w:val="100"/>
        </w:rPr>
        <w:t>药</w:t>
      </w:r>
      <w:r>
        <w:rPr>
          <w:w w:val="100"/>
        </w:rPr>
        <w:t>有</w:t>
      </w:r>
      <w:r>
        <w:rPr>
          <w:spacing w:val="-3"/>
          <w:w w:val="100"/>
        </w:rPr>
        <w:t>限</w:t>
      </w:r>
      <w:r>
        <w:rPr>
          <w:w w:val="100"/>
        </w:rPr>
        <w:t>公</w:t>
      </w:r>
      <w:r>
        <w:rPr>
          <w:spacing w:val="-3"/>
          <w:w w:val="100"/>
        </w:rPr>
        <w:t>司</w:t>
      </w:r>
      <w:r>
        <w:rPr>
          <w:w w:val="100"/>
        </w:rPr>
        <w:t>（</w:t>
      </w:r>
      <w:r>
        <w:rPr>
          <w:spacing w:val="-3"/>
          <w:w w:val="100"/>
        </w:rPr>
        <w:t>以</w:t>
      </w:r>
      <w:r>
        <w:rPr>
          <w:w w:val="100"/>
        </w:rPr>
        <w:t>下</w:t>
      </w:r>
      <w:r>
        <w:rPr>
          <w:spacing w:val="-3"/>
          <w:w w:val="100"/>
        </w:rPr>
        <w:t>简</w:t>
      </w:r>
      <w:r>
        <w:rPr>
          <w:w w:val="100"/>
        </w:rPr>
        <w:t>称</w:t>
      </w:r>
      <w:r>
        <w:rPr>
          <w:rFonts w:ascii="Arial" w:hAnsi="Arial" w:cs="Arial" w:eastAsia="Arial" w:hint="default"/>
          <w:spacing w:val="-1"/>
          <w:w w:val="33"/>
        </w:rPr>
        <w:t>―</w:t>
      </w:r>
      <w:r>
        <w:rPr>
          <w:w w:val="100"/>
        </w:rPr>
        <w:t>南</w:t>
      </w:r>
      <w:r>
        <w:rPr>
          <w:spacing w:val="-3"/>
          <w:w w:val="100"/>
        </w:rPr>
        <w:t>湖</w:t>
      </w:r>
      <w:r>
        <w:rPr>
          <w:w w:val="100"/>
        </w:rPr>
        <w:t>制</w:t>
      </w:r>
      <w:r>
        <w:rPr>
          <w:spacing w:val="-1"/>
          <w:w w:val="100"/>
        </w:rPr>
        <w:t>药</w:t>
      </w:r>
      <w:r>
        <w:rPr>
          <w:rFonts w:ascii="Arial" w:hAnsi="Arial" w:cs="Arial" w:eastAsia="Arial" w:hint="default"/>
          <w:spacing w:val="-4"/>
          <w:w w:val="81"/>
        </w:rPr>
        <w:t>‖</w:t>
      </w:r>
      <w:r>
        <w:rPr>
          <w:w w:val="100"/>
        </w:rPr>
        <w:t>）</w:t>
      </w:r>
      <w:r>
        <w:rPr>
          <w:spacing w:val="-3"/>
          <w:w w:val="100"/>
        </w:rPr>
        <w:t>提</w:t>
      </w:r>
      <w:r>
        <w:rPr>
          <w:w w:val="100"/>
        </w:rPr>
        <w:t>供</w:t>
      </w:r>
      <w:r>
        <w:rPr>
          <w:spacing w:val="-3"/>
          <w:w w:val="100"/>
        </w:rPr>
        <w:t>担</w:t>
      </w:r>
      <w:r>
        <w:rPr>
          <w:w w:val="100"/>
        </w:rPr>
        <w:t>保</w:t>
      </w:r>
      <w:r>
        <w:rPr>
          <w:spacing w:val="-3"/>
          <w:w w:val="100"/>
        </w:rPr>
        <w:t>如</w:t>
      </w:r>
      <w:r>
        <w:rPr>
          <w:w w:val="100"/>
        </w:rPr>
        <w:t>下：</w:t>
      </w:r>
    </w:p>
    <w:p>
      <w:pPr>
        <w:spacing w:line="240" w:lineRule="auto" w:before="3"/>
        <w:rPr>
          <w:rFonts w:ascii="宋体" w:hAnsi="宋体" w:cs="宋体" w:eastAsia="宋体" w:hint="default"/>
          <w:sz w:val="24"/>
          <w:szCs w:val="24"/>
        </w:rPr>
      </w:pPr>
    </w:p>
    <w:p>
      <w:pPr>
        <w:pStyle w:val="BodyText"/>
        <w:spacing w:line="240" w:lineRule="auto"/>
        <w:ind w:left="560" w:right="1205"/>
        <w:jc w:val="left"/>
      </w:pPr>
      <w:r>
        <w:rPr>
          <w:spacing w:val="-2"/>
        </w:rPr>
        <w:t>①为南湖制药在中国银行嘉兴市分行的综合授信提供最高额不超过</w:t>
      </w:r>
      <w:r>
        <w:rPr/>
        <w:t> </w:t>
      </w:r>
      <w:r>
        <w:rPr>
          <w:rFonts w:ascii="Arial" w:hAnsi="Arial" w:cs="Arial" w:eastAsia="Arial" w:hint="default"/>
          <w:spacing w:val="-1"/>
        </w:rPr>
        <w:t>900</w:t>
      </w:r>
      <w:r>
        <w:rPr>
          <w:rFonts w:ascii="Arial" w:hAnsi="Arial" w:cs="Arial" w:eastAsia="Arial" w:hint="default"/>
          <w:spacing w:val="-24"/>
        </w:rPr>
        <w:t> </w:t>
      </w:r>
      <w:r>
        <w:rPr>
          <w:spacing w:val="-2"/>
        </w:rPr>
        <w:t>万元的连带责任保证担</w:t>
      </w:r>
    </w:p>
    <w:p>
      <w:pPr>
        <w:pStyle w:val="BodyText"/>
        <w:spacing w:line="240" w:lineRule="auto" w:before="80"/>
        <w:ind w:right="1205"/>
        <w:jc w:val="left"/>
      </w:pPr>
      <w:r>
        <w:rPr/>
        <w:t>保。截止</w:t>
      </w:r>
      <w:r>
        <w:rPr>
          <w:spacing w:val="-54"/>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6"/>
        </w:rPr>
        <w:t> </w:t>
      </w:r>
      <w:r>
        <w:rPr/>
        <w:t>日，南湖制药在该项保证协议下借款</w:t>
      </w:r>
      <w:r>
        <w:rPr>
          <w:spacing w:val="-54"/>
        </w:rPr>
        <w:t> </w:t>
      </w:r>
      <w:r>
        <w:rPr>
          <w:rFonts w:ascii="Arial" w:hAnsi="Arial" w:cs="Arial" w:eastAsia="Arial" w:hint="default"/>
        </w:rPr>
        <w:t>250.00</w:t>
      </w:r>
      <w:r>
        <w:rPr>
          <w:rFonts w:ascii="Arial" w:hAnsi="Arial" w:cs="Arial" w:eastAsia="Arial" w:hint="default"/>
          <w:spacing w:val="-7"/>
        </w:rPr>
        <w:t> </w:t>
      </w:r>
      <w:r>
        <w:rPr>
          <w:spacing w:val="-3"/>
        </w:rPr>
        <w:t>万元。</w:t>
      </w:r>
      <w:r>
        <w:rPr/>
      </w:r>
    </w:p>
    <w:p>
      <w:pPr>
        <w:spacing w:line="240" w:lineRule="auto" w:before="6"/>
        <w:rPr>
          <w:rFonts w:ascii="宋体" w:hAnsi="宋体" w:cs="宋体" w:eastAsia="宋体" w:hint="default"/>
          <w:sz w:val="24"/>
          <w:szCs w:val="24"/>
        </w:rPr>
      </w:pPr>
    </w:p>
    <w:p>
      <w:pPr>
        <w:pStyle w:val="BodyText"/>
        <w:spacing w:line="240" w:lineRule="auto"/>
        <w:ind w:left="560" w:right="1205"/>
        <w:jc w:val="left"/>
      </w:pPr>
      <w:r>
        <w:rPr/>
        <w:t>②为南湖制药在上海浦东发展银行嘉兴分行借款、办理银行承兑汇票等贸易融资提供最高额为</w:t>
      </w:r>
    </w:p>
    <w:p>
      <w:pPr>
        <w:pStyle w:val="BodyText"/>
        <w:spacing w:line="240" w:lineRule="auto" w:before="92"/>
        <w:ind w:right="1205"/>
        <w:jc w:val="left"/>
        <w:rPr>
          <w:rFonts w:ascii="Arial" w:hAnsi="Arial" w:cs="Arial" w:eastAsia="Arial" w:hint="default"/>
        </w:rPr>
      </w:pPr>
      <w:r>
        <w:rPr>
          <w:rFonts w:ascii="Arial" w:hAnsi="Arial" w:cs="Arial" w:eastAsia="Arial" w:hint="default"/>
        </w:rPr>
        <w:t>2,200</w:t>
      </w:r>
      <w:r>
        <w:rPr>
          <w:rFonts w:ascii="Arial" w:hAnsi="Arial" w:cs="Arial" w:eastAsia="Arial" w:hint="default"/>
          <w:spacing w:val="-9"/>
        </w:rPr>
        <w:t> </w:t>
      </w:r>
      <w:r>
        <w:rPr/>
        <w:t>万元的连带责任保证担保。截止</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日，南湖制药在此保证协议下借款</w:t>
      </w:r>
      <w:r>
        <w:rPr>
          <w:spacing w:val="-54"/>
        </w:rPr>
        <w:t> </w:t>
      </w:r>
      <w:r>
        <w:rPr>
          <w:rFonts w:ascii="Arial" w:hAnsi="Arial" w:cs="Arial" w:eastAsia="Arial" w:hint="default"/>
        </w:rPr>
        <w:t>650.00</w:t>
      </w:r>
    </w:p>
    <w:p>
      <w:pPr>
        <w:pStyle w:val="BodyText"/>
        <w:spacing w:line="240" w:lineRule="auto" w:before="80"/>
        <w:ind w:right="1205"/>
        <w:jc w:val="left"/>
      </w:pPr>
      <w:r>
        <w:rPr/>
        <w:t>万元，办理银行承兑汇票</w:t>
      </w:r>
      <w:r>
        <w:rPr>
          <w:spacing w:val="-56"/>
        </w:rPr>
        <w:t> </w:t>
      </w:r>
      <w:r>
        <w:rPr>
          <w:rFonts w:ascii="Arial" w:hAnsi="Arial" w:cs="Arial" w:eastAsia="Arial" w:hint="default"/>
        </w:rPr>
        <w:t>522.62</w:t>
      </w:r>
      <w:r>
        <w:rPr>
          <w:rFonts w:ascii="Arial" w:hAnsi="Arial" w:cs="Arial" w:eastAsia="Arial" w:hint="default"/>
          <w:spacing w:val="-7"/>
        </w:rPr>
        <w:t> </w:t>
      </w:r>
      <w:r>
        <w:rPr/>
        <w:t>万元。</w:t>
      </w:r>
    </w:p>
    <w:p>
      <w:pPr>
        <w:spacing w:line="240" w:lineRule="auto" w:before="3"/>
        <w:rPr>
          <w:rFonts w:ascii="宋体" w:hAnsi="宋体" w:cs="宋体" w:eastAsia="宋体" w:hint="default"/>
          <w:sz w:val="24"/>
          <w:szCs w:val="24"/>
        </w:rPr>
      </w:pPr>
    </w:p>
    <w:p>
      <w:pPr>
        <w:pStyle w:val="BodyText"/>
        <w:spacing w:line="240" w:lineRule="auto"/>
        <w:ind w:left="560" w:right="1205"/>
        <w:jc w:val="left"/>
        <w:rPr>
          <w:rFonts w:ascii="Arial" w:hAnsi="Arial" w:cs="Arial" w:eastAsia="Arial" w:hint="default"/>
        </w:rPr>
      </w:pPr>
      <w:r>
        <w:rPr>
          <w:spacing w:val="-1"/>
          <w:w w:val="100"/>
        </w:rPr>
        <w:t>③</w:t>
      </w:r>
      <w:r>
        <w:rPr>
          <w:w w:val="100"/>
        </w:rPr>
        <w:t>为</w:t>
      </w:r>
      <w:r>
        <w:rPr>
          <w:spacing w:val="-3"/>
          <w:w w:val="100"/>
        </w:rPr>
        <w:t>南</w:t>
      </w:r>
      <w:r>
        <w:rPr>
          <w:w w:val="100"/>
        </w:rPr>
        <w:t>湖</w:t>
      </w:r>
      <w:r>
        <w:rPr>
          <w:spacing w:val="-3"/>
          <w:w w:val="100"/>
        </w:rPr>
        <w:t>制</w:t>
      </w:r>
      <w:r>
        <w:rPr>
          <w:w w:val="100"/>
        </w:rPr>
        <w:t>药</w:t>
      </w:r>
      <w:r>
        <w:rPr>
          <w:spacing w:val="-3"/>
          <w:w w:val="100"/>
        </w:rPr>
        <w:t>在</w:t>
      </w:r>
      <w:r>
        <w:rPr>
          <w:w w:val="100"/>
        </w:rPr>
        <w:t>嘉</w:t>
      </w:r>
      <w:r>
        <w:rPr>
          <w:spacing w:val="-3"/>
          <w:w w:val="100"/>
        </w:rPr>
        <w:t>兴</w:t>
      </w:r>
      <w:r>
        <w:rPr>
          <w:w w:val="100"/>
        </w:rPr>
        <w:t>市</w:t>
      </w:r>
      <w:r>
        <w:rPr>
          <w:spacing w:val="-3"/>
          <w:w w:val="100"/>
        </w:rPr>
        <w:t>商</w:t>
      </w:r>
      <w:r>
        <w:rPr>
          <w:w w:val="100"/>
        </w:rPr>
        <w:t>业银</w:t>
      </w:r>
      <w:r>
        <w:rPr>
          <w:spacing w:val="-3"/>
          <w:w w:val="100"/>
        </w:rPr>
        <w:t>行</w:t>
      </w:r>
      <w:r>
        <w:rPr>
          <w:w w:val="100"/>
        </w:rPr>
        <w:t>嘉</w:t>
      </w:r>
      <w:r>
        <w:rPr>
          <w:spacing w:val="-3"/>
          <w:w w:val="100"/>
        </w:rPr>
        <w:t>兴</w:t>
      </w:r>
      <w:r>
        <w:rPr>
          <w:w w:val="100"/>
        </w:rPr>
        <w:t>支行</w:t>
      </w:r>
      <w:r>
        <w:rPr>
          <w:spacing w:val="-67"/>
        </w:rPr>
        <w:t> </w:t>
      </w:r>
      <w:r>
        <w:rPr>
          <w:rFonts w:ascii="Arial" w:hAnsi="Arial" w:cs="Arial" w:eastAsia="Arial" w:hint="default"/>
          <w:w w:val="100"/>
        </w:rPr>
        <w:t>300</w:t>
      </w:r>
      <w:r>
        <w:rPr>
          <w:rFonts w:ascii="Arial" w:hAnsi="Arial" w:cs="Arial" w:eastAsia="Arial" w:hint="default"/>
          <w:spacing w:val="-20"/>
        </w:rPr>
        <w:t> </w:t>
      </w:r>
      <w:r>
        <w:rPr>
          <w:w w:val="100"/>
        </w:rPr>
        <w:t>万</w:t>
      </w:r>
      <w:r>
        <w:rPr>
          <w:spacing w:val="-3"/>
          <w:w w:val="100"/>
        </w:rPr>
        <w:t>元</w:t>
      </w:r>
      <w:r>
        <w:rPr>
          <w:w w:val="100"/>
        </w:rPr>
        <w:t>综合</w:t>
      </w:r>
      <w:r>
        <w:rPr>
          <w:spacing w:val="-3"/>
          <w:w w:val="100"/>
        </w:rPr>
        <w:t>授</w:t>
      </w:r>
      <w:r>
        <w:rPr>
          <w:w w:val="100"/>
        </w:rPr>
        <w:t>信</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证担</w:t>
      </w:r>
      <w:r>
        <w:rPr>
          <w:spacing w:val="-3"/>
          <w:w w:val="100"/>
        </w:rPr>
        <w:t>保</w:t>
      </w:r>
      <w:r>
        <w:rPr>
          <w:spacing w:val="-106"/>
          <w:w w:val="100"/>
        </w:rPr>
        <w:t>。</w:t>
      </w:r>
      <w:r>
        <w:rPr>
          <w:spacing w:val="-3"/>
          <w:w w:val="100"/>
        </w:rPr>
        <w:t>截</w:t>
      </w:r>
      <w:r>
        <w:rPr>
          <w:w w:val="100"/>
        </w:rPr>
        <w:t>止</w:t>
      </w:r>
      <w:r>
        <w:rPr>
          <w:spacing w:val="-64"/>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10</w:t>
      </w:r>
    </w:p>
    <w:p>
      <w:pPr>
        <w:pStyle w:val="BodyText"/>
        <w:spacing w:line="240" w:lineRule="auto" w:before="80"/>
        <w:ind w:right="1205"/>
        <w:jc w:val="left"/>
      </w:pP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日，南湖制药在此保证协议下办理银行承兑汇票</w:t>
      </w:r>
      <w:r>
        <w:rPr>
          <w:spacing w:val="-53"/>
        </w:rPr>
        <w:t> </w:t>
      </w:r>
      <w:r>
        <w:rPr>
          <w:rFonts w:ascii="Arial" w:hAnsi="Arial" w:cs="Arial" w:eastAsia="Arial" w:hint="default"/>
        </w:rPr>
        <w:t>189.92</w:t>
      </w:r>
      <w:r>
        <w:rPr>
          <w:rFonts w:ascii="Arial" w:hAnsi="Arial" w:cs="Arial" w:eastAsia="Arial" w:hint="default"/>
          <w:spacing w:val="-7"/>
        </w:rPr>
        <w:t> </w:t>
      </w:r>
      <w:r>
        <w:rPr/>
        <w:t>万元。</w:t>
      </w:r>
    </w:p>
    <w:p>
      <w:pPr>
        <w:spacing w:line="240" w:lineRule="auto" w:before="3"/>
        <w:rPr>
          <w:rFonts w:ascii="宋体" w:hAnsi="宋体" w:cs="宋体" w:eastAsia="宋体" w:hint="default"/>
          <w:sz w:val="24"/>
          <w:szCs w:val="24"/>
        </w:rPr>
      </w:pPr>
    </w:p>
    <w:p>
      <w:pPr>
        <w:pStyle w:val="BodyText"/>
        <w:spacing w:line="348" w:lineRule="auto"/>
        <w:ind w:right="1205" w:firstLine="420"/>
        <w:jc w:val="left"/>
      </w:pPr>
      <w:r>
        <w:rPr/>
        <w:t>南湖制药系原控股子公司华立科泰之子公司，由于公司同意将所持华立科泰</w:t>
      </w:r>
      <w:r>
        <w:rPr>
          <w:spacing w:val="6"/>
        </w:rPr>
        <w:t> </w:t>
      </w:r>
      <w:r>
        <w:rPr>
          <w:rFonts w:ascii="Arial" w:hAnsi="Arial" w:cs="Arial" w:eastAsia="Arial" w:hint="default"/>
        </w:rPr>
        <w:t>99.52%</w:t>
      </w:r>
      <w:r>
        <w:rPr/>
        <w:t>全部转让</w:t>
      </w:r>
      <w:r>
        <w:rPr>
          <w:w w:val="100"/>
        </w:rPr>
        <w:t> </w:t>
      </w:r>
      <w:r>
        <w:rPr>
          <w:spacing w:val="-4"/>
        </w:rPr>
        <w:t>给华立集团的全资子公司华方医药科技有限公司，转让完成后，华立科泰将不再是公司控股子公司，</w:t>
      </w:r>
      <w:r>
        <w:rPr>
          <w:spacing w:val="-44"/>
        </w:rPr>
        <w:t> </w:t>
      </w:r>
      <w:r>
        <w:rPr>
          <w:spacing w:val="-44"/>
        </w:rPr>
      </w:r>
      <w:r>
        <w:rPr>
          <w:spacing w:val="-2"/>
          <w:w w:val="100"/>
        </w:rPr>
        <w:t>因此公司于</w:t>
      </w:r>
      <w:r>
        <w:rPr>
          <w:spacing w:val="-53"/>
          <w:w w:val="100"/>
        </w:rPr>
        <w:t> </w:t>
      </w:r>
      <w:r>
        <w:rPr>
          <w:rFonts w:ascii="Arial" w:hAnsi="Arial" w:cs="Arial" w:eastAsia="Arial" w:hint="default"/>
          <w:spacing w:val="-1"/>
          <w:w w:val="100"/>
        </w:rPr>
        <w:t>2010</w:t>
      </w:r>
      <w:r>
        <w:rPr>
          <w:rFonts w:ascii="Arial" w:hAnsi="Arial" w:cs="Arial" w:eastAsia="Arial" w:hint="default"/>
          <w:spacing w:val="42"/>
          <w:w w:val="100"/>
        </w:rPr>
        <w:t> </w:t>
      </w:r>
      <w:r>
        <w:rPr>
          <w:w w:val="100"/>
        </w:rPr>
        <w:t>年</w:t>
      </w:r>
      <w:r>
        <w:rPr>
          <w:spacing w:val="-55"/>
          <w:w w:val="100"/>
        </w:rPr>
        <w:t> </w:t>
      </w:r>
      <w:r>
        <w:rPr>
          <w:rFonts w:ascii="Arial" w:hAnsi="Arial" w:cs="Arial" w:eastAsia="Arial" w:hint="default"/>
          <w:w w:val="100"/>
        </w:rPr>
        <w:t>10</w:t>
      </w:r>
      <w:r>
        <w:rPr>
          <w:rFonts w:ascii="Arial" w:hAnsi="Arial" w:cs="Arial" w:eastAsia="Arial" w:hint="default"/>
          <w:spacing w:val="39"/>
          <w:w w:val="100"/>
        </w:rPr>
        <w:t> </w:t>
      </w:r>
      <w:r>
        <w:rPr>
          <w:w w:val="100"/>
        </w:rPr>
        <w:t>月</w:t>
      </w:r>
      <w:r>
        <w:rPr>
          <w:spacing w:val="-52"/>
          <w:w w:val="100"/>
        </w:rPr>
        <w:t> </w:t>
      </w:r>
      <w:r>
        <w:rPr>
          <w:rFonts w:ascii="Arial" w:hAnsi="Arial" w:cs="Arial" w:eastAsia="Arial" w:hint="default"/>
          <w:w w:val="100"/>
        </w:rPr>
        <w:t>12</w:t>
      </w:r>
      <w:r>
        <w:rPr>
          <w:rFonts w:ascii="Arial" w:hAnsi="Arial" w:cs="Arial" w:eastAsia="Arial" w:hint="default"/>
          <w:spacing w:val="39"/>
          <w:w w:val="100"/>
        </w:rPr>
        <w:t> </w:t>
      </w:r>
      <w:r>
        <w:rPr>
          <w:spacing w:val="-6"/>
          <w:w w:val="100"/>
        </w:rPr>
        <w:t>日与华立集团签署了《反担保协议》，在担保责任解除之前，华立集</w:t>
      </w:r>
    </w:p>
    <w:p>
      <w:pPr>
        <w:spacing w:after="0" w:line="348" w:lineRule="auto"/>
        <w:jc w:val="left"/>
        <w:sectPr>
          <w:pgSz w:w="11910" w:h="16840"/>
          <w:pgMar w:header="884" w:footer="1013" w:top="1080" w:bottom="1200" w:left="1300" w:right="0"/>
        </w:sectPr>
      </w:pPr>
    </w:p>
    <w:p>
      <w:pPr>
        <w:pStyle w:val="BodyText"/>
        <w:spacing w:line="240" w:lineRule="auto" w:before="30"/>
        <w:ind w:left="160" w:right="1326"/>
        <w:jc w:val="left"/>
      </w:pPr>
      <w:r>
        <w:rPr/>
        <w:pict>
          <v:group style="position:absolute;margin-left:70.584pt;margin-top:2.843696pt;width:436.3pt;height:.1pt;mso-position-horizontal-relative:page;mso-position-vertical-relative:paragraph;z-index:-635848" coordorigin="1412,57" coordsize="8726,2">
            <v:shape style="position:absolute;left:1412;top:57;width:8726;height:2" coordorigin="1412,57" coordsize="8726,0" path="m1412,57l10137,57e" filled="false" stroked="true" strokeweight=".72pt" strokecolor="#000000">
              <v:path arrowok="t"/>
            </v:shape>
            <w10:wrap type="none"/>
          </v:group>
        </w:pict>
      </w:r>
      <w:r>
        <w:rPr/>
        <w:t>团将为上述担保提供对应的反担保。</w:t>
      </w:r>
    </w:p>
    <w:p>
      <w:pPr>
        <w:pStyle w:val="BodyText"/>
        <w:spacing w:line="640" w:lineRule="atLeast" w:before="25"/>
        <w:ind w:left="580" w:right="1422"/>
        <w:jc w:val="left"/>
      </w:pPr>
      <w:r>
        <w:rPr/>
        <w:t>（</w:t>
      </w:r>
      <w:r>
        <w:rPr>
          <w:rFonts w:ascii="Arial" w:hAnsi="Arial" w:cs="Arial" w:eastAsia="Arial" w:hint="default"/>
        </w:rPr>
        <w:t>3</w:t>
      </w:r>
      <w:r>
        <w:rPr/>
        <w:t>）本公司为子公司提供担保如下：</w:t>
      </w:r>
      <w:r>
        <w:rPr>
          <w:w w:val="100"/>
        </w:rPr>
        <w:t> </w:t>
      </w:r>
      <w:r>
        <w:rPr/>
        <w:t>本公司为子公司重庆美联制药有限公司在重庆银行临江门支行的 </w:t>
      </w:r>
      <w:r>
        <w:rPr>
          <w:rFonts w:ascii="Arial" w:hAnsi="Arial" w:cs="Arial" w:eastAsia="Arial" w:hint="default"/>
        </w:rPr>
        <w:t>1,100.00 </w:t>
      </w:r>
      <w:r>
        <w:rPr>
          <w:rFonts w:ascii="Arial" w:hAnsi="Arial" w:cs="Arial" w:eastAsia="Arial" w:hint="default"/>
          <w:spacing w:val="5"/>
        </w:rPr>
        <w:t> </w:t>
      </w:r>
      <w:r>
        <w:rPr/>
        <w:t>万元短期借款提供</w:t>
      </w:r>
    </w:p>
    <w:p>
      <w:pPr>
        <w:pStyle w:val="BodyText"/>
        <w:spacing w:line="240" w:lineRule="auto" w:before="120"/>
        <w:ind w:left="160" w:right="1326"/>
        <w:jc w:val="left"/>
      </w:pPr>
      <w:r>
        <w:rPr/>
        <w:t>连带责任保证担保。</w:t>
      </w:r>
    </w:p>
    <w:p>
      <w:pPr>
        <w:spacing w:line="240" w:lineRule="auto" w:before="7"/>
        <w:rPr>
          <w:rFonts w:ascii="宋体" w:hAnsi="宋体" w:cs="宋体" w:eastAsia="宋体" w:hint="default"/>
          <w:sz w:val="28"/>
          <w:szCs w:val="28"/>
        </w:rPr>
      </w:pPr>
    </w:p>
    <w:p>
      <w:pPr>
        <w:pStyle w:val="BodyText"/>
        <w:spacing w:line="240" w:lineRule="auto"/>
        <w:ind w:left="580" w:right="1326"/>
        <w:jc w:val="left"/>
      </w:pPr>
      <w:r>
        <w:rPr/>
        <w:t>（</w:t>
      </w:r>
      <w:r>
        <w:rPr>
          <w:rFonts w:ascii="Arial" w:hAnsi="Arial" w:cs="Arial" w:eastAsia="Arial" w:hint="default"/>
        </w:rPr>
        <w:t>4</w:t>
      </w:r>
      <w:r>
        <w:rPr/>
        <w:t>）子公司间担保情况如下：</w:t>
      </w:r>
    </w:p>
    <w:p>
      <w:pPr>
        <w:spacing w:line="240" w:lineRule="auto" w:before="7"/>
        <w:rPr>
          <w:rFonts w:ascii="宋体" w:hAnsi="宋体" w:cs="宋体" w:eastAsia="宋体" w:hint="default"/>
          <w:sz w:val="27"/>
          <w:szCs w:val="27"/>
        </w:rPr>
      </w:pPr>
    </w:p>
    <w:p>
      <w:pPr>
        <w:pStyle w:val="BodyText"/>
        <w:spacing w:line="240" w:lineRule="auto"/>
        <w:ind w:left="580" w:right="1326"/>
        <w:jc w:val="left"/>
        <w:rPr>
          <w:rFonts w:ascii="Arial" w:hAnsi="Arial" w:cs="Arial" w:eastAsia="Arial" w:hint="default"/>
        </w:rPr>
      </w:pPr>
      <w:r>
        <w:rPr/>
        <w:t>重庆泰捷仪器仪表有限公司以账面价值为 </w:t>
      </w:r>
      <w:r>
        <w:rPr>
          <w:rFonts w:ascii="Arial" w:hAnsi="Arial" w:cs="Arial" w:eastAsia="Arial" w:hint="default"/>
        </w:rPr>
        <w:t>1,650.79 </w:t>
      </w:r>
      <w:r>
        <w:rPr/>
        <w:t>万元的房屋建筑物连同账面价值为</w:t>
      </w:r>
      <w:r>
        <w:rPr>
          <w:spacing w:val="-58"/>
        </w:rPr>
        <w:t> </w:t>
      </w:r>
      <w:r>
        <w:rPr>
          <w:rFonts w:ascii="Arial" w:hAnsi="Arial" w:cs="Arial" w:eastAsia="Arial" w:hint="default"/>
        </w:rPr>
        <w:t>672.20</w:t>
      </w:r>
    </w:p>
    <w:p>
      <w:pPr>
        <w:pStyle w:val="BodyText"/>
        <w:spacing w:line="240" w:lineRule="auto" w:before="120"/>
        <w:ind w:left="160" w:right="1326"/>
        <w:jc w:val="left"/>
      </w:pPr>
      <w:r>
        <w:rPr/>
        <w:t>万元的土地使用权为重庆华虹仪表有限公司</w:t>
      </w:r>
      <w:r>
        <w:rPr>
          <w:spacing w:val="-55"/>
        </w:rPr>
        <w:t> </w:t>
      </w:r>
      <w:r>
        <w:rPr>
          <w:rFonts w:ascii="Arial" w:hAnsi="Arial" w:cs="Arial" w:eastAsia="Arial" w:hint="default"/>
        </w:rPr>
        <w:t>800.00</w:t>
      </w:r>
      <w:r>
        <w:rPr>
          <w:rFonts w:ascii="Arial" w:hAnsi="Arial" w:cs="Arial" w:eastAsia="Arial" w:hint="default"/>
          <w:spacing w:val="-10"/>
        </w:rPr>
        <w:t> </w:t>
      </w:r>
      <w:r>
        <w:rPr/>
        <w:t>万元短期借款提供抵押担保。</w:t>
      </w:r>
    </w:p>
    <w:p>
      <w:pPr>
        <w:spacing w:line="240" w:lineRule="auto" w:before="6"/>
        <w:rPr>
          <w:rFonts w:ascii="宋体" w:hAnsi="宋体" w:cs="宋体" w:eastAsia="宋体" w:hint="default"/>
          <w:sz w:val="27"/>
          <w:szCs w:val="27"/>
        </w:rPr>
      </w:pPr>
    </w:p>
    <w:p>
      <w:pPr>
        <w:pStyle w:val="Heading4"/>
        <w:spacing w:line="240" w:lineRule="auto"/>
        <w:ind w:left="580" w:right="1326"/>
        <w:jc w:val="left"/>
        <w:rPr>
          <w:b w:val="0"/>
          <w:bCs w:val="0"/>
        </w:rPr>
      </w:pPr>
      <w:r>
        <w:rPr>
          <w:rFonts w:ascii="Arial" w:hAnsi="Arial" w:cs="Arial" w:eastAsia="Arial" w:hint="default"/>
        </w:rPr>
        <w:t>5. </w:t>
      </w:r>
      <w:r>
        <w:rPr>
          <w:rFonts w:ascii="Arial" w:hAnsi="Arial" w:cs="Arial" w:eastAsia="Arial" w:hint="default"/>
          <w:spacing w:val="41"/>
        </w:rPr>
        <w:t> </w:t>
      </w:r>
      <w:r>
        <w:rPr/>
        <w:t>股权转让</w:t>
      </w:r>
      <w:r>
        <w:rPr>
          <w:b w:val="0"/>
          <w:bCs w:val="0"/>
        </w:rPr>
      </w:r>
    </w:p>
    <w:p>
      <w:pPr>
        <w:pStyle w:val="BodyText"/>
        <w:spacing w:line="340" w:lineRule="auto" w:before="180"/>
        <w:ind w:left="160" w:right="1430" w:firstLine="424"/>
        <w:jc w:val="both"/>
      </w:pPr>
      <w:r>
        <w:rPr>
          <w:rFonts w:ascii="Arial" w:hAnsi="Arial" w:cs="Arial" w:eastAsia="Arial" w:hint="default"/>
          <w:spacing w:val="-6"/>
          <w:w w:val="100"/>
        </w:rPr>
        <w:t>2010</w:t>
      </w:r>
      <w:r>
        <w:rPr>
          <w:spacing w:val="-6"/>
          <w:w w:val="100"/>
        </w:rPr>
        <w:t>年</w:t>
      </w:r>
      <w:r>
        <w:rPr>
          <w:rFonts w:ascii="Arial" w:hAnsi="Arial" w:cs="Arial" w:eastAsia="Arial" w:hint="default"/>
          <w:spacing w:val="-6"/>
          <w:w w:val="100"/>
        </w:rPr>
        <w:t>8</w:t>
      </w:r>
      <w:r>
        <w:rPr>
          <w:spacing w:val="-6"/>
          <w:w w:val="100"/>
        </w:rPr>
        <w:t>月</w:t>
      </w:r>
      <w:r>
        <w:rPr>
          <w:rFonts w:ascii="Arial" w:hAnsi="Arial" w:cs="Arial" w:eastAsia="Arial" w:hint="default"/>
          <w:spacing w:val="-6"/>
          <w:w w:val="100"/>
        </w:rPr>
        <w:t>30</w:t>
      </w:r>
      <w:r>
        <w:rPr>
          <w:spacing w:val="-6"/>
          <w:w w:val="100"/>
        </w:rPr>
        <w:t>日，公司与大股东华立集团、华方医药三方签署了《股权转让协议》，将公司所持</w:t>
      </w:r>
      <w:r>
        <w:rPr>
          <w:w w:val="100"/>
        </w:rPr>
        <w:t> </w:t>
      </w:r>
      <w:r>
        <w:rPr>
          <w:spacing w:val="-4"/>
        </w:rPr>
        <w:t>有子公司华立科泰</w:t>
      </w:r>
      <w:r>
        <w:rPr>
          <w:rFonts w:ascii="Arial" w:hAnsi="Arial" w:cs="Arial" w:eastAsia="Arial" w:hint="default"/>
          <w:spacing w:val="-4"/>
        </w:rPr>
        <w:t>99.52%</w:t>
      </w:r>
      <w:r>
        <w:rPr>
          <w:spacing w:val="-4"/>
        </w:rPr>
        <w:t>的股权全部转让给华方医药。公司与华立集团、华方医药商定，以华立集</w:t>
      </w:r>
      <w:r>
        <w:rPr>
          <w:spacing w:val="-14"/>
        </w:rPr>
        <w:t> </w:t>
      </w:r>
      <w:r>
        <w:rPr>
          <w:spacing w:val="-14"/>
        </w:rPr>
      </w:r>
      <w:r>
        <w:rPr>
          <w:spacing w:val="-2"/>
        </w:rPr>
        <w:t>团所持有华立仪表的全部或部分股权代全资子公司华方医药支付其收购华立科泰的对价。公司、华</w:t>
      </w:r>
      <w:r>
        <w:rPr>
          <w:spacing w:val="-30"/>
        </w:rPr>
        <w:t> </w:t>
      </w:r>
      <w:r>
        <w:rPr>
          <w:spacing w:val="-30"/>
        </w:rPr>
      </w:r>
      <w:r>
        <w:rPr>
          <w:spacing w:val="-1"/>
        </w:rPr>
        <w:t>方医药、华立集团共同委托北京天健兴业资产评估有限公司对华立仪表、华立科泰截止</w:t>
      </w:r>
      <w:r>
        <w:rPr>
          <w:rFonts w:ascii="Arial" w:hAnsi="Arial" w:cs="Arial" w:eastAsia="Arial" w:hint="default"/>
          <w:spacing w:val="-1"/>
        </w:rPr>
        <w:t>2010</w:t>
      </w:r>
      <w:r>
        <w:rPr>
          <w:spacing w:val="-1"/>
        </w:rPr>
        <w:t>年</w:t>
      </w:r>
      <w:r>
        <w:rPr>
          <w:rFonts w:ascii="Arial" w:hAnsi="Arial" w:cs="Arial" w:eastAsia="Arial" w:hint="default"/>
          <w:spacing w:val="-1"/>
        </w:rPr>
        <w:t>4</w:t>
      </w:r>
      <w:r>
        <w:rPr>
          <w:spacing w:val="-1"/>
        </w:rPr>
        <w:t>月</w:t>
      </w:r>
      <w:r>
        <w:rPr>
          <w:spacing w:val="-20"/>
        </w:rPr>
        <w:t> </w:t>
      </w:r>
      <w:r>
        <w:rPr>
          <w:rFonts w:ascii="Arial" w:hAnsi="Arial" w:cs="Arial" w:eastAsia="Arial" w:hint="default"/>
        </w:rPr>
        <w:t>30</w:t>
      </w:r>
      <w:r>
        <w:rPr/>
        <w:t>日的资产价值进行了评估，北京天健兴业资产评估有限公司出具了天兴评报字</w:t>
      </w:r>
      <w:r>
        <w:rPr>
          <w:rFonts w:ascii="Arial" w:hAnsi="Arial" w:cs="Arial" w:eastAsia="Arial" w:hint="default"/>
        </w:rPr>
        <w:t>(2010)</w:t>
      </w:r>
      <w:r>
        <w:rPr/>
        <w:t>第</w:t>
      </w:r>
      <w:r>
        <w:rPr>
          <w:rFonts w:ascii="Arial" w:hAnsi="Arial" w:cs="Arial" w:eastAsia="Arial" w:hint="default"/>
        </w:rPr>
        <w:t>219</w:t>
      </w:r>
      <w:r>
        <w:rPr/>
        <w:t>号、</w:t>
      </w:r>
      <w:r>
        <w:rPr>
          <w:spacing w:val="-41"/>
        </w:rPr>
        <w:t> </w:t>
      </w:r>
      <w:r>
        <w:rPr>
          <w:spacing w:val="-41"/>
        </w:rPr>
      </w:r>
      <w:r>
        <w:rPr>
          <w:spacing w:val="-2"/>
        </w:rPr>
        <w:t>天兴评报字（</w:t>
      </w:r>
      <w:r>
        <w:rPr>
          <w:rFonts w:ascii="Arial" w:hAnsi="Arial" w:cs="Arial" w:eastAsia="Arial" w:hint="default"/>
          <w:spacing w:val="-2"/>
        </w:rPr>
        <w:t>2010</w:t>
      </w:r>
      <w:r>
        <w:rPr>
          <w:spacing w:val="-2"/>
        </w:rPr>
        <w:t>）第</w:t>
      </w:r>
      <w:r>
        <w:rPr>
          <w:rFonts w:ascii="Arial" w:hAnsi="Arial" w:cs="Arial" w:eastAsia="Arial" w:hint="default"/>
          <w:spacing w:val="-2"/>
        </w:rPr>
        <w:t>218</w:t>
      </w:r>
      <w:r>
        <w:rPr>
          <w:spacing w:val="-2"/>
        </w:rPr>
        <w:t>号评估报告，三方约定以评估后的每股净资产价值作为交易价格。</w:t>
      </w:r>
      <w:r>
        <w:rPr>
          <w:rFonts w:ascii="Arial" w:hAnsi="Arial" w:cs="Arial" w:eastAsia="Arial" w:hint="default"/>
          <w:spacing w:val="-2"/>
        </w:rPr>
        <w:t>2010 </w:t>
      </w:r>
      <w:r>
        <w:rPr>
          <w:spacing w:val="-3"/>
          <w:w w:val="100"/>
        </w:rPr>
        <w:t>年</w:t>
      </w:r>
      <w:r>
        <w:rPr>
          <w:rFonts w:ascii="Arial" w:hAnsi="Arial" w:cs="Arial" w:eastAsia="Arial" w:hint="default"/>
          <w:spacing w:val="-3"/>
          <w:w w:val="100"/>
        </w:rPr>
        <w:t>10</w:t>
      </w:r>
      <w:r>
        <w:rPr>
          <w:spacing w:val="-3"/>
          <w:w w:val="100"/>
        </w:rPr>
        <w:t>月</w:t>
      </w:r>
      <w:r>
        <w:rPr>
          <w:rFonts w:ascii="Arial" w:hAnsi="Arial" w:cs="Arial" w:eastAsia="Arial" w:hint="default"/>
          <w:spacing w:val="-3"/>
          <w:w w:val="100"/>
        </w:rPr>
        <w:t>12</w:t>
      </w:r>
      <w:r>
        <w:rPr>
          <w:spacing w:val="-3"/>
          <w:w w:val="100"/>
        </w:rPr>
        <w:t>日，公司与华立集团、华方医药三方签署了《华立科泰股权转让补充协议》：华立集团将</w:t>
      </w:r>
      <w:r>
        <w:rPr>
          <w:spacing w:val="-77"/>
          <w:w w:val="100"/>
        </w:rPr>
        <w:t> </w:t>
      </w:r>
      <w:r>
        <w:rPr>
          <w:spacing w:val="-77"/>
          <w:w w:val="100"/>
        </w:rPr>
      </w:r>
      <w:r>
        <w:rPr>
          <w:spacing w:val="-3"/>
          <w:w w:val="100"/>
        </w:rPr>
        <w:t>其所持华立仪表股份</w:t>
      </w:r>
      <w:r>
        <w:rPr>
          <w:rFonts w:ascii="Arial" w:hAnsi="Arial" w:cs="Arial" w:eastAsia="Arial" w:hint="default"/>
          <w:spacing w:val="-3"/>
          <w:w w:val="100"/>
        </w:rPr>
        <w:t>39,638,836</w:t>
      </w:r>
      <w:r>
        <w:rPr>
          <w:spacing w:val="-3"/>
          <w:w w:val="100"/>
        </w:rPr>
        <w:t>股（占华立仪表总股本的比例为</w:t>
      </w:r>
      <w:r>
        <w:rPr>
          <w:rFonts w:ascii="Arial" w:hAnsi="Arial" w:cs="Arial" w:eastAsia="Arial" w:hint="default"/>
          <w:spacing w:val="-3"/>
          <w:w w:val="100"/>
        </w:rPr>
        <w:t>21.83%</w:t>
      </w:r>
      <w:r>
        <w:rPr>
          <w:spacing w:val="-3"/>
          <w:w w:val="100"/>
        </w:rPr>
        <w:t>），每股作价</w:t>
      </w:r>
      <w:r>
        <w:rPr>
          <w:rFonts w:ascii="Arial" w:hAnsi="Arial" w:cs="Arial" w:eastAsia="Arial" w:hint="default"/>
          <w:spacing w:val="-3"/>
          <w:w w:val="100"/>
        </w:rPr>
        <w:t>3.59</w:t>
      </w:r>
      <w:r>
        <w:rPr>
          <w:spacing w:val="-3"/>
          <w:w w:val="100"/>
        </w:rPr>
        <w:t>元转让给</w:t>
      </w:r>
      <w:r>
        <w:rPr>
          <w:spacing w:val="-78"/>
          <w:w w:val="100"/>
        </w:rPr>
        <w:t> </w:t>
      </w:r>
      <w:r>
        <w:rPr>
          <w:spacing w:val="-78"/>
          <w:w w:val="100"/>
        </w:rPr>
      </w:r>
      <w:r>
        <w:rPr>
          <w:spacing w:val="-6"/>
        </w:rPr>
        <w:t>公司，计</w:t>
      </w:r>
      <w:r>
        <w:rPr>
          <w:rFonts w:ascii="Arial" w:hAnsi="Arial" w:cs="Arial" w:eastAsia="Arial" w:hint="default"/>
          <w:spacing w:val="-6"/>
        </w:rPr>
        <w:t>14,232.06</w:t>
      </w:r>
      <w:r>
        <w:rPr>
          <w:spacing w:val="-6"/>
        </w:rPr>
        <w:t>万元，并另行支付公司现金</w:t>
      </w:r>
      <w:r>
        <w:rPr>
          <w:rFonts w:ascii="Arial" w:hAnsi="Arial" w:cs="Arial" w:eastAsia="Arial" w:hint="default"/>
          <w:spacing w:val="-6"/>
        </w:rPr>
        <w:t>200.00</w:t>
      </w:r>
      <w:r>
        <w:rPr>
          <w:spacing w:val="-6"/>
        </w:rPr>
        <w:t>万元，合计</w:t>
      </w:r>
      <w:r>
        <w:rPr>
          <w:rFonts w:ascii="Arial" w:hAnsi="Arial" w:cs="Arial" w:eastAsia="Arial" w:hint="default"/>
          <w:spacing w:val="-6"/>
        </w:rPr>
        <w:t>14,432.06</w:t>
      </w:r>
      <w:r>
        <w:rPr>
          <w:spacing w:val="-6"/>
        </w:rPr>
        <w:t>万元，用以抵偿扣减</w:t>
      </w:r>
      <w:r>
        <w:rPr>
          <w:rFonts w:ascii="Arial" w:hAnsi="Arial" w:cs="Arial" w:eastAsia="Arial" w:hint="default"/>
          <w:spacing w:val="-6"/>
        </w:rPr>
        <w:t>2010</w:t>
      </w:r>
      <w:r>
        <w:rPr>
          <w:rFonts w:ascii="Arial" w:hAnsi="Arial" w:cs="Arial" w:eastAsia="Arial" w:hint="default"/>
          <w:spacing w:val="24"/>
        </w:rPr>
        <w:t> </w:t>
      </w:r>
      <w:r>
        <w:rPr>
          <w:rFonts w:ascii="Arial" w:hAnsi="Arial" w:cs="Arial" w:eastAsia="Arial" w:hint="default"/>
          <w:spacing w:val="24"/>
        </w:rPr>
      </w:r>
      <w:r>
        <w:rPr/>
        <w:t>年</w:t>
      </w:r>
      <w:r>
        <w:rPr>
          <w:rFonts w:ascii="Arial" w:hAnsi="Arial" w:cs="Arial" w:eastAsia="Arial" w:hint="default"/>
        </w:rPr>
        <w:t>5-9</w:t>
      </w:r>
      <w:r>
        <w:rPr/>
        <w:t>月经营亏损后的华立科泰</w:t>
      </w:r>
      <w:r>
        <w:rPr>
          <w:rFonts w:ascii="Arial" w:hAnsi="Arial" w:cs="Arial" w:eastAsia="Arial" w:hint="default"/>
        </w:rPr>
        <w:t>99.52%</w:t>
      </w:r>
      <w:r>
        <w:rPr/>
        <w:t>股权价值</w:t>
      </w:r>
      <w:r>
        <w:rPr>
          <w:rFonts w:ascii="Arial" w:hAnsi="Arial" w:cs="Arial" w:eastAsia="Arial" w:hint="default"/>
        </w:rPr>
        <w:t>11,164.98</w:t>
      </w:r>
      <w:r>
        <w:rPr/>
        <w:t>万元及一次性清偿华立科泰及其子公司</w:t>
      </w:r>
      <w:r>
        <w:rPr>
          <w:spacing w:val="25"/>
        </w:rPr>
        <w:t> </w:t>
      </w:r>
      <w:r>
        <w:rPr>
          <w:spacing w:val="25"/>
        </w:rPr>
      </w:r>
      <w:r>
        <w:rPr/>
        <w:t>欠公司的</w:t>
      </w:r>
      <w:r>
        <w:rPr>
          <w:rFonts w:ascii="Arial" w:hAnsi="Arial" w:cs="Arial" w:eastAsia="Arial" w:hint="default"/>
        </w:rPr>
        <w:t>3,267.08</w:t>
      </w:r>
      <w:r>
        <w:rPr/>
        <w:t>万元。</w:t>
      </w:r>
    </w:p>
    <w:p>
      <w:pPr>
        <w:pStyle w:val="BodyText"/>
        <w:spacing w:line="338" w:lineRule="auto" w:before="22"/>
        <w:ind w:left="160" w:right="1326" w:firstLine="424"/>
        <w:jc w:val="left"/>
      </w:pPr>
      <w:r>
        <w:rPr>
          <w:spacing w:val="-3"/>
        </w:rPr>
        <w:t>该事项业经公司</w:t>
      </w:r>
      <w:r>
        <w:rPr>
          <w:rFonts w:ascii="Arial" w:hAnsi="Arial" w:cs="Arial" w:eastAsia="Arial" w:hint="default"/>
          <w:spacing w:val="-3"/>
        </w:rPr>
        <w:t>2010</w:t>
      </w:r>
      <w:r>
        <w:rPr>
          <w:spacing w:val="-3"/>
        </w:rPr>
        <w:t>年第三次临时股东大会决议通过。截止报告日，公司已收到华立集团支付</w:t>
      </w:r>
      <w:r>
        <w:rPr>
          <w:w w:val="100"/>
        </w:rPr>
        <w:t> </w:t>
      </w:r>
      <w:r>
        <w:rPr/>
        <w:t>的现金</w:t>
      </w:r>
      <w:r>
        <w:rPr>
          <w:rFonts w:ascii="Arial" w:hAnsi="Arial" w:cs="Arial" w:eastAsia="Arial" w:hint="default"/>
        </w:rPr>
        <w:t>200</w:t>
      </w:r>
      <w:r>
        <w:rPr/>
        <w:t>万元，华立科泰与华立仪表已办妥股权过户手续。</w:t>
      </w:r>
    </w:p>
    <w:p>
      <w:pPr>
        <w:pStyle w:val="Heading4"/>
        <w:tabs>
          <w:tab w:pos="1009" w:val="left" w:leader="none"/>
        </w:tabs>
        <w:spacing w:line="240" w:lineRule="auto" w:before="144"/>
        <w:ind w:left="580" w:right="1326"/>
        <w:jc w:val="left"/>
        <w:rPr>
          <w:b w:val="0"/>
          <w:bCs w:val="0"/>
        </w:rPr>
      </w:pPr>
      <w:r>
        <w:rPr>
          <w:rFonts w:ascii="Arial" w:hAnsi="Arial" w:cs="Arial" w:eastAsia="Arial" w:hint="default"/>
        </w:rPr>
        <w:t>6.</w:t>
        <w:tab/>
      </w:r>
      <w:r>
        <w:rPr/>
        <w:t>资产转让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578" w:right="1326"/>
        <w:jc w:val="left"/>
      </w:pPr>
      <w:r>
        <w:rPr>
          <w:spacing w:val="8"/>
        </w:rPr>
        <w:t>本年子公司华立仪表以账面价值向浙江华立电力科技有限公司出售固定资产一批，金额为</w:t>
      </w:r>
    </w:p>
    <w:p>
      <w:pPr>
        <w:pStyle w:val="BodyText"/>
        <w:spacing w:line="240" w:lineRule="auto" w:before="133"/>
        <w:ind w:left="160" w:right="1326"/>
        <w:jc w:val="left"/>
      </w:pPr>
      <w:r>
        <w:rPr>
          <w:rFonts w:ascii="Arial" w:hAnsi="Arial" w:cs="Arial" w:eastAsia="Arial" w:hint="default"/>
        </w:rPr>
        <w:t>8,633,704.63</w:t>
      </w:r>
      <w:r>
        <w:rPr>
          <w:rFonts w:ascii="Arial" w:hAnsi="Arial" w:cs="Arial" w:eastAsia="Arial" w:hint="default"/>
          <w:spacing w:val="-4"/>
        </w:rPr>
        <w:t> </w:t>
      </w:r>
      <w:r>
        <w:rPr/>
        <w:t>元。</w:t>
      </w:r>
    </w:p>
    <w:p>
      <w:pPr>
        <w:spacing w:line="240" w:lineRule="auto" w:before="0"/>
        <w:rPr>
          <w:rFonts w:ascii="宋体" w:hAnsi="宋体" w:cs="宋体" w:eastAsia="宋体" w:hint="default"/>
          <w:sz w:val="23"/>
          <w:szCs w:val="23"/>
        </w:rPr>
      </w:pPr>
    </w:p>
    <w:p>
      <w:pPr>
        <w:pStyle w:val="Heading4"/>
        <w:spacing w:line="240" w:lineRule="auto"/>
        <w:ind w:left="522" w:right="1326"/>
        <w:jc w:val="left"/>
        <w:rPr>
          <w:b w:val="0"/>
          <w:bCs w:val="0"/>
        </w:rPr>
      </w:pPr>
      <w:r>
        <w:rPr/>
        <w:t>（三）</w:t>
      </w:r>
      <w:r>
        <w:rPr>
          <w:spacing w:val="-27"/>
        </w:rPr>
        <w:t> </w:t>
      </w:r>
      <w:r>
        <w:rPr/>
        <w:t>关联方往来款项余额</w:t>
      </w:r>
      <w:r>
        <w:rPr>
          <w:b w:val="0"/>
          <w:bCs w:val="0"/>
        </w:rPr>
      </w:r>
    </w:p>
    <w:p>
      <w:pPr>
        <w:spacing w:line="240" w:lineRule="auto" w:before="2"/>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2813"/>
        <w:gridCol w:w="1226"/>
        <w:gridCol w:w="1397"/>
        <w:gridCol w:w="1159"/>
        <w:gridCol w:w="1397"/>
        <w:gridCol w:w="1109"/>
      </w:tblGrid>
      <w:tr>
        <w:trPr>
          <w:trHeight w:val="391"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2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25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72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50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70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84" w:hRule="exact"/>
        </w:trPr>
        <w:tc>
          <w:tcPr>
            <w:tcW w:w="2813" w:type="dxa"/>
            <w:vMerge/>
            <w:tcBorders>
              <w:left w:val="nil" w:sz="6" w:space="0" w:color="auto"/>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20,002,633.52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5.27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37,248,224.25</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9.24</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97"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16,720,463.93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4.15</w:t>
            </w:r>
            <w:r>
              <w:rPr>
                <w:rFonts w:ascii="Arial"/>
                <w:sz w:val="18"/>
              </w:rPr>
            </w:r>
          </w:p>
        </w:tc>
      </w:tr>
      <w:tr>
        <w:trPr>
          <w:trHeight w:val="391"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97" w:type="dxa"/>
            <w:tcBorders>
              <w:top w:val="single" w:sz="6" w:space="0" w:color="000000"/>
              <w:left w:val="single" w:sz="6" w:space="0" w:color="000000"/>
              <w:bottom w:val="single" w:sz="12" w:space="0" w:color="000000"/>
              <w:right w:val="single" w:sz="6" w:space="0" w:color="000000"/>
            </w:tcBorders>
          </w:tcPr>
          <w:p>
            <w:pPr/>
          </w:p>
        </w:tc>
        <w:tc>
          <w:tcPr>
            <w:tcW w:w="1159"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1,226,524.81</w:t>
            </w:r>
          </w:p>
        </w:tc>
        <w:tc>
          <w:tcPr>
            <w:tcW w:w="11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0.30</w:t>
            </w:r>
            <w:r>
              <w:rPr>
                <w:rFonts w:ascii="Arial"/>
                <w:sz w:val="18"/>
              </w:rPr>
            </w:r>
          </w:p>
        </w:tc>
      </w:tr>
    </w:tbl>
    <w:p>
      <w:pPr>
        <w:spacing w:after="0" w:line="240" w:lineRule="auto"/>
        <w:jc w:val="right"/>
        <w:rPr>
          <w:rFonts w:ascii="Arial" w:hAnsi="Arial" w:cs="Arial" w:eastAsia="Arial" w:hint="default"/>
          <w:sz w:val="18"/>
          <w:szCs w:val="18"/>
        </w:rPr>
        <w:sectPr>
          <w:headerReference w:type="default" r:id="rId30"/>
          <w:headerReference w:type="even" r:id="rId31"/>
          <w:pgSz w:w="11910" w:h="16840"/>
          <w:pgMar w:header="884" w:footer="1013" w:top="1080" w:bottom="1200" w:left="1280" w:right="0"/>
        </w:sectPr>
      </w:pPr>
    </w:p>
    <w:p>
      <w:pPr>
        <w:spacing w:line="240" w:lineRule="auto" w:before="10"/>
        <w:rPr>
          <w:rFonts w:ascii="宋体" w:hAnsi="宋体" w:cs="宋体" w:eastAsia="宋体" w:hint="default"/>
          <w:b/>
          <w:bCs/>
          <w:sz w:val="3"/>
          <w:szCs w:val="3"/>
        </w:rPr>
      </w:pPr>
    </w:p>
    <w:tbl>
      <w:tblPr>
        <w:tblW w:w="0" w:type="auto"/>
        <w:jc w:val="left"/>
        <w:tblInd w:w="113" w:type="dxa"/>
        <w:tblLayout w:type="fixed"/>
        <w:tblCellMar>
          <w:top w:w="0" w:type="dxa"/>
          <w:left w:w="0" w:type="dxa"/>
          <w:bottom w:w="0" w:type="dxa"/>
          <w:right w:w="0" w:type="dxa"/>
        </w:tblCellMar>
        <w:tblLook w:val="01E0"/>
      </w:tblPr>
      <w:tblGrid>
        <w:gridCol w:w="2813"/>
        <w:gridCol w:w="1226"/>
        <w:gridCol w:w="1397"/>
        <w:gridCol w:w="1159"/>
        <w:gridCol w:w="1397"/>
        <w:gridCol w:w="1109"/>
      </w:tblGrid>
      <w:tr>
        <w:trPr>
          <w:trHeight w:val="398" w:hRule="exact"/>
        </w:trPr>
        <w:tc>
          <w:tcPr>
            <w:tcW w:w="2813" w:type="dxa"/>
            <w:vMerge w:val="restart"/>
            <w:tcBorders>
              <w:top w:val="single" w:sz="17"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26" w:type="dxa"/>
            <w:vMerge w:val="restart"/>
            <w:tcBorders>
              <w:top w:val="single" w:sz="17"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2556"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72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50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70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84" w:hRule="exact"/>
        </w:trPr>
        <w:tc>
          <w:tcPr>
            <w:tcW w:w="2813" w:type="dxa"/>
            <w:vMerge/>
            <w:tcBorders>
              <w:left w:val="nil" w:sz="6" w:space="0" w:color="auto"/>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8,007.36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0.01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147,752.01</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0.08</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2,520,000.00</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1.41</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156,987.76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8"/>
                <w:szCs w:val="18"/>
              </w:rPr>
            </w:pPr>
            <w:r>
              <w:rPr>
                <w:rFonts w:ascii="Arial"/>
                <w:w w:val="95"/>
                <w:sz w:val="18"/>
              </w:rPr>
              <w:t>0.17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257,244.06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0.14</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浙江华立通信集团有限公司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366,797.32</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0.21</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366,797.32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0.40</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2,285,200.72</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1.28</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4,650.00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0.01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1,523.64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0.002</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22,377,700.00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37.34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328,047.43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0.09</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3,816,297.57</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1.57</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5,693,045.66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1.65</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10,572,050.86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4.34</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应付票据</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924,000.00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0.47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7,870,000.00</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4.57</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855,212.31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0.82</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225,494.16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0.19</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2,888,891.41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2.77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5,924.30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z w:val="18"/>
              </w:rPr>
              <w:t>0.01</w:t>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30,000.60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0.03</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250,000.00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0.24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5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219,814.83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0.21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219,814.83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0.19</w:t>
            </w:r>
            <w:r>
              <w:rPr>
                <w:rFonts w:ascii="Arial"/>
                <w:sz w:val="18"/>
              </w:rPr>
            </w:r>
          </w:p>
        </w:tc>
      </w:tr>
      <w:tr>
        <w:trPr>
          <w:trHeight w:val="38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预收款项</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3,881,881.08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w w:val="95"/>
                <w:sz w:val="18"/>
              </w:rPr>
              <w:t>5.54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right="24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7,926,663.53</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w w:val="95"/>
                <w:sz w:val="18"/>
              </w:rPr>
              <w:t>49.98</w:t>
            </w:r>
            <w:r>
              <w:rPr>
                <w:rFonts w:ascii="Arial"/>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7,926,663.53</w:t>
            </w:r>
          </w:p>
        </w:tc>
        <w:tc>
          <w:tcPr>
            <w:tcW w:w="11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4"/>
              <w:jc w:val="right"/>
              <w:rPr>
                <w:rFonts w:ascii="Arial" w:hAnsi="Arial" w:cs="Arial" w:eastAsia="Arial" w:hint="default"/>
                <w:sz w:val="18"/>
                <w:szCs w:val="18"/>
              </w:rPr>
            </w:pPr>
            <w:r>
              <w:rPr>
                <w:rFonts w:ascii="Arial"/>
                <w:w w:val="95"/>
                <w:sz w:val="18"/>
              </w:rPr>
              <w:t>49.72</w:t>
            </w:r>
            <w:r>
              <w:rPr>
                <w:rFonts w:ascii="Arial"/>
                <w:sz w:val="18"/>
              </w:rPr>
            </w:r>
          </w:p>
        </w:tc>
      </w:tr>
    </w:tbl>
    <w:p>
      <w:pPr>
        <w:pStyle w:val="Heading4"/>
        <w:spacing w:line="240" w:lineRule="auto" w:before="86"/>
        <w:ind w:left="542" w:right="1428"/>
        <w:jc w:val="left"/>
        <w:rPr>
          <w:b w:val="0"/>
          <w:bCs w:val="0"/>
        </w:rPr>
      </w:pPr>
      <w:r>
        <w:rPr/>
        <w:t>（四）</w:t>
      </w:r>
      <w:r>
        <w:rPr>
          <w:spacing w:val="-28"/>
        </w:rPr>
        <w:t> </w:t>
      </w:r>
      <w:r>
        <w:rPr/>
        <w:t>关联应收项目的坏账准备余额</w:t>
      </w:r>
      <w:r>
        <w:rPr>
          <w:b w:val="0"/>
          <w:bCs w:val="0"/>
        </w:rPr>
      </w:r>
    </w:p>
    <w:p>
      <w:pPr>
        <w:spacing w:line="240" w:lineRule="auto" w:before="12"/>
        <w:rPr>
          <w:rFonts w:ascii="宋体" w:hAnsi="宋体" w:cs="宋体" w:eastAsia="宋体" w:hint="default"/>
          <w:b/>
          <w:bCs/>
          <w:sz w:val="21"/>
          <w:szCs w:val="21"/>
        </w:rPr>
      </w:pPr>
    </w:p>
    <w:tbl>
      <w:tblPr>
        <w:tblW w:w="0" w:type="auto"/>
        <w:jc w:val="left"/>
        <w:tblInd w:w="218" w:type="dxa"/>
        <w:tblLayout w:type="fixed"/>
        <w:tblCellMar>
          <w:top w:w="0" w:type="dxa"/>
          <w:left w:w="0" w:type="dxa"/>
          <w:bottom w:w="0" w:type="dxa"/>
          <w:right w:w="0" w:type="dxa"/>
        </w:tblCellMar>
        <w:tblLook w:val="01E0"/>
      </w:tblPr>
      <w:tblGrid>
        <w:gridCol w:w="3068"/>
        <w:gridCol w:w="1298"/>
        <w:gridCol w:w="2321"/>
        <w:gridCol w:w="2220"/>
      </w:tblGrid>
      <w:tr>
        <w:trPr>
          <w:trHeight w:val="336" w:hRule="exact"/>
        </w:trPr>
        <w:tc>
          <w:tcPr>
            <w:tcW w:w="3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61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1,000,131.68</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3,695,366.16</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836,023.20</w:t>
            </w:r>
          </w:p>
        </w:tc>
      </w:tr>
      <w:tr>
        <w:trPr>
          <w:trHeight w:val="329"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61,326.24</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400.37</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7,387.60</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126,000.00</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7,849.39</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12,862.20</w:t>
            </w:r>
          </w:p>
        </w:tc>
      </w:tr>
      <w:tr>
        <w:trPr>
          <w:trHeight w:val="329"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浙江华立通信技术有限公司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3"/>
              <w:jc w:val="right"/>
              <w:rPr>
                <w:rFonts w:ascii="Arial" w:hAnsi="Arial" w:cs="Arial" w:eastAsia="Arial" w:hint="default"/>
                <w:sz w:val="18"/>
                <w:szCs w:val="18"/>
              </w:rPr>
            </w:pPr>
            <w:r>
              <w:rPr>
                <w:rFonts w:ascii="Arial"/>
                <w:spacing w:val="-1"/>
                <w:sz w:val="18"/>
              </w:rPr>
              <w:t>18,339.87</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18,339.87</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2"/>
                <w:sz w:val="18"/>
              </w:rPr>
              <w:t>114,260.04</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232.50</w:t>
            </w:r>
          </w:p>
        </w:tc>
        <w:tc>
          <w:tcPr>
            <w:tcW w:w="2220"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30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5"/>
                <w:sz w:val="18"/>
              </w:rPr>
              <w:t>76.18</w:t>
            </w:r>
            <w:r>
              <w:rPr>
                <w:rFonts w:ascii="Arial"/>
                <w:sz w:val="18"/>
              </w:rPr>
            </w:r>
          </w:p>
        </w:tc>
        <w:tc>
          <w:tcPr>
            <w:tcW w:w="2220" w:type="dxa"/>
            <w:tcBorders>
              <w:top w:val="single" w:sz="6" w:space="0" w:color="000000"/>
              <w:left w:val="single" w:sz="6" w:space="0" w:color="000000"/>
              <w:bottom w:val="single" w:sz="12" w:space="0" w:color="000000"/>
              <w:right w:val="nil" w:sz="6" w:space="0" w:color="auto"/>
            </w:tcBorders>
          </w:tcPr>
          <w:p>
            <w:pPr/>
          </w:p>
        </w:tc>
      </w:tr>
    </w:tbl>
    <w:p>
      <w:pPr>
        <w:spacing w:before="86"/>
        <w:ind w:left="180" w:right="142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50"/>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98" w:right="1428" w:firstLine="0"/>
        <w:jc w:val="left"/>
        <w:rPr>
          <w:rFonts w:ascii="宋体" w:hAnsi="宋体" w:cs="宋体" w:eastAsia="宋体" w:hint="default"/>
          <w:sz w:val="21"/>
          <w:szCs w:val="21"/>
        </w:rPr>
      </w:pP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pStyle w:val="BodyText"/>
        <w:spacing w:line="240" w:lineRule="auto"/>
        <w:ind w:left="600" w:right="1428"/>
        <w:jc w:val="left"/>
      </w:pPr>
      <w:r>
        <w:rPr/>
        <w:t>截止</w:t>
      </w:r>
      <w:r>
        <w:rPr>
          <w:spacing w:val="-53"/>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8"/>
        </w:rPr>
        <w:t> </w:t>
      </w:r>
      <w:r>
        <w:rPr/>
        <w:t>日，本公司为下列单位贷款提供保证：</w:t>
      </w:r>
    </w:p>
    <w:p>
      <w:pPr>
        <w:spacing w:line="240" w:lineRule="auto" w:before="5"/>
        <w:rPr>
          <w:rFonts w:ascii="宋体" w:hAnsi="宋体" w:cs="宋体" w:eastAsia="宋体" w:hint="default"/>
          <w:sz w:val="16"/>
          <w:szCs w:val="16"/>
        </w:rPr>
      </w:pPr>
    </w:p>
    <w:tbl>
      <w:tblPr>
        <w:tblW w:w="0" w:type="auto"/>
        <w:jc w:val="left"/>
        <w:tblInd w:w="226" w:type="dxa"/>
        <w:tblLayout w:type="fixed"/>
        <w:tblCellMar>
          <w:top w:w="0" w:type="dxa"/>
          <w:left w:w="0" w:type="dxa"/>
          <w:bottom w:w="0" w:type="dxa"/>
          <w:right w:w="0" w:type="dxa"/>
        </w:tblCellMar>
        <w:tblLook w:val="01E0"/>
      </w:tblPr>
      <w:tblGrid>
        <w:gridCol w:w="2425"/>
        <w:gridCol w:w="1130"/>
        <w:gridCol w:w="1649"/>
        <w:gridCol w:w="1980"/>
        <w:gridCol w:w="1709"/>
      </w:tblGrid>
      <w:tr>
        <w:trPr>
          <w:trHeight w:val="343" w:hRule="exact"/>
        </w:trPr>
        <w:tc>
          <w:tcPr>
            <w:tcW w:w="242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7"/>
              <w:ind w:left="587"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 </w:t>
            </w:r>
            <w:r>
              <w:rPr>
                <w:rFonts w:ascii="宋体" w:hAnsi="宋体" w:cs="宋体" w:eastAsia="宋体" w:hint="default"/>
                <w:spacing w:val="2"/>
                <w:sz w:val="18"/>
                <w:szCs w:val="18"/>
              </w:rPr>
              <w:t> </w:t>
            </w:r>
            <w:r>
              <w:rPr>
                <w:rFonts w:ascii="宋体" w:hAnsi="宋体" w:cs="宋体" w:eastAsia="宋体" w:hint="default"/>
                <w:sz w:val="18"/>
                <w:szCs w:val="18"/>
              </w:rPr>
              <w:t>限</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even" r:id="rId32"/>
          <w:footerReference w:type="default" r:id="rId33"/>
          <w:pgSz w:w="11910" w:h="16840"/>
          <w:pgMar w:footer="1013" w:header="884" w:top="1080" w:bottom="1200" w:left="126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513"/>
        <w:gridCol w:w="1130"/>
        <w:gridCol w:w="1649"/>
        <w:gridCol w:w="1980"/>
        <w:gridCol w:w="1709"/>
      </w:tblGrid>
      <w:tr>
        <w:trPr>
          <w:trHeight w:val="341" w:hRule="exact"/>
        </w:trPr>
        <w:tc>
          <w:tcPr>
            <w:tcW w:w="251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一、子公司</w:t>
            </w:r>
          </w:p>
        </w:tc>
        <w:tc>
          <w:tcPr>
            <w:tcW w:w="1130" w:type="dxa"/>
            <w:tcBorders>
              <w:top w:val="single" w:sz="17" w:space="0" w:color="000000"/>
              <w:left w:val="single" w:sz="6" w:space="0" w:color="000000"/>
              <w:bottom w:val="single" w:sz="6" w:space="0" w:color="000000"/>
              <w:right w:val="single" w:sz="6" w:space="0" w:color="000000"/>
            </w:tcBorders>
          </w:tcPr>
          <w:p>
            <w:pPr/>
          </w:p>
        </w:tc>
        <w:tc>
          <w:tcPr>
            <w:tcW w:w="1649" w:type="dxa"/>
            <w:tcBorders>
              <w:top w:val="single" w:sz="17" w:space="0" w:color="000000"/>
              <w:left w:val="single" w:sz="6" w:space="0" w:color="000000"/>
              <w:bottom w:val="single" w:sz="6" w:space="0" w:color="000000"/>
              <w:right w:val="single" w:sz="6" w:space="0" w:color="000000"/>
            </w:tcBorders>
          </w:tcPr>
          <w:p>
            <w:pPr/>
          </w:p>
        </w:tc>
        <w:tc>
          <w:tcPr>
            <w:tcW w:w="1980" w:type="dxa"/>
            <w:tcBorders>
              <w:top w:val="single" w:sz="17" w:space="0" w:color="000000"/>
              <w:left w:val="single" w:sz="6" w:space="0" w:color="000000"/>
              <w:bottom w:val="single" w:sz="6" w:space="0" w:color="000000"/>
              <w:right w:val="single" w:sz="6" w:space="0" w:color="000000"/>
            </w:tcBorders>
          </w:tcPr>
          <w:p>
            <w:pPr/>
          </w:p>
        </w:tc>
        <w:tc>
          <w:tcPr>
            <w:tcW w:w="1709" w:type="dxa"/>
            <w:tcBorders>
              <w:top w:val="single" w:sz="17" w:space="0" w:color="000000"/>
              <w:left w:val="single" w:sz="6" w:space="0" w:color="000000"/>
              <w:bottom w:val="single" w:sz="6" w:space="0" w:color="000000"/>
              <w:right w:val="nil" w:sz="6" w:space="0" w:color="auto"/>
            </w:tcBorders>
          </w:tcPr>
          <w:p>
            <w:pPr/>
          </w:p>
        </w:tc>
      </w:tr>
      <w:tr>
        <w:trPr>
          <w:trHeight w:val="497" w:hRule="exact"/>
        </w:trPr>
        <w:tc>
          <w:tcPr>
            <w:tcW w:w="25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211"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97"/>
              <w:jc w:val="righ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2"/>
                <w:sz w:val="18"/>
              </w:rPr>
              <w:t>11,000,000.00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441" w:right="170" w:hanging="269"/>
              <w:jc w:val="left"/>
              <w:rPr>
                <w:rFonts w:ascii="宋体" w:hAnsi="宋体" w:cs="宋体" w:eastAsia="宋体" w:hint="default"/>
                <w:sz w:val="18"/>
                <w:szCs w:val="18"/>
              </w:rPr>
            </w:pPr>
            <w:r>
              <w:rPr>
                <w:rFonts w:ascii="宋体" w:hAnsi="宋体" w:cs="宋体" w:eastAsia="宋体" w:hint="default"/>
                <w:sz w:val="18"/>
                <w:szCs w:val="18"/>
              </w:rPr>
              <w:t>主债权发生期间至届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20" w:lineRule="exact"/>
              <w:ind w:left="79" w:right="0"/>
              <w:jc w:val="center"/>
              <w:rPr>
                <w:rFonts w:ascii="宋体" w:hAnsi="宋体" w:cs="宋体" w:eastAsia="宋体" w:hint="default"/>
                <w:sz w:val="18"/>
                <w:szCs w:val="18"/>
              </w:rPr>
            </w:pPr>
            <w:r>
              <w:rPr>
                <w:rFonts w:ascii="宋体" w:hAnsi="宋体" w:cs="宋体" w:eastAsia="宋体" w:hint="default"/>
                <w:sz w:val="18"/>
                <w:szCs w:val="18"/>
              </w:rPr>
              <w:t>详见附注六、</w:t>
            </w:r>
          </w:p>
          <w:p>
            <w:pPr>
              <w:pStyle w:val="TableParagraph"/>
              <w:spacing w:line="240" w:lineRule="auto" w:before="5"/>
              <w:ind w:left="79"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3</w:t>
            </w:r>
            <w:r>
              <w:rPr>
                <w:rFonts w:ascii="宋体" w:hAnsi="宋体" w:cs="宋体" w:eastAsia="宋体" w:hint="default"/>
                <w:sz w:val="18"/>
                <w:szCs w:val="18"/>
              </w:rPr>
              <w:t>）</w:t>
            </w:r>
          </w:p>
        </w:tc>
      </w:tr>
      <w:tr>
        <w:trPr>
          <w:trHeight w:val="494" w:hRule="exact"/>
        </w:trPr>
        <w:tc>
          <w:tcPr>
            <w:tcW w:w="25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pacing w:val="-5"/>
                <w:sz w:val="18"/>
                <w:szCs w:val="18"/>
              </w:rPr>
              <w:t>重庆华虹仪表有限公司（注）</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7"/>
              <w:jc w:val="righ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8,000,000.00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1" w:right="170" w:hanging="269"/>
              <w:jc w:val="left"/>
              <w:rPr>
                <w:rFonts w:ascii="宋体" w:hAnsi="宋体" w:cs="宋体" w:eastAsia="宋体" w:hint="default"/>
                <w:sz w:val="18"/>
                <w:szCs w:val="18"/>
              </w:rPr>
            </w:pPr>
            <w:r>
              <w:rPr>
                <w:rFonts w:ascii="宋体" w:hAnsi="宋体" w:cs="宋体" w:eastAsia="宋体" w:hint="default"/>
                <w:sz w:val="18"/>
                <w:szCs w:val="18"/>
              </w:rPr>
              <w:t>主债权发生期间至届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79" w:right="0"/>
              <w:jc w:val="center"/>
              <w:rPr>
                <w:rFonts w:ascii="宋体" w:hAnsi="宋体" w:cs="宋体" w:eastAsia="宋体" w:hint="default"/>
                <w:sz w:val="18"/>
                <w:szCs w:val="18"/>
              </w:rPr>
            </w:pPr>
            <w:r>
              <w:rPr>
                <w:rFonts w:ascii="宋体" w:hAnsi="宋体" w:cs="宋体" w:eastAsia="宋体" w:hint="default"/>
                <w:sz w:val="18"/>
                <w:szCs w:val="18"/>
              </w:rPr>
              <w:t>详见附注六、</w:t>
            </w:r>
          </w:p>
          <w:p>
            <w:pPr>
              <w:pStyle w:val="TableParagraph"/>
              <w:spacing w:line="240" w:lineRule="auto" w:before="4"/>
              <w:ind w:left="79"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p>
        </w:tc>
      </w:tr>
      <w:tr>
        <w:trPr>
          <w:trHeight w:val="326" w:hRule="exact"/>
        </w:trPr>
        <w:tc>
          <w:tcPr>
            <w:tcW w:w="25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二、其他公司</w:t>
            </w:r>
          </w:p>
        </w:tc>
        <w:tc>
          <w:tcPr>
            <w:tcW w:w="1130"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25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220,000,000.00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441" w:right="170" w:hanging="269"/>
              <w:jc w:val="left"/>
              <w:rPr>
                <w:rFonts w:ascii="宋体" w:hAnsi="宋体" w:cs="宋体" w:eastAsia="宋体" w:hint="default"/>
                <w:sz w:val="18"/>
                <w:szCs w:val="18"/>
              </w:rPr>
            </w:pPr>
            <w:r>
              <w:rPr>
                <w:rFonts w:ascii="宋体" w:hAnsi="宋体" w:cs="宋体" w:eastAsia="宋体" w:hint="default"/>
                <w:sz w:val="18"/>
                <w:szCs w:val="18"/>
              </w:rPr>
              <w:t>主债权发生期间至届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79" w:right="0"/>
              <w:jc w:val="center"/>
              <w:rPr>
                <w:rFonts w:ascii="宋体" w:hAnsi="宋体" w:cs="宋体" w:eastAsia="宋体" w:hint="default"/>
                <w:sz w:val="18"/>
                <w:szCs w:val="18"/>
              </w:rPr>
            </w:pPr>
            <w:r>
              <w:rPr>
                <w:rFonts w:ascii="宋体" w:hAnsi="宋体" w:cs="宋体" w:eastAsia="宋体" w:hint="default"/>
                <w:sz w:val="18"/>
                <w:szCs w:val="18"/>
              </w:rPr>
              <w:t>详见附注六、</w:t>
            </w:r>
          </w:p>
          <w:p>
            <w:pPr>
              <w:pStyle w:val="TableParagraph"/>
              <w:spacing w:line="244" w:lineRule="exact" w:before="4"/>
              <w:ind w:left="79"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z w:val="18"/>
                <w:szCs w:val="18"/>
              </w:rPr>
              <w:t>）</w:t>
            </w:r>
          </w:p>
          <w:p>
            <w:pPr>
              <w:pStyle w:val="TableParagraph"/>
              <w:spacing w:line="231" w:lineRule="exact"/>
              <w:ind w:right="6"/>
              <w:jc w:val="center"/>
              <w:rPr>
                <w:rFonts w:ascii="宋体" w:hAnsi="宋体" w:cs="宋体" w:eastAsia="宋体" w:hint="default"/>
                <w:sz w:val="18"/>
                <w:szCs w:val="18"/>
              </w:rPr>
            </w:pPr>
            <w:r>
              <w:rPr>
                <w:rFonts w:ascii="宋体" w:hAnsi="宋体" w:cs="宋体" w:eastAsia="宋体" w:hint="default"/>
                <w:sz w:val="18"/>
                <w:szCs w:val="18"/>
              </w:rPr>
              <w:t>①</w:t>
            </w:r>
          </w:p>
        </w:tc>
      </w:tr>
      <w:tr>
        <w:trPr>
          <w:trHeight w:val="497" w:hRule="exact"/>
        </w:trPr>
        <w:tc>
          <w:tcPr>
            <w:tcW w:w="25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211"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97"/>
              <w:jc w:val="righ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16,125,400.00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441" w:right="170" w:hanging="269"/>
              <w:jc w:val="left"/>
              <w:rPr>
                <w:rFonts w:ascii="宋体" w:hAnsi="宋体" w:cs="宋体" w:eastAsia="宋体" w:hint="default"/>
                <w:sz w:val="18"/>
                <w:szCs w:val="18"/>
              </w:rPr>
            </w:pPr>
            <w:r>
              <w:rPr>
                <w:rFonts w:ascii="宋体" w:hAnsi="宋体" w:cs="宋体" w:eastAsia="宋体" w:hint="default"/>
                <w:sz w:val="18"/>
                <w:szCs w:val="18"/>
              </w:rPr>
              <w:t>主债权发生期间至届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20" w:lineRule="exact"/>
              <w:ind w:left="79" w:right="0"/>
              <w:jc w:val="center"/>
              <w:rPr>
                <w:rFonts w:ascii="宋体" w:hAnsi="宋体" w:cs="宋体" w:eastAsia="宋体" w:hint="default"/>
                <w:sz w:val="18"/>
                <w:szCs w:val="18"/>
              </w:rPr>
            </w:pPr>
            <w:r>
              <w:rPr>
                <w:rFonts w:ascii="宋体" w:hAnsi="宋体" w:cs="宋体" w:eastAsia="宋体" w:hint="default"/>
                <w:sz w:val="18"/>
                <w:szCs w:val="18"/>
              </w:rPr>
              <w:t>详见附注六、</w:t>
            </w:r>
          </w:p>
          <w:p>
            <w:pPr>
              <w:pStyle w:val="TableParagraph"/>
              <w:spacing w:line="240" w:lineRule="auto" w:before="4"/>
              <w:ind w:left="79"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z w:val="18"/>
                <w:szCs w:val="18"/>
              </w:rPr>
              <w:t>）</w:t>
            </w:r>
          </w:p>
        </w:tc>
      </w:tr>
      <w:tr>
        <w:trPr>
          <w:trHeight w:val="334" w:hRule="exact"/>
        </w:trPr>
        <w:tc>
          <w:tcPr>
            <w:tcW w:w="25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6" w:space="0" w:color="000000"/>
              <w:left w:val="single" w:sz="6" w:space="0" w:color="000000"/>
              <w:bottom w:val="single" w:sz="12" w:space="0" w:color="000000"/>
              <w:right w:val="single" w:sz="6" w:space="0" w:color="000000"/>
            </w:tcBorders>
          </w:tcPr>
          <w:p>
            <w:pP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255,125,400.00</w:t>
            </w:r>
            <w:r>
              <w:rPr>
                <w:rFonts w:ascii="Arial"/>
                <w:b/>
                <w:spacing w:val="-1"/>
                <w:sz w:val="18"/>
              </w:rPr>
            </w:r>
            <w:r>
              <w:rPr>
                <w:rFonts w:ascii="Arial"/>
                <w:spacing w:val="-1"/>
                <w:sz w:val="18"/>
              </w:rPr>
            </w:r>
          </w:p>
        </w:tc>
        <w:tc>
          <w:tcPr>
            <w:tcW w:w="1980"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8"/>
          <w:szCs w:val="8"/>
        </w:rPr>
      </w:pPr>
    </w:p>
    <w:p>
      <w:pPr>
        <w:pStyle w:val="BodyText"/>
        <w:spacing w:line="240" w:lineRule="auto" w:before="36"/>
        <w:ind w:left="580" w:right="1326"/>
        <w:jc w:val="left"/>
      </w:pPr>
      <w:r>
        <w:rPr/>
        <w:t>注：由子公司重庆泰捷仪器仪表有限公司提供担保。</w:t>
      </w:r>
    </w:p>
    <w:p>
      <w:pPr>
        <w:spacing w:line="240" w:lineRule="auto" w:before="3"/>
        <w:rPr>
          <w:rFonts w:ascii="宋体" w:hAnsi="宋体" w:cs="宋体" w:eastAsia="宋体" w:hint="default"/>
          <w:sz w:val="28"/>
          <w:szCs w:val="28"/>
        </w:rPr>
      </w:pPr>
    </w:p>
    <w:p>
      <w:pPr>
        <w:pStyle w:val="BodyText"/>
        <w:spacing w:line="283" w:lineRule="auto"/>
        <w:ind w:left="160" w:right="1326" w:firstLine="420"/>
        <w:jc w:val="left"/>
      </w:pPr>
      <w:r>
        <w:rPr/>
        <w:t>除存在上述或有事项外，截止</w:t>
      </w:r>
      <w:r>
        <w:rPr>
          <w:spacing w:val="-53"/>
        </w:rPr>
        <w:t> </w:t>
      </w:r>
      <w:r>
        <w:rPr>
          <w:rFonts w:ascii="Arial" w:hAnsi="Arial" w:cs="Arial" w:eastAsia="Arial" w:hint="default"/>
        </w:rPr>
        <w:t>2010</w:t>
      </w:r>
      <w:r>
        <w:rPr>
          <w:rFonts w:ascii="Arial" w:hAnsi="Arial" w:cs="Arial" w:eastAsia="Arial" w:hint="default"/>
          <w:spacing w:val="-6"/>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日，本公司无其他应披露未披露的重大或有事</w:t>
      </w:r>
      <w:r>
        <w:rPr>
          <w:w w:val="100"/>
        </w:rPr>
        <w:t> </w:t>
      </w:r>
      <w:r>
        <w:rPr/>
        <w:t>项。</w:t>
      </w:r>
    </w:p>
    <w:p>
      <w:pPr>
        <w:spacing w:line="240" w:lineRule="auto" w:before="4"/>
        <w:rPr>
          <w:rFonts w:ascii="宋体" w:hAnsi="宋体" w:cs="宋体" w:eastAsia="宋体" w:hint="default"/>
          <w:sz w:val="20"/>
          <w:szCs w:val="20"/>
        </w:rPr>
      </w:pPr>
    </w:p>
    <w:p>
      <w:pPr>
        <w:pStyle w:val="Heading4"/>
        <w:spacing w:line="240" w:lineRule="auto"/>
        <w:ind w:left="160" w:right="1326"/>
        <w:jc w:val="left"/>
        <w:rPr>
          <w:b w:val="0"/>
          <w:bCs w:val="0"/>
        </w:rPr>
      </w:pPr>
      <w:r>
        <w:rPr/>
        <w:t>八、</w:t>
      </w:r>
      <w:r>
        <w:rPr>
          <w:spacing w:val="-49"/>
        </w:rPr>
        <w:t> </w:t>
      </w:r>
      <w:r>
        <w:rPr/>
        <w:t>重大承诺事项</w:t>
      </w:r>
      <w:r>
        <w:rPr>
          <w:b w:val="0"/>
          <w:bCs w:val="0"/>
        </w:rPr>
      </w:r>
    </w:p>
    <w:p>
      <w:pPr>
        <w:spacing w:line="240" w:lineRule="auto" w:before="4"/>
        <w:rPr>
          <w:rFonts w:ascii="宋体" w:hAnsi="宋体" w:cs="宋体" w:eastAsia="宋体" w:hint="default"/>
          <w:b/>
          <w:bCs/>
          <w:sz w:val="24"/>
          <w:szCs w:val="24"/>
        </w:rPr>
      </w:pPr>
    </w:p>
    <w:p>
      <w:pPr>
        <w:spacing w:line="480" w:lineRule="auto" w:before="0"/>
        <w:ind w:left="160" w:right="3745"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日，本公司无应披露未披露的重大承诺事项。</w:t>
      </w:r>
      <w:r>
        <w:rPr>
          <w:rFonts w:ascii="宋体" w:hAnsi="宋体" w:cs="宋体" w:eastAsia="宋体" w:hint="default"/>
          <w:w w:val="100"/>
          <w:sz w:val="21"/>
          <w:szCs w:val="21"/>
        </w:rPr>
        <w:t> </w:t>
      </w:r>
      <w:r>
        <w:rPr>
          <w:rFonts w:ascii="宋体" w:hAnsi="宋体" w:cs="宋体" w:eastAsia="宋体" w:hint="default"/>
          <w:b/>
          <w:bCs/>
          <w:sz w:val="21"/>
          <w:szCs w:val="21"/>
        </w:rPr>
        <w:t>九、</w:t>
      </w:r>
      <w:r>
        <w:rPr>
          <w:rFonts w:ascii="宋体" w:hAnsi="宋体" w:cs="宋体" w:eastAsia="宋体" w:hint="default"/>
          <w:b/>
          <w:bCs/>
          <w:spacing w:val="-54"/>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line="463" w:lineRule="auto" w:before="43"/>
        <w:ind w:left="580" w:right="132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1"/>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本年度公司不进行利润分配，也不进行资本公积转增股本。</w:t>
      </w:r>
    </w:p>
    <w:p>
      <w:pPr>
        <w:pStyle w:val="Heading4"/>
        <w:spacing w:line="240" w:lineRule="auto" w:before="60"/>
        <w:ind w:left="580" w:right="1326"/>
        <w:jc w:val="left"/>
        <w:rPr>
          <w:b w:val="0"/>
          <w:bCs w:val="0"/>
        </w:rPr>
      </w:pPr>
      <w:r>
        <w:rPr/>
        <w:t>（二）</w:t>
      </w:r>
      <w:r>
        <w:rPr>
          <w:spacing w:val="-84"/>
        </w:rPr>
        <w:t> </w:t>
      </w:r>
      <w:r>
        <w:rPr/>
        <w:t>资产负债表日后重要投资</w:t>
      </w:r>
      <w:r>
        <w:rPr>
          <w:b w:val="0"/>
          <w:bCs w:val="0"/>
        </w:rPr>
      </w:r>
    </w:p>
    <w:p>
      <w:pPr>
        <w:spacing w:line="240" w:lineRule="auto" w:before="5"/>
        <w:rPr>
          <w:rFonts w:ascii="宋体" w:hAnsi="宋体" w:cs="宋体" w:eastAsia="宋体" w:hint="default"/>
          <w:b/>
          <w:bCs/>
          <w:sz w:val="19"/>
          <w:szCs w:val="19"/>
        </w:rPr>
      </w:pPr>
    </w:p>
    <w:p>
      <w:pPr>
        <w:pStyle w:val="BodyText"/>
        <w:spacing w:line="343" w:lineRule="auto"/>
        <w:ind w:left="160" w:right="1431" w:firstLine="523"/>
        <w:jc w:val="both"/>
      </w:pPr>
      <w:r>
        <w:rPr>
          <w:rFonts w:ascii="Arial" w:hAnsi="Arial" w:cs="Arial" w:eastAsia="Arial" w:hint="default"/>
          <w:spacing w:val="-4"/>
        </w:rPr>
        <w:t>2011</w:t>
      </w:r>
      <w:r>
        <w:rPr>
          <w:rFonts w:ascii="Arial" w:hAnsi="Arial" w:cs="Arial" w:eastAsia="Arial" w:hint="default"/>
          <w:spacing w:val="11"/>
        </w:rPr>
        <w:t> </w:t>
      </w:r>
      <w:r>
        <w:rPr/>
        <w:t>年</w:t>
      </w:r>
      <w:r>
        <w:rPr>
          <w:spacing w:val="-38"/>
        </w:rPr>
        <w:t> </w:t>
      </w:r>
      <w:r>
        <w:rPr>
          <w:rFonts w:ascii="Arial" w:hAnsi="Arial" w:cs="Arial" w:eastAsia="Arial" w:hint="default"/>
        </w:rPr>
        <w:t>1</w:t>
      </w:r>
      <w:r>
        <w:rPr>
          <w:rFonts w:ascii="Arial" w:hAnsi="Arial" w:cs="Arial" w:eastAsia="Arial" w:hint="default"/>
          <w:spacing w:val="11"/>
        </w:rPr>
        <w:t> </w:t>
      </w:r>
      <w:r>
        <w:rPr/>
        <w:t>月</w:t>
      </w:r>
      <w:r>
        <w:rPr>
          <w:spacing w:val="-36"/>
        </w:rPr>
        <w:t> </w:t>
      </w:r>
      <w:r>
        <w:rPr>
          <w:rFonts w:ascii="Arial" w:hAnsi="Arial" w:cs="Arial" w:eastAsia="Arial" w:hint="default"/>
        </w:rPr>
        <w:t>14</w:t>
      </w:r>
      <w:r>
        <w:rPr>
          <w:rFonts w:ascii="Arial" w:hAnsi="Arial" w:cs="Arial" w:eastAsia="Arial" w:hint="default"/>
          <w:spacing w:val="11"/>
        </w:rPr>
        <w:t> </w:t>
      </w:r>
      <w:r>
        <w:rPr/>
        <w:t>日，浙江华立国际发展有限公司（以下简称：华立国际）与子公司华立仪表</w:t>
      </w:r>
      <w:r>
        <w:rPr>
          <w:w w:val="100"/>
        </w:rPr>
        <w:t> </w:t>
      </w:r>
      <w:r>
        <w:rPr>
          <w:spacing w:val="-7"/>
          <w:w w:val="100"/>
        </w:rPr>
        <w:t>签署《股权转让协议书》：华立国际同意将其持有华立集团（泰国）电气有限公司</w:t>
      </w:r>
      <w:r>
        <w:rPr>
          <w:spacing w:val="-29"/>
          <w:w w:val="100"/>
        </w:rPr>
        <w:t> </w:t>
      </w:r>
      <w:r>
        <w:rPr>
          <w:rFonts w:ascii="Arial" w:hAnsi="Arial" w:cs="Arial" w:eastAsia="Arial" w:hint="default"/>
          <w:spacing w:val="-2"/>
          <w:w w:val="100"/>
        </w:rPr>
        <w:t>100%</w:t>
      </w:r>
      <w:r>
        <w:rPr>
          <w:spacing w:val="-2"/>
          <w:w w:val="100"/>
        </w:rPr>
        <w:t>的股权以人</w:t>
      </w:r>
      <w:r>
        <w:rPr>
          <w:spacing w:val="-96"/>
          <w:w w:val="100"/>
        </w:rPr>
        <w:t> </w:t>
      </w:r>
      <w:r>
        <w:rPr>
          <w:spacing w:val="-96"/>
          <w:w w:val="100"/>
        </w:rPr>
      </w:r>
      <w:r>
        <w:rPr/>
        <w:t>民币</w:t>
      </w:r>
      <w:r>
        <w:rPr>
          <w:spacing w:val="-31"/>
        </w:rPr>
        <w:t> </w:t>
      </w:r>
      <w:r>
        <w:rPr>
          <w:rFonts w:ascii="Arial" w:hAnsi="Arial" w:cs="Arial" w:eastAsia="Arial" w:hint="default"/>
        </w:rPr>
        <w:t>2,237.77</w:t>
      </w:r>
      <w:r>
        <w:rPr>
          <w:rFonts w:ascii="Arial" w:hAnsi="Arial" w:cs="Arial" w:eastAsia="Arial" w:hint="default"/>
          <w:spacing w:val="16"/>
        </w:rPr>
        <w:t> </w:t>
      </w:r>
      <w:r>
        <w:rPr>
          <w:spacing w:val="-4"/>
        </w:rPr>
        <w:t>万元转让给华立仪表，华立仪表同意受让上述股权。本次股权收购业经公司六届十六</w:t>
      </w:r>
      <w:r>
        <w:rPr>
          <w:spacing w:val="-96"/>
        </w:rPr>
        <w:t> </w:t>
      </w:r>
      <w:r>
        <w:rPr>
          <w:spacing w:val="-96"/>
        </w:rPr>
      </w:r>
      <w:r>
        <w:rPr>
          <w:spacing w:val="-2"/>
        </w:rPr>
        <w:t>次董事会决议通过。截止报告日，股权转让款已支付，华立集团（泰国）电气有限公司已办妥股权</w:t>
      </w:r>
      <w:r>
        <w:rPr>
          <w:spacing w:val="-34"/>
        </w:rPr>
        <w:t> </w:t>
      </w:r>
      <w:r>
        <w:rPr>
          <w:spacing w:val="-34"/>
        </w:rPr>
      </w:r>
      <w:r>
        <w:rPr/>
        <w:t>变更手续。</w:t>
      </w:r>
    </w:p>
    <w:p>
      <w:pPr>
        <w:pStyle w:val="BodyText"/>
        <w:spacing w:line="357" w:lineRule="auto" w:before="163"/>
        <w:ind w:left="160" w:right="1326" w:firstLine="420"/>
        <w:jc w:val="left"/>
      </w:pPr>
      <w:r>
        <w:rPr>
          <w:spacing w:val="-2"/>
        </w:rPr>
        <w:t>除存在上述资产负债表日后事项外，截止财务报告日，本公司无其他应披露未披露的重大资产</w:t>
      </w:r>
      <w:r>
        <w:rPr>
          <w:w w:val="100"/>
        </w:rPr>
        <w:t> </w:t>
      </w:r>
      <w:r>
        <w:rPr/>
        <w:t>负债表日后事项。</w:t>
      </w:r>
    </w:p>
    <w:p>
      <w:pPr>
        <w:spacing w:line="240" w:lineRule="auto" w:before="4"/>
        <w:rPr>
          <w:rFonts w:ascii="宋体" w:hAnsi="宋体" w:cs="宋体" w:eastAsia="宋体" w:hint="default"/>
          <w:sz w:val="16"/>
          <w:szCs w:val="16"/>
        </w:rPr>
      </w:pPr>
    </w:p>
    <w:p>
      <w:pPr>
        <w:pStyle w:val="Heading4"/>
        <w:spacing w:line="240" w:lineRule="auto"/>
        <w:ind w:left="160" w:right="1326"/>
        <w:jc w:val="left"/>
        <w:rPr>
          <w:b w:val="0"/>
          <w:bCs w:val="0"/>
        </w:rPr>
      </w:pPr>
      <w:r>
        <w:rPr/>
        <w:t>十、</w:t>
      </w:r>
      <w:r>
        <w:rPr>
          <w:spacing w:val="-56"/>
        </w:rPr>
        <w:t> </w:t>
      </w:r>
      <w:r>
        <w:rPr/>
        <w:t>母公司财务报表主要项目注释</w:t>
      </w:r>
      <w:r>
        <w:rPr>
          <w:b w:val="0"/>
          <w:bCs w:val="0"/>
        </w:rPr>
      </w:r>
    </w:p>
    <w:p>
      <w:pPr>
        <w:spacing w:line="240" w:lineRule="auto" w:before="5"/>
        <w:rPr>
          <w:rFonts w:ascii="宋体" w:hAnsi="宋体" w:cs="宋体" w:eastAsia="宋体" w:hint="default"/>
          <w:b/>
          <w:bCs/>
          <w:sz w:val="19"/>
          <w:szCs w:val="19"/>
        </w:rPr>
      </w:pPr>
    </w:p>
    <w:p>
      <w:pPr>
        <w:tabs>
          <w:tab w:pos="1434" w:val="left" w:leader="none"/>
        </w:tabs>
        <w:spacing w:before="0"/>
        <w:ind w:left="580" w:right="1326" w:firstLine="0"/>
        <w:jc w:val="left"/>
        <w:rPr>
          <w:rFonts w:ascii="宋体" w:hAnsi="宋体" w:cs="宋体" w:eastAsia="宋体" w:hint="default"/>
          <w:sz w:val="21"/>
          <w:szCs w:val="21"/>
        </w:rPr>
      </w:pPr>
      <w:r>
        <w:rPr>
          <w:rFonts w:ascii="宋体" w:hAnsi="宋体" w:cs="宋体" w:eastAsia="宋体" w:hint="default"/>
          <w:b/>
          <w:bCs/>
          <w:sz w:val="21"/>
          <w:szCs w:val="21"/>
        </w:rPr>
        <w:t>（一）</w:t>
        <w:tab/>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pStyle w:val="BodyText"/>
        <w:spacing w:line="240" w:lineRule="auto"/>
        <w:ind w:left="580" w:right="1326"/>
        <w:jc w:val="left"/>
      </w:pPr>
      <w:r>
        <w:rPr/>
        <w:t>（</w:t>
      </w:r>
      <w:r>
        <w:rPr>
          <w:rFonts w:ascii="Arial" w:hAnsi="Arial" w:cs="Arial" w:eastAsia="Arial" w:hint="default"/>
        </w:rPr>
        <w:t>1</w:t>
      </w:r>
      <w:r>
        <w:rPr/>
        <w:t>）其他应收款按种类列示如下：</w:t>
      </w:r>
    </w:p>
    <w:p>
      <w:pPr>
        <w:spacing w:line="240" w:lineRule="auto" w:before="1"/>
        <w:rPr>
          <w:rFonts w:ascii="宋体" w:hAnsi="宋体" w:cs="宋体" w:eastAsia="宋体" w:hint="default"/>
          <w:sz w:val="13"/>
          <w:szCs w:val="13"/>
        </w:rPr>
      </w:pPr>
    </w:p>
    <w:tbl>
      <w:tblPr>
        <w:tblW w:w="0" w:type="auto"/>
        <w:jc w:val="left"/>
        <w:tblInd w:w="189" w:type="dxa"/>
        <w:tblLayout w:type="fixed"/>
        <w:tblCellMar>
          <w:top w:w="0" w:type="dxa"/>
          <w:left w:w="0" w:type="dxa"/>
          <w:bottom w:w="0" w:type="dxa"/>
          <w:right w:w="0" w:type="dxa"/>
        </w:tblCellMar>
        <w:tblLook w:val="01E0"/>
      </w:tblPr>
      <w:tblGrid>
        <w:gridCol w:w="2833"/>
        <w:gridCol w:w="1469"/>
        <w:gridCol w:w="891"/>
        <w:gridCol w:w="1368"/>
        <w:gridCol w:w="913"/>
        <w:gridCol w:w="1469"/>
      </w:tblGrid>
      <w:tr>
        <w:trPr>
          <w:trHeight w:val="341" w:hRule="exact"/>
        </w:trPr>
        <w:tc>
          <w:tcPr>
            <w:tcW w:w="283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0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34" w:hRule="exact"/>
        </w:trPr>
        <w:tc>
          <w:tcPr>
            <w:tcW w:w="2833" w:type="dxa"/>
            <w:vMerge/>
            <w:tcBorders>
              <w:left w:val="nil" w:sz="6" w:space="0" w:color="auto"/>
              <w:right w:val="single" w:sz="6" w:space="0" w:color="000000"/>
            </w:tcBorders>
          </w:tcPr>
          <w:p>
            <w:pPr/>
          </w:p>
        </w:tc>
        <w:tc>
          <w:tcPr>
            <w:tcW w:w="2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504" w:hRule="exact"/>
        </w:trPr>
        <w:tc>
          <w:tcPr>
            <w:tcW w:w="2833" w:type="dxa"/>
            <w:vMerge/>
            <w:tcBorders>
              <w:left w:val="nil" w:sz="6" w:space="0" w:color="auto"/>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94" w:firstLine="7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Arial" w:hAnsi="Arial" w:cs="Arial" w:eastAsia="Arial" w:hint="default"/>
                <w:sz w:val="18"/>
                <w:szCs w:val="18"/>
              </w:rPr>
              <w:t>%</w:t>
            </w:r>
            <w:r>
              <w:rPr>
                <w:rFonts w:ascii="宋体" w:hAnsi="宋体" w:cs="宋体" w:eastAsia="宋体" w:hint="default"/>
                <w:sz w:val="18"/>
                <w:szCs w:val="18"/>
              </w:rPr>
              <w:t>）</w:t>
            </w:r>
          </w:p>
        </w:tc>
        <w:tc>
          <w:tcPr>
            <w:tcW w:w="1469" w:type="dxa"/>
            <w:vMerge/>
            <w:tcBorders>
              <w:left w:val="single" w:sz="6" w:space="0" w:color="000000"/>
              <w:bottom w:val="single" w:sz="12" w:space="0" w:color="000000"/>
              <w:right w:val="nil" w:sz="6" w:space="0" w:color="auto"/>
            </w:tcBorders>
          </w:tcPr>
          <w:p>
            <w:pPr/>
          </w:p>
        </w:tc>
      </w:tr>
    </w:tbl>
    <w:p>
      <w:pPr>
        <w:spacing w:after="0"/>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05"/>
        <w:gridCol w:w="1469"/>
        <w:gridCol w:w="891"/>
        <w:gridCol w:w="1368"/>
        <w:gridCol w:w="913"/>
        <w:gridCol w:w="1469"/>
      </w:tblGrid>
      <w:tr>
        <w:trPr>
          <w:trHeight w:val="509" w:hRule="exact"/>
        </w:trPr>
        <w:tc>
          <w:tcPr>
            <w:tcW w:w="2905" w:type="dxa"/>
            <w:tcBorders>
              <w:top w:val="single" w:sz="17" w:space="0" w:color="000000"/>
              <w:left w:val="nil" w:sz="6" w:space="0" w:color="auto"/>
              <w:bottom w:val="single" w:sz="6" w:space="0" w:color="000000"/>
              <w:right w:val="single" w:sz="6" w:space="0" w:color="000000"/>
            </w:tcBorders>
          </w:tcPr>
          <w:p>
            <w:pPr>
              <w:pStyle w:val="TableParagraph"/>
              <w:spacing w:line="240" w:lineRule="exact"/>
              <w:ind w:left="180" w:right="99"/>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备的其他应收款</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72,176,295.82</w:t>
            </w:r>
          </w:p>
        </w:tc>
        <w:tc>
          <w:tcPr>
            <w:tcW w:w="89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w w:val="95"/>
                <w:sz w:val="18"/>
              </w:rPr>
              <w:t>51.34</w:t>
            </w:r>
            <w:r>
              <w:rPr>
                <w:rFonts w:ascii="Arial"/>
                <w:sz w:val="18"/>
              </w:rPr>
            </w:r>
          </w:p>
        </w:tc>
        <w:tc>
          <w:tcPr>
            <w:tcW w:w="136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67,140,538.54</w:t>
            </w:r>
          </w:p>
        </w:tc>
        <w:tc>
          <w:tcPr>
            <w:tcW w:w="91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w w:val="95"/>
                <w:sz w:val="18"/>
              </w:rPr>
              <w:t>93.02</w:t>
            </w:r>
            <w:r>
              <w:rPr>
                <w:rFonts w:ascii="Arial"/>
                <w:sz w:val="18"/>
              </w:rPr>
            </w:r>
          </w:p>
        </w:tc>
        <w:tc>
          <w:tcPr>
            <w:tcW w:w="1469"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5,035,757.28</w:t>
            </w:r>
          </w:p>
        </w:tc>
      </w:tr>
      <w:tr>
        <w:trPr>
          <w:trHeight w:val="497"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180" w:right="99"/>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账准备的其他应收款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3,456,491.16</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w w:val="95"/>
                <w:sz w:val="18"/>
              </w:rPr>
              <w:t>2.46</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1" w:right="0"/>
              <w:jc w:val="center"/>
              <w:rPr>
                <w:rFonts w:ascii="Arial" w:hAnsi="Arial" w:cs="Arial" w:eastAsia="Arial" w:hint="default"/>
                <w:sz w:val="18"/>
                <w:szCs w:val="18"/>
              </w:rPr>
            </w:pPr>
            <w:r>
              <w:rPr>
                <w:rFonts w:ascii="Arial"/>
                <w:sz w:val="18"/>
              </w:rPr>
              <w:t>3,456,491.16</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100.00</w:t>
            </w:r>
          </w:p>
        </w:tc>
        <w:tc>
          <w:tcPr>
            <w:tcW w:w="146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99"/>
              <w:jc w:val="left"/>
              <w:rPr>
                <w:rFonts w:ascii="宋体" w:hAnsi="宋体" w:cs="宋体" w:eastAsia="宋体" w:hint="default"/>
                <w:sz w:val="18"/>
                <w:szCs w:val="18"/>
              </w:rPr>
            </w:pPr>
            <w:r>
              <w:rPr>
                <w:rFonts w:ascii="宋体" w:hAnsi="宋体" w:cs="宋体" w:eastAsia="宋体" w:hint="default"/>
                <w:spacing w:val="6"/>
                <w:sz w:val="18"/>
                <w:szCs w:val="18"/>
              </w:rPr>
              <w:t>按组合计提坏账准备的其他应收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64,947,180.94</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5"/>
                <w:sz w:val="18"/>
              </w:rPr>
              <w:t>46.20</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1" w:right="0"/>
              <w:jc w:val="center"/>
              <w:rPr>
                <w:rFonts w:ascii="Arial" w:hAnsi="Arial" w:cs="Arial" w:eastAsia="Arial" w:hint="default"/>
                <w:sz w:val="18"/>
                <w:szCs w:val="18"/>
              </w:rPr>
            </w:pPr>
            <w:r>
              <w:rPr>
                <w:rFonts w:ascii="Arial"/>
                <w:sz w:val="18"/>
              </w:rPr>
              <w:t>6,278,972.26</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5"/>
                <w:sz w:val="18"/>
              </w:rPr>
              <w:t>9.67</w:t>
            </w:r>
            <w:r>
              <w:rPr>
                <w:rFonts w:ascii="Arial"/>
                <w:sz w:val="18"/>
              </w:rPr>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58,668,208.68</w:t>
            </w:r>
          </w:p>
        </w:tc>
      </w:tr>
      <w:tr>
        <w:trPr>
          <w:trHeight w:val="331"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13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140,579,967.92</w:t>
            </w:r>
            <w:r>
              <w:rPr>
                <w:rFonts w:ascii="Arial"/>
                <w:b/>
                <w:spacing w:val="-1"/>
                <w:sz w:val="18"/>
              </w:rPr>
            </w:r>
            <w:r>
              <w:rPr>
                <w:rFonts w:ascii="Arial"/>
                <w:spacing w:val="-1"/>
                <w:sz w:val="18"/>
              </w:rPr>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Arial" w:hAnsi="Arial" w:cs="Arial" w:eastAsia="Arial" w:hint="default"/>
                <w:sz w:val="18"/>
                <w:szCs w:val="18"/>
              </w:rPr>
            </w:pPr>
            <w:r>
              <w:rPr>
                <w:rFonts w:ascii="Arial"/>
                <w:b/>
                <w:w w:val="99"/>
                <w:sz w:val="18"/>
              </w:rPr>
            </w:r>
            <w:r>
              <w:rPr>
                <w:rFonts w:ascii="Arial"/>
                <w:b/>
                <w:sz w:val="18"/>
                <w:u w:val="single" w:color="000000"/>
              </w:rPr>
              <w:t>76,876,001.96</w:t>
            </w:r>
            <w:r>
              <w:rPr>
                <w:rFonts w:ascii="Arial"/>
                <w:b/>
                <w:sz w:val="18"/>
              </w:rPr>
            </w:r>
            <w:r>
              <w:rPr>
                <w:rFonts w:ascii="Arial"/>
                <w:sz w:val="18"/>
              </w:rPr>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w w:val="95"/>
                <w:sz w:val="18"/>
                <w:u w:val="single" w:color="000000"/>
              </w:rPr>
              <w:t>54.68</w:t>
            </w:r>
            <w:r>
              <w:rPr>
                <w:rFonts w:ascii="Arial"/>
                <w:b/>
                <w:w w:val="95"/>
                <w:sz w:val="18"/>
              </w:rPr>
            </w:r>
            <w:r>
              <w:rPr>
                <w:rFonts w:ascii="Arial"/>
                <w:sz w:val="18"/>
              </w:rPr>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63,703,965.96</w:t>
            </w:r>
            <w:r>
              <w:rPr>
                <w:rFonts w:ascii="Arial"/>
                <w:b/>
                <w:spacing w:val="-1"/>
                <w:sz w:val="18"/>
              </w:rPr>
            </w:r>
            <w:r>
              <w:rPr>
                <w:rFonts w:ascii="Arial"/>
                <w:spacing w:val="-1"/>
                <w:sz w:val="18"/>
              </w:rPr>
            </w:r>
          </w:p>
        </w:tc>
      </w:tr>
      <w:tr>
        <w:trPr>
          <w:trHeight w:val="334" w:hRule="exact"/>
        </w:trPr>
        <w:tc>
          <w:tcPr>
            <w:tcW w:w="290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0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4" w:hRule="exact"/>
        </w:trPr>
        <w:tc>
          <w:tcPr>
            <w:tcW w:w="2905" w:type="dxa"/>
            <w:vMerge/>
            <w:tcBorders>
              <w:left w:val="nil" w:sz="6" w:space="0" w:color="auto"/>
              <w:right w:val="single" w:sz="6" w:space="0" w:color="000000"/>
            </w:tcBorders>
          </w:tcPr>
          <w:p>
            <w:pPr/>
          </w:p>
        </w:tc>
        <w:tc>
          <w:tcPr>
            <w:tcW w:w="2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4" w:hRule="exact"/>
        </w:trPr>
        <w:tc>
          <w:tcPr>
            <w:tcW w:w="2905" w:type="dxa"/>
            <w:vMerge/>
            <w:tcBorders>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4" w:firstLine="7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Arial" w:hAnsi="Arial" w:cs="Arial" w:eastAsia="Arial" w:hint="default"/>
                <w:sz w:val="18"/>
                <w:szCs w:val="18"/>
              </w:rPr>
              <w:t>%</w:t>
            </w:r>
            <w:r>
              <w:rPr>
                <w:rFonts w:ascii="宋体" w:hAnsi="宋体" w:cs="宋体" w:eastAsia="宋体" w:hint="default"/>
                <w:sz w:val="18"/>
                <w:szCs w:val="18"/>
              </w:rPr>
              <w:t>）</w:t>
            </w:r>
          </w:p>
        </w:tc>
        <w:tc>
          <w:tcPr>
            <w:tcW w:w="1469" w:type="dxa"/>
            <w:vMerge/>
            <w:tcBorders>
              <w:left w:val="single" w:sz="6" w:space="0" w:color="000000"/>
              <w:bottom w:val="single" w:sz="6" w:space="0" w:color="000000"/>
              <w:right w:val="nil" w:sz="6" w:space="0" w:color="auto"/>
            </w:tcBorders>
          </w:tcPr>
          <w:p>
            <w:pPr/>
          </w:p>
        </w:tc>
      </w:tr>
      <w:tr>
        <w:trPr>
          <w:trHeight w:val="494"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99"/>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15,078,961.40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9.80</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12,550,000.00</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w w:val="95"/>
                <w:sz w:val="18"/>
              </w:rPr>
              <w:t>83.23</w:t>
            </w:r>
            <w:r>
              <w:rPr>
                <w:rFonts w:ascii="Arial"/>
                <w:sz w:val="18"/>
              </w:rPr>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2,528,961.40</w:t>
            </w:r>
          </w:p>
        </w:tc>
      </w:tr>
      <w:tr>
        <w:trPr>
          <w:trHeight w:val="497"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80" w:right="99"/>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账准备的其他应收款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2,385,375.00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w w:val="95"/>
                <w:sz w:val="18"/>
              </w:rPr>
              <w:t>1.55</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1" w:right="0"/>
              <w:jc w:val="center"/>
              <w:rPr>
                <w:rFonts w:ascii="Arial" w:hAnsi="Arial" w:cs="Arial" w:eastAsia="Arial" w:hint="default"/>
                <w:sz w:val="18"/>
                <w:szCs w:val="18"/>
              </w:rPr>
            </w:pPr>
            <w:r>
              <w:rPr>
                <w:rFonts w:ascii="Arial"/>
                <w:sz w:val="18"/>
              </w:rPr>
              <w:t>2,385,375.00</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100.00</w:t>
            </w:r>
          </w:p>
        </w:tc>
        <w:tc>
          <w:tcPr>
            <w:tcW w:w="146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99"/>
              <w:jc w:val="left"/>
              <w:rPr>
                <w:rFonts w:ascii="宋体" w:hAnsi="宋体" w:cs="宋体" w:eastAsia="宋体" w:hint="default"/>
                <w:sz w:val="18"/>
                <w:szCs w:val="18"/>
              </w:rPr>
            </w:pPr>
            <w:r>
              <w:rPr>
                <w:rFonts w:ascii="宋体" w:hAnsi="宋体" w:cs="宋体" w:eastAsia="宋体" w:hint="default"/>
                <w:spacing w:val="6"/>
                <w:sz w:val="18"/>
                <w:szCs w:val="18"/>
              </w:rPr>
              <w:t>按组合计提坏账准备的其他应收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9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136,339,139.81</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5"/>
                <w:sz w:val="18"/>
              </w:rPr>
              <w:t>88.65</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1" w:right="0"/>
              <w:jc w:val="center"/>
              <w:rPr>
                <w:rFonts w:ascii="Arial" w:hAnsi="Arial" w:cs="Arial" w:eastAsia="Arial" w:hint="default"/>
                <w:sz w:val="18"/>
                <w:szCs w:val="18"/>
              </w:rPr>
            </w:pPr>
            <w:r>
              <w:rPr>
                <w:rFonts w:ascii="Arial"/>
                <w:sz w:val="18"/>
              </w:rPr>
              <w:t>9,002,063.71</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w w:val="95"/>
                <w:sz w:val="18"/>
              </w:rPr>
              <w:t>6.60</w:t>
            </w:r>
            <w:r>
              <w:rPr>
                <w:rFonts w:ascii="Arial"/>
                <w:sz w:val="18"/>
              </w:rPr>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spacing w:val="-1"/>
                <w:sz w:val="18"/>
              </w:rPr>
              <w:t>127,337,076.10</w:t>
            </w:r>
          </w:p>
        </w:tc>
      </w:tr>
      <w:tr>
        <w:trPr>
          <w:trHeight w:val="341" w:hRule="exact"/>
        </w:trPr>
        <w:tc>
          <w:tcPr>
            <w:tcW w:w="29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right="113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153,803,476.21</w:t>
            </w:r>
            <w:r>
              <w:rPr>
                <w:rFonts w:ascii="Arial"/>
                <w:b/>
                <w:spacing w:val="-1"/>
                <w:sz w:val="18"/>
              </w:rPr>
            </w:r>
            <w:r>
              <w:rPr>
                <w:rFonts w:ascii="Arial"/>
                <w:spacing w:val="-1"/>
                <w:sz w:val="18"/>
              </w:rPr>
            </w:r>
          </w:p>
        </w:tc>
        <w:tc>
          <w:tcPr>
            <w:tcW w:w="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Arial" w:hAnsi="Arial" w:cs="Arial" w:eastAsia="Arial" w:hint="default"/>
                <w:sz w:val="18"/>
                <w:szCs w:val="18"/>
              </w:rPr>
            </w:pPr>
            <w:r>
              <w:rPr>
                <w:rFonts w:ascii="Arial"/>
                <w:b/>
                <w:w w:val="99"/>
                <w:sz w:val="18"/>
              </w:rPr>
            </w:r>
            <w:r>
              <w:rPr>
                <w:rFonts w:ascii="Arial"/>
                <w:b/>
                <w:sz w:val="18"/>
                <w:u w:val="single" w:color="000000"/>
              </w:rPr>
              <w:t>23,937,438.71</w:t>
            </w:r>
            <w:r>
              <w:rPr>
                <w:rFonts w:ascii="Arial"/>
                <w:b/>
                <w:sz w:val="18"/>
              </w:rPr>
            </w:r>
            <w:r>
              <w:rPr>
                <w:rFonts w:ascii="Arial"/>
                <w:sz w:val="18"/>
              </w:rPr>
            </w:r>
          </w:p>
        </w:tc>
        <w:tc>
          <w:tcPr>
            <w:tcW w:w="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w w:val="95"/>
                <w:sz w:val="18"/>
                <w:u w:val="single" w:color="000000"/>
              </w:rPr>
              <w:t>15.56</w:t>
            </w:r>
            <w:r>
              <w:rPr>
                <w:rFonts w:ascii="Arial"/>
                <w:b/>
                <w:w w:val="95"/>
                <w:sz w:val="18"/>
              </w:rPr>
            </w:r>
            <w:r>
              <w:rPr>
                <w:rFonts w:ascii="Arial"/>
                <w:sz w:val="18"/>
              </w:rPr>
            </w:r>
          </w:p>
        </w:tc>
        <w:tc>
          <w:tcPr>
            <w:tcW w:w="14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129,866,037.50</w:t>
            </w:r>
            <w:r>
              <w:rPr>
                <w:rFonts w:ascii="Arial"/>
                <w:b/>
                <w:spacing w:val="-1"/>
                <w:sz w:val="18"/>
              </w:rPr>
            </w:r>
            <w:r>
              <w:rPr>
                <w:rFonts w:ascii="Arial"/>
                <w:spacing w:val="-1"/>
                <w:sz w:val="18"/>
              </w:rPr>
            </w:r>
          </w:p>
        </w:tc>
      </w:tr>
    </w:tbl>
    <w:p>
      <w:pPr>
        <w:pStyle w:val="BodyText"/>
        <w:spacing w:line="240" w:lineRule="auto" w:before="86"/>
        <w:ind w:left="580" w:right="1326"/>
        <w:jc w:val="left"/>
      </w:pPr>
      <w:r>
        <w:rPr/>
        <w:t>组合中，按账龄分析法计提坏账准备的其他应收款：</w:t>
      </w:r>
    </w:p>
    <w:p>
      <w:pPr>
        <w:spacing w:line="240" w:lineRule="auto" w:before="2"/>
        <w:rPr>
          <w:rFonts w:ascii="宋体" w:hAnsi="宋体" w:cs="宋体" w:eastAsia="宋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6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72"/>
              <w:jc w:val="righ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42,422,289.14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65.32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2"/>
                <w:sz w:val="18"/>
              </w:rPr>
              <w:t>2,121,114.46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40,301,174.68</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886,224.12</w:t>
            </w:r>
            <w:r>
              <w:rPr>
                <w:rFonts w:ascii="Arial"/>
                <w:sz w:val="18"/>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w w:val="95"/>
                <w:sz w:val="18"/>
              </w:rPr>
              <w:t>1.36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88,622.41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4"/>
              <w:jc w:val="right"/>
              <w:rPr>
                <w:rFonts w:ascii="Arial" w:hAnsi="Arial" w:cs="Arial" w:eastAsia="Arial" w:hint="default"/>
                <w:sz w:val="18"/>
                <w:szCs w:val="18"/>
              </w:rPr>
            </w:pPr>
            <w:r>
              <w:rPr>
                <w:rFonts w:ascii="Arial"/>
                <w:spacing w:val="-1"/>
                <w:sz w:val="18"/>
              </w:rPr>
              <w:t>797,601.71</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16,149,099.42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24.86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Arial" w:hAnsi="Arial" w:cs="Arial" w:eastAsia="Arial" w:hint="default"/>
                <w:sz w:val="18"/>
                <w:szCs w:val="18"/>
              </w:rPr>
            </w:pPr>
            <w:r>
              <w:rPr>
                <w:rFonts w:ascii="Arial"/>
                <w:spacing w:val="-1"/>
                <w:sz w:val="18"/>
              </w:rPr>
              <w:t>2,422,364.91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13,726,734.51</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5,489,568.26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8.45</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1,646,870.48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3,842,697.78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64,947,180.94</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6,278,972.26</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58,668,208.68</w:t>
            </w:r>
            <w:r>
              <w:rPr>
                <w:rFonts w:ascii="Arial"/>
                <w:b/>
                <w:spacing w:val="-1"/>
                <w:sz w:val="18"/>
              </w:rPr>
            </w:r>
            <w:r>
              <w:rPr>
                <w:rFonts w:ascii="Arial"/>
                <w:spacing w:val="-1"/>
                <w:sz w:val="18"/>
              </w:rPr>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72"/>
              <w:jc w:val="righ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107,656,628.61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z w:val="18"/>
              </w:rPr>
              <w:t>78.97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4"/>
              <w:jc w:val="right"/>
              <w:rPr>
                <w:rFonts w:ascii="Arial" w:hAnsi="Arial" w:cs="Arial" w:eastAsia="Arial" w:hint="default"/>
                <w:sz w:val="18"/>
                <w:szCs w:val="18"/>
              </w:rPr>
            </w:pPr>
            <w:r>
              <w:rPr>
                <w:rFonts w:ascii="Arial"/>
                <w:spacing w:val="-1"/>
                <w:sz w:val="18"/>
              </w:rPr>
              <w:t>5,391,006.43</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102,265,622.18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22,663,322.94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w w:val="95"/>
                <w:sz w:val="18"/>
              </w:rPr>
              <w:t>16.62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2,266,332.29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20,396,990.65</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3,073,543.26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2.25</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461,031.49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2"/>
                <w:sz w:val="18"/>
              </w:rPr>
              <w:t>2,612,511.77</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2,945,645.00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2.16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883,693.50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2,061,951.50</w:t>
            </w:r>
          </w:p>
        </w:tc>
      </w:tr>
      <w:tr>
        <w:trPr>
          <w:trHeight w:val="362"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right="7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136,339,139.81</w:t>
            </w:r>
            <w:r>
              <w:rPr>
                <w:rFonts w:ascii="Arial"/>
                <w:b/>
                <w:spacing w:val="-1"/>
                <w:sz w:val="18"/>
              </w:rPr>
            </w:r>
            <w:r>
              <w:rPr>
                <w:rFonts w:ascii="Arial"/>
                <w:spacing w:val="-1"/>
                <w:sz w:val="18"/>
              </w:rPr>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9,002,063.71</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127,337,076.10</w:t>
            </w:r>
            <w:r>
              <w:rPr>
                <w:rFonts w:ascii="Arial"/>
                <w:b/>
                <w:spacing w:val="-1"/>
                <w:sz w:val="18"/>
              </w:rPr>
            </w:r>
            <w:r>
              <w:rPr>
                <w:rFonts w:ascii="Arial"/>
                <w:spacing w:val="-1"/>
                <w:sz w:val="18"/>
              </w:rPr>
            </w:r>
          </w:p>
        </w:tc>
      </w:tr>
    </w:tbl>
    <w:p>
      <w:pPr>
        <w:pStyle w:val="BodyText"/>
        <w:spacing w:line="240" w:lineRule="auto" w:before="86"/>
        <w:ind w:left="580" w:right="1326"/>
        <w:jc w:val="left"/>
      </w:pPr>
      <w:r>
        <w:rPr/>
        <w:t>年末单项金额重大并单项计提坏账准备或单项金额虽不重大但单项计提坏账准备的其他应收</w:t>
      </w:r>
    </w:p>
    <w:p>
      <w:pPr>
        <w:pStyle w:val="BodyText"/>
        <w:spacing w:line="240" w:lineRule="auto" w:before="135"/>
        <w:ind w:left="160" w:right="1326"/>
        <w:jc w:val="left"/>
      </w:pPr>
      <w:r>
        <w:rPr>
          <w:w w:val="100"/>
        </w:rPr>
        <w:t>款</w:t>
      </w:r>
    </w:p>
    <w:p>
      <w:pPr>
        <w:spacing w:line="240" w:lineRule="auto" w:before="12"/>
        <w:rPr>
          <w:rFonts w:ascii="宋体" w:hAnsi="宋体" w:cs="宋体" w:eastAsia="宋体" w:hint="default"/>
          <w:sz w:val="21"/>
          <w:szCs w:val="21"/>
        </w:rPr>
      </w:pPr>
    </w:p>
    <w:tbl>
      <w:tblPr>
        <w:tblW w:w="0" w:type="auto"/>
        <w:jc w:val="left"/>
        <w:tblInd w:w="222" w:type="dxa"/>
        <w:tblLayout w:type="fixed"/>
        <w:tblCellMar>
          <w:top w:w="0" w:type="dxa"/>
          <w:left w:w="0" w:type="dxa"/>
          <w:bottom w:w="0" w:type="dxa"/>
          <w:right w:w="0" w:type="dxa"/>
        </w:tblCellMar>
        <w:tblLook w:val="01E0"/>
      </w:tblPr>
      <w:tblGrid>
        <w:gridCol w:w="2828"/>
        <w:gridCol w:w="1654"/>
        <w:gridCol w:w="1776"/>
        <w:gridCol w:w="1388"/>
        <w:gridCol w:w="1214"/>
      </w:tblGrid>
      <w:tr>
        <w:trPr>
          <w:trHeight w:val="365" w:hRule="exact"/>
        </w:trPr>
        <w:tc>
          <w:tcPr>
            <w:tcW w:w="2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78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278" w:right="0"/>
              <w:jc w:val="left"/>
              <w:rPr>
                <w:rFonts w:ascii="宋体" w:hAnsi="宋体" w:cs="宋体" w:eastAsia="宋体" w:hint="default"/>
                <w:sz w:val="18"/>
                <w:szCs w:val="18"/>
              </w:rPr>
            </w:pPr>
            <w:r>
              <w:rPr>
                <w:rFonts w:ascii="宋体" w:hAnsi="宋体" w:cs="宋体" w:eastAsia="宋体" w:hint="default"/>
                <w:sz w:val="18"/>
                <w:szCs w:val="18"/>
              </w:rPr>
              <w:t>年末账面金额</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341"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69"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2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left="420"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353"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12,528,961.40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12,528,961.40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47,035,757.28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42,000,000.00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18"/>
                <w:szCs w:val="18"/>
              </w:rPr>
            </w:pPr>
            <w:r>
              <w:rPr>
                <w:rFonts w:ascii="Arial"/>
                <w:sz w:val="18"/>
              </w:rPr>
              <w:t>90</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10,061,577.14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10,061,577.14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西藏中科生物技术开发有限公司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2,550,000.00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2,550,000.00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365" w:hRule="exact"/>
        </w:trPr>
        <w:tc>
          <w:tcPr>
            <w:tcW w:w="28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其它单位</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3,456,491.16</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3,456,491.16</w:t>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5</w:t>
            </w:r>
          </w:p>
        </w:tc>
      </w:tr>
    </w:tbl>
    <w:p>
      <w:pPr>
        <w:spacing w:after="0" w:line="240" w:lineRule="auto"/>
        <w:jc w:val="left"/>
        <w:rPr>
          <w:rFonts w:ascii="Arial" w:hAnsi="Arial" w:cs="Arial" w:eastAsia="Arial" w:hint="default"/>
          <w:sz w:val="18"/>
          <w:szCs w:val="18"/>
        </w:rPr>
        <w:sectPr>
          <w:footerReference w:type="even" r:id="rId34"/>
          <w:footerReference w:type="default" r:id="rId35"/>
          <w:pgSz w:w="11910" w:h="16840"/>
          <w:pgMar w:footer="1013" w:header="884" w:top="1080" w:bottom="1200" w:left="1280" w:right="0"/>
          <w:pgNumType w:start="102"/>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33"/>
        <w:gridCol w:w="1654"/>
        <w:gridCol w:w="1776"/>
        <w:gridCol w:w="1388"/>
        <w:gridCol w:w="1214"/>
      </w:tblGrid>
      <w:tr>
        <w:trPr>
          <w:trHeight w:val="379" w:hRule="exact"/>
        </w:trPr>
        <w:tc>
          <w:tcPr>
            <w:tcW w:w="2933" w:type="dxa"/>
            <w:tcBorders>
              <w:top w:val="single" w:sz="17" w:space="0" w:color="000000"/>
              <w:left w:val="nil" w:sz="6" w:space="0" w:color="auto"/>
              <w:bottom w:val="single" w:sz="12" w:space="0" w:color="000000"/>
              <w:right w:val="single" w:sz="6" w:space="0" w:color="000000"/>
            </w:tcBorders>
          </w:tcPr>
          <w:p>
            <w:pPr>
              <w:pStyle w:val="TableParagraph"/>
              <w:spacing w:line="240" w:lineRule="auto" w:before="32"/>
              <w:ind w:left="12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4"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61"/>
              <w:ind w:left="383" w:right="0"/>
              <w:jc w:val="left"/>
              <w:rPr>
                <w:rFonts w:ascii="Arial" w:hAnsi="Arial" w:cs="Arial" w:eastAsia="Arial" w:hint="default"/>
                <w:sz w:val="18"/>
                <w:szCs w:val="18"/>
              </w:rPr>
            </w:pPr>
            <w:r>
              <w:rPr>
                <w:rFonts w:ascii="Arial"/>
                <w:b/>
                <w:w w:val="99"/>
                <w:sz w:val="18"/>
              </w:rPr>
            </w:r>
            <w:r>
              <w:rPr>
                <w:rFonts w:ascii="Arial"/>
                <w:b/>
                <w:sz w:val="18"/>
                <w:u w:val="single" w:color="000000"/>
              </w:rPr>
              <w:t>75,632,786.98</w:t>
            </w:r>
            <w:r>
              <w:rPr>
                <w:rFonts w:ascii="Arial"/>
                <w:b/>
                <w:sz w:val="18"/>
              </w:rPr>
            </w:r>
            <w:r>
              <w:rPr>
                <w:rFonts w:ascii="Arial"/>
                <w:sz w:val="18"/>
              </w:rPr>
            </w:r>
          </w:p>
        </w:tc>
        <w:tc>
          <w:tcPr>
            <w:tcW w:w="1776"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61"/>
              <w:ind w:left="509" w:right="0"/>
              <w:jc w:val="left"/>
              <w:rPr>
                <w:rFonts w:ascii="Arial" w:hAnsi="Arial" w:cs="Arial" w:eastAsia="Arial" w:hint="default"/>
                <w:sz w:val="18"/>
                <w:szCs w:val="18"/>
              </w:rPr>
            </w:pPr>
            <w:r>
              <w:rPr>
                <w:rFonts w:ascii="Arial"/>
                <w:b/>
                <w:w w:val="99"/>
                <w:sz w:val="18"/>
              </w:rPr>
            </w:r>
            <w:r>
              <w:rPr>
                <w:rFonts w:ascii="Arial"/>
                <w:b/>
                <w:sz w:val="18"/>
                <w:u w:val="single" w:color="000000"/>
              </w:rPr>
              <w:t>70,597,029.70</w:t>
            </w:r>
            <w:r>
              <w:rPr>
                <w:rFonts w:ascii="Arial"/>
                <w:b/>
                <w:sz w:val="18"/>
              </w:rPr>
            </w:r>
            <w:r>
              <w:rPr>
                <w:rFonts w:ascii="Arial"/>
                <w:sz w:val="18"/>
              </w:rPr>
            </w:r>
          </w:p>
        </w:tc>
        <w:tc>
          <w:tcPr>
            <w:tcW w:w="1388" w:type="dxa"/>
            <w:tcBorders>
              <w:top w:val="single" w:sz="17" w:space="0" w:color="000000"/>
              <w:left w:val="single" w:sz="6" w:space="0" w:color="000000"/>
              <w:bottom w:val="single" w:sz="12" w:space="0" w:color="000000"/>
              <w:right w:val="single" w:sz="6" w:space="0" w:color="000000"/>
            </w:tcBorders>
          </w:tcPr>
          <w:p>
            <w:pPr/>
          </w:p>
        </w:tc>
        <w:tc>
          <w:tcPr>
            <w:tcW w:w="1214" w:type="dxa"/>
            <w:tcBorders>
              <w:top w:val="single" w:sz="17" w:space="0" w:color="000000"/>
              <w:left w:val="single" w:sz="6" w:space="0" w:color="000000"/>
              <w:bottom w:val="single" w:sz="12" w:space="0" w:color="000000"/>
              <w:right w:val="nil" w:sz="6" w:space="0" w:color="auto"/>
            </w:tcBorders>
          </w:tcPr>
          <w:p>
            <w:pPr/>
          </w:p>
        </w:tc>
      </w:tr>
    </w:tbl>
    <w:p>
      <w:pPr>
        <w:pStyle w:val="BodyText"/>
        <w:spacing w:line="338" w:lineRule="auto" w:before="86"/>
        <w:ind w:right="1431" w:firstLine="420"/>
        <w:jc w:val="both"/>
      </w:pPr>
      <w:r>
        <w:rPr/>
        <w:t>注</w:t>
      </w:r>
      <w:r>
        <w:rPr>
          <w:spacing w:val="-33"/>
        </w:rPr>
        <w:t> </w:t>
      </w:r>
      <w:r>
        <w:rPr>
          <w:rFonts w:ascii="Arial" w:hAnsi="Arial" w:cs="Arial" w:eastAsia="Arial" w:hint="default"/>
          <w:spacing w:val="-3"/>
        </w:rPr>
        <w:t>1</w:t>
      </w:r>
      <w:r>
        <w:rPr>
          <w:spacing w:val="-3"/>
        </w:rPr>
        <w:t>：公司上年对应收重庆福瑞制药有限公司欠款</w:t>
      </w:r>
      <w:r>
        <w:rPr>
          <w:spacing w:val="-36"/>
        </w:rPr>
        <w:t> </w:t>
      </w:r>
      <w:r>
        <w:rPr>
          <w:rFonts w:ascii="Arial" w:hAnsi="Arial" w:cs="Arial" w:eastAsia="Arial" w:hint="default"/>
        </w:rPr>
        <w:t>1,252.90</w:t>
      </w:r>
      <w:r>
        <w:rPr>
          <w:rFonts w:ascii="Arial" w:hAnsi="Arial" w:cs="Arial" w:eastAsia="Arial" w:hint="default"/>
          <w:spacing w:val="14"/>
        </w:rPr>
        <w:t> </w:t>
      </w:r>
      <w:r>
        <w:rPr>
          <w:spacing w:val="-4"/>
        </w:rPr>
        <w:t>万元，单独进行减值测试，预计能</w:t>
      </w:r>
      <w:r>
        <w:rPr>
          <w:w w:val="100"/>
        </w:rPr>
        <w:t> </w:t>
      </w:r>
      <w:r>
        <w:rPr/>
        <w:t>收回的金额较少，已按</w:t>
      </w:r>
      <w:r>
        <w:rPr>
          <w:spacing w:val="-32"/>
        </w:rPr>
        <w:t> </w:t>
      </w:r>
      <w:r>
        <w:rPr>
          <w:rFonts w:ascii="Arial" w:hAnsi="Arial" w:cs="Arial" w:eastAsia="Arial" w:hint="default"/>
        </w:rPr>
        <w:t>80%</w:t>
      </w:r>
      <w:r>
        <w:rPr/>
        <w:t>的比例单项计提坏账准备</w:t>
      </w:r>
      <w:r>
        <w:rPr>
          <w:spacing w:val="-30"/>
        </w:rPr>
        <w:t> </w:t>
      </w:r>
      <w:r>
        <w:rPr>
          <w:rFonts w:ascii="Arial" w:hAnsi="Arial" w:cs="Arial" w:eastAsia="Arial" w:hint="default"/>
        </w:rPr>
        <w:t>1,000.00</w:t>
      </w:r>
      <w:r>
        <w:rPr>
          <w:rFonts w:ascii="Arial" w:hAnsi="Arial" w:cs="Arial" w:eastAsia="Arial" w:hint="default"/>
          <w:spacing w:val="15"/>
        </w:rPr>
        <w:t> </w:t>
      </w:r>
      <w:r>
        <w:rPr/>
        <w:t>万元，本年该款项收回的可能性仍</w:t>
      </w:r>
      <w:r>
        <w:rPr>
          <w:w w:val="100"/>
        </w:rPr>
        <w:t> </w:t>
      </w:r>
      <w:r>
        <w:rPr/>
        <w:t>较小，故对剩余</w:t>
      </w:r>
      <w:r>
        <w:rPr>
          <w:spacing w:val="-53"/>
        </w:rPr>
        <w:t> </w:t>
      </w:r>
      <w:r>
        <w:rPr>
          <w:rFonts w:ascii="Arial" w:hAnsi="Arial" w:cs="Arial" w:eastAsia="Arial" w:hint="default"/>
        </w:rPr>
        <w:t>20%</w:t>
      </w:r>
      <w:r>
        <w:rPr/>
        <w:t>款项全额计提减值准备；</w:t>
      </w:r>
    </w:p>
    <w:p>
      <w:pPr>
        <w:pStyle w:val="BodyText"/>
        <w:spacing w:line="340" w:lineRule="auto" w:before="142"/>
        <w:ind w:right="1433" w:firstLine="420"/>
        <w:jc w:val="both"/>
      </w:pPr>
      <w:r>
        <w:rPr/>
        <w:t>注</w:t>
      </w:r>
      <w:r>
        <w:rPr>
          <w:spacing w:val="-35"/>
        </w:rPr>
        <w:t> </w:t>
      </w:r>
      <w:r>
        <w:rPr>
          <w:rFonts w:ascii="Arial" w:hAnsi="Arial" w:cs="Arial" w:eastAsia="Arial" w:hint="default"/>
          <w:spacing w:val="-3"/>
        </w:rPr>
        <w:t>2</w:t>
      </w:r>
      <w:r>
        <w:rPr>
          <w:spacing w:val="-3"/>
        </w:rPr>
        <w:t>：公司对应收西藏中科生物技术开发有限公司欠款</w:t>
      </w:r>
      <w:r>
        <w:rPr>
          <w:spacing w:val="-34"/>
        </w:rPr>
        <w:t> </w:t>
      </w:r>
      <w:r>
        <w:rPr>
          <w:rFonts w:ascii="Arial" w:hAnsi="Arial" w:cs="Arial" w:eastAsia="Arial" w:hint="default"/>
        </w:rPr>
        <w:t>255.00</w:t>
      </w:r>
      <w:r>
        <w:rPr>
          <w:rFonts w:ascii="Arial" w:hAnsi="Arial" w:cs="Arial" w:eastAsia="Arial" w:hint="default"/>
          <w:spacing w:val="9"/>
        </w:rPr>
        <w:t> </w:t>
      </w:r>
      <w:r>
        <w:rPr>
          <w:spacing w:val="-6"/>
        </w:rPr>
        <w:t>万元，单独进行减值测试，有证</w:t>
      </w:r>
      <w:r>
        <w:rPr>
          <w:w w:val="100"/>
        </w:rPr>
        <w:t> </w:t>
      </w:r>
      <w:r>
        <w:rPr/>
        <w:t>据表明这些款项已无法收回，已于以前年度对其全额计提坏账准备；</w:t>
      </w:r>
    </w:p>
    <w:p>
      <w:pPr>
        <w:pStyle w:val="BodyText"/>
        <w:spacing w:line="338" w:lineRule="auto" w:before="167"/>
        <w:ind w:right="1431" w:firstLine="420"/>
        <w:jc w:val="both"/>
      </w:pPr>
      <w:r>
        <w:rPr/>
        <w:t>注</w:t>
      </w:r>
      <w:r>
        <w:rPr>
          <w:spacing w:val="-33"/>
        </w:rPr>
        <w:t> </w:t>
      </w:r>
      <w:r>
        <w:rPr>
          <w:rFonts w:ascii="Arial" w:hAnsi="Arial" w:cs="Arial" w:eastAsia="Arial" w:hint="default"/>
          <w:spacing w:val="-3"/>
        </w:rPr>
        <w:t>3</w:t>
      </w:r>
      <w:r>
        <w:rPr>
          <w:spacing w:val="-3"/>
        </w:rPr>
        <w:t>：公司对应收子公司重庆美联制药有限公司欠款</w:t>
      </w:r>
      <w:r>
        <w:rPr>
          <w:spacing w:val="-32"/>
        </w:rPr>
        <w:t> </w:t>
      </w:r>
      <w:r>
        <w:rPr>
          <w:rFonts w:ascii="Arial" w:hAnsi="Arial" w:cs="Arial" w:eastAsia="Arial" w:hint="default"/>
        </w:rPr>
        <w:t>4,703.58</w:t>
      </w:r>
      <w:r>
        <w:rPr>
          <w:rFonts w:ascii="Arial" w:hAnsi="Arial" w:cs="Arial" w:eastAsia="Arial" w:hint="default"/>
          <w:spacing w:val="11"/>
        </w:rPr>
        <w:t> </w:t>
      </w:r>
      <w:r>
        <w:rPr>
          <w:spacing w:val="-4"/>
        </w:rPr>
        <w:t>万元，单独进行减值测试，预计</w:t>
      </w:r>
      <w:r>
        <w:rPr>
          <w:w w:val="100"/>
        </w:rPr>
        <w:t> </w:t>
      </w:r>
      <w:r>
        <w:rPr/>
        <w:t>能收回的金额较少，本年按</w:t>
      </w:r>
      <w:r>
        <w:rPr>
          <w:spacing w:val="-57"/>
        </w:rPr>
        <w:t> </w:t>
      </w:r>
      <w:r>
        <w:rPr>
          <w:rFonts w:ascii="Arial" w:hAnsi="Arial" w:cs="Arial" w:eastAsia="Arial" w:hint="default"/>
        </w:rPr>
        <w:t>90%</w:t>
      </w:r>
      <w:r>
        <w:rPr/>
        <w:t>比例计提坏账准备；</w:t>
      </w:r>
    </w:p>
    <w:p>
      <w:pPr>
        <w:pStyle w:val="BodyText"/>
        <w:spacing w:line="340" w:lineRule="auto" w:before="144"/>
        <w:ind w:right="1433" w:firstLine="420"/>
        <w:jc w:val="both"/>
      </w:pPr>
      <w:r>
        <w:rPr/>
        <w:t>注</w:t>
      </w:r>
      <w:r>
        <w:rPr>
          <w:spacing w:val="-38"/>
        </w:rPr>
        <w:t> </w:t>
      </w:r>
      <w:r>
        <w:rPr>
          <w:rFonts w:ascii="Arial" w:hAnsi="Arial" w:cs="Arial" w:eastAsia="Arial" w:hint="default"/>
          <w:spacing w:val="-3"/>
        </w:rPr>
        <w:t>4</w:t>
      </w:r>
      <w:r>
        <w:rPr>
          <w:spacing w:val="-3"/>
        </w:rPr>
        <w:t>：公司对已支付美国华盛顿大学款项</w:t>
      </w:r>
      <w:r>
        <w:rPr>
          <w:spacing w:val="-38"/>
        </w:rPr>
        <w:t> </w:t>
      </w:r>
      <w:r>
        <w:rPr>
          <w:rFonts w:ascii="Arial" w:hAnsi="Arial" w:cs="Arial" w:eastAsia="Arial" w:hint="default"/>
        </w:rPr>
        <w:t>1,006.16</w:t>
      </w:r>
      <w:r>
        <w:rPr>
          <w:rFonts w:ascii="Arial" w:hAnsi="Arial" w:cs="Arial" w:eastAsia="Arial" w:hint="default"/>
          <w:spacing w:val="6"/>
        </w:rPr>
        <w:t> </w:t>
      </w:r>
      <w:r>
        <w:rPr>
          <w:spacing w:val="-3"/>
        </w:rPr>
        <w:t>万元，单独进行减值测试，有证据表明这些</w:t>
      </w:r>
      <w:r>
        <w:rPr>
          <w:w w:val="100"/>
        </w:rPr>
        <w:t> </w:t>
      </w:r>
      <w:r>
        <w:rPr/>
        <w:t>款项已无法收回，本年对其全额计提坏账准备。</w:t>
      </w:r>
    </w:p>
    <w:p>
      <w:pPr>
        <w:pStyle w:val="BodyText"/>
        <w:spacing w:line="340" w:lineRule="auto" w:before="165"/>
        <w:ind w:right="1431" w:firstLine="420"/>
        <w:jc w:val="both"/>
      </w:pPr>
      <w:r>
        <w:rPr/>
        <w:t>注</w:t>
      </w:r>
      <w:r>
        <w:rPr>
          <w:spacing w:val="-22"/>
        </w:rPr>
        <w:t> </w:t>
      </w:r>
      <w:r>
        <w:rPr>
          <w:rFonts w:ascii="Arial" w:hAnsi="Arial" w:cs="Arial" w:eastAsia="Arial" w:hint="default"/>
        </w:rPr>
        <w:t>5</w:t>
      </w:r>
      <w:r>
        <w:rPr/>
        <w:t>：公司对其它单项金额虽不重大，但单独进行减值测试，可收回性较小的款项计提减值准</w:t>
      </w:r>
      <w:r>
        <w:rPr>
          <w:w w:val="100"/>
        </w:rPr>
        <w:t> </w:t>
      </w:r>
      <w:r>
        <w:rPr/>
        <w:t>备共计</w:t>
      </w:r>
      <w:r>
        <w:rPr>
          <w:spacing w:val="-53"/>
        </w:rPr>
        <w:t> </w:t>
      </w:r>
      <w:r>
        <w:rPr>
          <w:rFonts w:ascii="Arial" w:hAnsi="Arial" w:cs="Arial" w:eastAsia="Arial" w:hint="default"/>
        </w:rPr>
        <w:t>345.65</w:t>
      </w:r>
      <w:r>
        <w:rPr>
          <w:rFonts w:ascii="Arial" w:hAnsi="Arial" w:cs="Arial" w:eastAsia="Arial" w:hint="default"/>
          <w:spacing w:val="-8"/>
        </w:rPr>
        <w:t> </w:t>
      </w:r>
      <w:r>
        <w:rPr/>
        <w:t>万元。</w:t>
      </w:r>
    </w:p>
    <w:p>
      <w:pPr>
        <w:pStyle w:val="BodyText"/>
        <w:spacing w:line="240" w:lineRule="auto" w:before="139"/>
        <w:ind w:left="560" w:right="1205"/>
        <w:jc w:val="left"/>
      </w:pPr>
      <w:r>
        <w:rPr/>
        <w:t>（</w:t>
      </w:r>
      <w:r>
        <w:rPr>
          <w:rFonts w:ascii="Arial" w:hAnsi="Arial" w:cs="Arial" w:eastAsia="Arial" w:hint="default"/>
        </w:rPr>
        <w:t>2</w:t>
      </w:r>
      <w:r>
        <w:rPr/>
        <w:t>）本报告期其他应收款中无持有本公司</w:t>
      </w:r>
      <w:r>
        <w:rPr>
          <w:spacing w:val="-58"/>
        </w:rPr>
        <w:t> </w:t>
      </w:r>
      <w:r>
        <w:rPr>
          <w:rFonts w:ascii="Arial" w:hAnsi="Arial" w:cs="Arial" w:eastAsia="Arial" w:hint="default"/>
        </w:rPr>
        <w:t>5%</w:t>
      </w:r>
      <w:r>
        <w:rPr/>
        <w:t>（含</w:t>
      </w:r>
      <w:r>
        <w:rPr>
          <w:spacing w:val="-60"/>
        </w:rPr>
        <w:t> </w:t>
      </w:r>
      <w:r>
        <w:rPr>
          <w:rFonts w:ascii="Arial" w:hAnsi="Arial" w:cs="Arial" w:eastAsia="Arial" w:hint="default"/>
        </w:rPr>
        <w:t>5%</w:t>
      </w:r>
      <w:r>
        <w:rPr/>
        <w:t>）以上表决权股份的股东单位欠款。</w:t>
      </w:r>
    </w:p>
    <w:p>
      <w:pPr>
        <w:spacing w:line="240" w:lineRule="auto" w:before="6"/>
        <w:rPr>
          <w:rFonts w:ascii="宋体" w:hAnsi="宋体" w:cs="宋体" w:eastAsia="宋体" w:hint="default"/>
          <w:sz w:val="24"/>
          <w:szCs w:val="24"/>
        </w:rPr>
      </w:pPr>
    </w:p>
    <w:p>
      <w:pPr>
        <w:pStyle w:val="BodyText"/>
        <w:spacing w:line="240" w:lineRule="auto"/>
        <w:ind w:left="560" w:right="1205"/>
        <w:jc w:val="left"/>
      </w:pPr>
      <w:r>
        <w:rPr/>
        <w:t>（</w:t>
      </w:r>
      <w:r>
        <w:rPr>
          <w:rFonts w:ascii="Arial" w:hAnsi="Arial" w:cs="Arial" w:eastAsia="Arial" w:hint="default"/>
        </w:rPr>
        <w:t>3</w:t>
      </w:r>
      <w:r>
        <w:rPr/>
        <w:t>）年末其他应收款前五名单位列示如下：</w:t>
      </w:r>
    </w:p>
    <w:p>
      <w:pPr>
        <w:spacing w:line="240" w:lineRule="auto" w:before="6"/>
        <w:rPr>
          <w:rFonts w:ascii="宋体" w:hAnsi="宋体" w:cs="宋体" w:eastAsia="宋体" w:hint="default"/>
          <w:sz w:val="22"/>
          <w:szCs w:val="22"/>
        </w:rPr>
      </w:pPr>
    </w:p>
    <w:tbl>
      <w:tblPr>
        <w:tblW w:w="0" w:type="auto"/>
        <w:jc w:val="left"/>
        <w:tblInd w:w="183" w:type="dxa"/>
        <w:tblLayout w:type="fixed"/>
        <w:tblCellMar>
          <w:top w:w="0" w:type="dxa"/>
          <w:left w:w="0" w:type="dxa"/>
          <w:bottom w:w="0" w:type="dxa"/>
          <w:right w:w="0" w:type="dxa"/>
        </w:tblCellMar>
        <w:tblLook w:val="01E0"/>
      </w:tblPr>
      <w:tblGrid>
        <w:gridCol w:w="3113"/>
        <w:gridCol w:w="972"/>
        <w:gridCol w:w="1325"/>
        <w:gridCol w:w="1498"/>
        <w:gridCol w:w="973"/>
        <w:gridCol w:w="1018"/>
      </w:tblGrid>
      <w:tr>
        <w:trPr>
          <w:trHeight w:val="982" w:hRule="exact"/>
        </w:trPr>
        <w:tc>
          <w:tcPr>
            <w:tcW w:w="31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年末金额</w:t>
            </w:r>
          </w:p>
        </w:tc>
        <w:tc>
          <w:tcPr>
            <w:tcW w:w="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018"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41" w:right="146"/>
              <w:jc w:val="both"/>
              <w:rPr>
                <w:rFonts w:ascii="宋体" w:hAnsi="宋体" w:cs="宋体" w:eastAsia="宋体" w:hint="default"/>
                <w:sz w:val="18"/>
                <w:szCs w:val="18"/>
              </w:rPr>
            </w:pPr>
            <w:r>
              <w:rPr>
                <w:rFonts w:ascii="宋体" w:hAnsi="宋体" w:cs="宋体" w:eastAsia="宋体" w:hint="default"/>
                <w:sz w:val="18"/>
                <w:szCs w:val="18"/>
              </w:rPr>
              <w:t>占其他应 收款总额 的比例</w:t>
            </w:r>
          </w:p>
          <w:p>
            <w:pPr>
              <w:pStyle w:val="TableParagraph"/>
              <w:spacing w:line="230" w:lineRule="exact"/>
              <w:ind w:left="240" w:right="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47,035,757.28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33.46</w:t>
            </w:r>
            <w:r>
              <w:rPr>
                <w:rFonts w:ascii="Arial"/>
                <w:sz w:val="18"/>
              </w:rPr>
            </w:r>
          </w:p>
        </w:tc>
      </w:tr>
      <w:tr>
        <w:trPr>
          <w:trHeight w:val="384"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53,229,326.44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37.86</w:t>
            </w:r>
            <w:r>
              <w:rPr>
                <w:rFonts w:ascii="Arial"/>
                <w:sz w:val="18"/>
              </w:rPr>
            </w:r>
          </w:p>
        </w:tc>
      </w:tr>
      <w:tr>
        <w:trPr>
          <w:trHeight w:val="384"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12,528,961.40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8.91</w:t>
            </w:r>
            <w:r>
              <w:rPr>
                <w:rFonts w:ascii="Arial"/>
                <w:sz w:val="18"/>
              </w:rPr>
            </w:r>
          </w:p>
        </w:tc>
      </w:tr>
      <w:tr>
        <w:trPr>
          <w:trHeight w:val="384"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10,061,577.14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7.16</w:t>
            </w:r>
            <w:r>
              <w:rPr>
                <w:rFonts w:ascii="Arial"/>
                <w:sz w:val="18"/>
              </w:rPr>
            </w:r>
          </w:p>
        </w:tc>
      </w:tr>
      <w:tr>
        <w:trPr>
          <w:trHeight w:val="384"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2"/>
                <w:sz w:val="18"/>
              </w:rPr>
              <w:t>4,011,508.25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2.85</w:t>
            </w:r>
            <w:r>
              <w:rPr>
                <w:rFonts w:ascii="Arial"/>
                <w:sz w:val="18"/>
              </w:rPr>
            </w:r>
          </w:p>
        </w:tc>
      </w:tr>
      <w:tr>
        <w:trPr>
          <w:trHeight w:val="394" w:hRule="exact"/>
        </w:trPr>
        <w:tc>
          <w:tcPr>
            <w:tcW w:w="3113"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72"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126,867,130.51</w:t>
            </w:r>
            <w:r>
              <w:rPr>
                <w:rFonts w:ascii="Arial"/>
                <w:b/>
                <w:spacing w:val="-1"/>
                <w:sz w:val="18"/>
              </w:rPr>
            </w:r>
            <w:r>
              <w:rPr>
                <w:rFonts w:ascii="Arial"/>
                <w:spacing w:val="-1"/>
                <w:sz w:val="18"/>
              </w:rPr>
            </w:r>
          </w:p>
        </w:tc>
        <w:tc>
          <w:tcPr>
            <w:tcW w:w="973" w:type="dxa"/>
            <w:tcBorders>
              <w:top w:val="single" w:sz="6" w:space="0" w:color="000000"/>
              <w:left w:val="single" w:sz="6" w:space="0" w:color="000000"/>
              <w:bottom w:val="single" w:sz="12" w:space="0" w:color="000000"/>
              <w:right w:val="single" w:sz="6" w:space="0" w:color="000000"/>
            </w:tcBorders>
          </w:tcPr>
          <w:p>
            <w:pPr/>
          </w:p>
        </w:tc>
        <w:tc>
          <w:tcPr>
            <w:tcW w:w="10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b/>
                <w:w w:val="99"/>
                <w:sz w:val="18"/>
              </w:rPr>
            </w:r>
            <w:r>
              <w:rPr>
                <w:rFonts w:ascii="Arial"/>
                <w:b/>
                <w:w w:val="95"/>
                <w:sz w:val="18"/>
                <w:u w:val="single" w:color="000000"/>
              </w:rPr>
              <w:t>90.24</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pStyle w:val="BodyText"/>
        <w:spacing w:line="240" w:lineRule="auto" w:before="36"/>
        <w:ind w:left="560" w:right="1205"/>
        <w:jc w:val="left"/>
      </w:pPr>
      <w:r>
        <w:rPr/>
        <w:t>（</w:t>
      </w:r>
      <w:r>
        <w:rPr>
          <w:rFonts w:ascii="Arial" w:hAnsi="Arial" w:cs="Arial" w:eastAsia="Arial" w:hint="default"/>
        </w:rPr>
        <w:t>4</w:t>
      </w:r>
      <w:r>
        <w:rPr/>
        <w:t>）应收关联方款项</w:t>
      </w:r>
    </w:p>
    <w:p>
      <w:pPr>
        <w:spacing w:line="240" w:lineRule="auto" w:before="4"/>
        <w:rPr>
          <w:rFonts w:ascii="宋体" w:hAnsi="宋体" w:cs="宋体" w:eastAsia="宋体" w:hint="default"/>
          <w:sz w:val="22"/>
          <w:szCs w:val="22"/>
        </w:rPr>
      </w:pPr>
    </w:p>
    <w:tbl>
      <w:tblPr>
        <w:tblW w:w="0" w:type="auto"/>
        <w:jc w:val="left"/>
        <w:tblInd w:w="178" w:type="dxa"/>
        <w:tblLayout w:type="fixed"/>
        <w:tblCellMar>
          <w:top w:w="0" w:type="dxa"/>
          <w:left w:w="0" w:type="dxa"/>
          <w:bottom w:w="0" w:type="dxa"/>
          <w:right w:w="0" w:type="dxa"/>
        </w:tblCellMar>
        <w:tblLook w:val="01E0"/>
      </w:tblPr>
      <w:tblGrid>
        <w:gridCol w:w="3363"/>
        <w:gridCol w:w="1875"/>
        <w:gridCol w:w="1783"/>
        <w:gridCol w:w="1887"/>
      </w:tblGrid>
      <w:tr>
        <w:trPr>
          <w:trHeight w:val="505" w:hRule="exact"/>
        </w:trPr>
        <w:tc>
          <w:tcPr>
            <w:tcW w:w="33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hAnsi="宋体" w:cs="宋体" w:eastAsia="宋体" w:hint="default"/>
                <w:sz w:val="18"/>
                <w:szCs w:val="18"/>
              </w:rPr>
              <w:t>年末金额</w:t>
            </w:r>
          </w:p>
        </w:tc>
        <w:tc>
          <w:tcPr>
            <w:tcW w:w="1887"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494" w:right="132" w:hanging="371"/>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3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47,035,757.28</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33.46</w:t>
            </w:r>
            <w:r>
              <w:rPr>
                <w:rFonts w:ascii="Arial"/>
                <w:sz w:val="18"/>
              </w:rPr>
            </w:r>
          </w:p>
        </w:tc>
      </w:tr>
      <w:tr>
        <w:trPr>
          <w:trHeight w:val="384" w:hRule="exact"/>
        </w:trPr>
        <w:tc>
          <w:tcPr>
            <w:tcW w:w="3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洪雅美联植化有限责任公司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2"/>
                <w:sz w:val="18"/>
              </w:rPr>
              <w:t>2,110,000.00</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1.50</w:t>
            </w:r>
            <w:r>
              <w:rPr>
                <w:rFonts w:ascii="Arial"/>
                <w:sz w:val="18"/>
              </w:rPr>
            </w:r>
          </w:p>
        </w:tc>
      </w:tr>
      <w:tr>
        <w:trPr>
          <w:trHeight w:val="384" w:hRule="exact"/>
        </w:trPr>
        <w:tc>
          <w:tcPr>
            <w:tcW w:w="3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53,229,326.44</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37.86</w:t>
            </w:r>
            <w:r>
              <w:rPr>
                <w:rFonts w:ascii="Arial"/>
                <w:sz w:val="18"/>
              </w:rPr>
            </w:r>
          </w:p>
        </w:tc>
      </w:tr>
      <w:tr>
        <w:trPr>
          <w:trHeight w:val="384" w:hRule="exact"/>
        </w:trPr>
        <w:tc>
          <w:tcPr>
            <w:tcW w:w="3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子公司之子公司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43,929.93</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0.03</w:t>
            </w:r>
            <w:r>
              <w:rPr>
                <w:rFonts w:ascii="Arial"/>
                <w:sz w:val="18"/>
              </w:rPr>
            </w:r>
          </w:p>
        </w:tc>
      </w:tr>
      <w:tr>
        <w:trPr>
          <w:trHeight w:val="391" w:hRule="exact"/>
        </w:trPr>
        <w:tc>
          <w:tcPr>
            <w:tcW w:w="33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75" w:type="dxa"/>
            <w:tcBorders>
              <w:top w:val="single" w:sz="6" w:space="0" w:color="000000"/>
              <w:left w:val="single" w:sz="6" w:space="0" w:color="000000"/>
              <w:bottom w:val="single" w:sz="12" w:space="0" w:color="000000"/>
              <w:right w:val="single" w:sz="6" w:space="0" w:color="000000"/>
            </w:tcBorders>
          </w:tcPr>
          <w:p>
            <w:pP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102,419,013.65</w:t>
            </w:r>
            <w:r>
              <w:rPr>
                <w:rFonts w:ascii="Arial"/>
                <w:b/>
                <w:spacing w:val="-1"/>
                <w:sz w:val="18"/>
              </w:rPr>
            </w:r>
            <w:r>
              <w:rPr>
                <w:rFonts w:ascii="Arial"/>
                <w:spacing w:val="-1"/>
                <w:sz w:val="18"/>
              </w:rPr>
            </w:r>
          </w:p>
        </w:tc>
        <w:tc>
          <w:tcPr>
            <w:tcW w:w="1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b/>
                <w:w w:val="99"/>
                <w:sz w:val="18"/>
              </w:rPr>
            </w:r>
            <w:r>
              <w:rPr>
                <w:rFonts w:ascii="Arial"/>
                <w:b/>
                <w:w w:val="95"/>
                <w:sz w:val="18"/>
                <w:u w:val="single" w:color="000000"/>
              </w:rPr>
              <w:t>72.85</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pStyle w:val="Heading4"/>
        <w:tabs>
          <w:tab w:pos="1414" w:val="left" w:leader="none"/>
        </w:tabs>
        <w:spacing w:line="240" w:lineRule="auto" w:before="36"/>
        <w:ind w:right="1205"/>
        <w:jc w:val="left"/>
        <w:rPr>
          <w:b w:val="0"/>
          <w:bCs w:val="0"/>
        </w:rPr>
      </w:pPr>
      <w:r>
        <w:rPr/>
        <w:t>（二）</w:t>
        <w:tab/>
        <w:t>长期股权投资</w:t>
      </w:r>
      <w:r>
        <w:rPr>
          <w:b w:val="0"/>
          <w:bCs w:val="0"/>
        </w:rPr>
      </w:r>
    </w:p>
    <w:p>
      <w:pPr>
        <w:spacing w:line="240" w:lineRule="auto" w:before="9"/>
        <w:rPr>
          <w:rFonts w:ascii="宋体" w:hAnsi="宋体" w:cs="宋体" w:eastAsia="宋体" w:hint="default"/>
          <w:b/>
          <w:bCs/>
          <w:sz w:val="28"/>
          <w:szCs w:val="28"/>
        </w:rPr>
      </w:pPr>
    </w:p>
    <w:p>
      <w:pPr>
        <w:pStyle w:val="BodyText"/>
        <w:spacing w:line="240" w:lineRule="auto"/>
        <w:ind w:left="560" w:right="1205"/>
        <w:jc w:val="left"/>
      </w:pPr>
      <w:r>
        <w:rPr/>
        <w:t>长期股权投资分项列示如下：</w:t>
      </w:r>
    </w:p>
    <w:p>
      <w:pPr>
        <w:spacing w:after="0" w:line="240" w:lineRule="auto"/>
        <w:jc w:val="left"/>
        <w:sectPr>
          <w:pgSz w:w="11910" w:h="16840"/>
          <w:pgMar w:header="884" w:footer="1013" w:top="1080" w:bottom="1200" w:left="1300" w:right="0"/>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35"/>
        <w:gridCol w:w="881"/>
        <w:gridCol w:w="1469"/>
        <w:gridCol w:w="1486"/>
        <w:gridCol w:w="1527"/>
        <w:gridCol w:w="1522"/>
      </w:tblGrid>
      <w:tr>
        <w:trPr>
          <w:trHeight w:val="509" w:hRule="exact"/>
        </w:trPr>
        <w:tc>
          <w:tcPr>
            <w:tcW w:w="233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1"/>
              <w:ind w:left="7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81" w:type="dxa"/>
            <w:tcBorders>
              <w:top w:val="single" w:sz="17" w:space="0" w:color="000000"/>
              <w:left w:val="single" w:sz="6" w:space="0" w:color="000000"/>
              <w:bottom w:val="single" w:sz="6" w:space="0" w:color="000000"/>
              <w:right w:val="single" w:sz="6" w:space="0" w:color="000000"/>
            </w:tcBorders>
          </w:tcPr>
          <w:p>
            <w:pPr>
              <w:pStyle w:val="TableParagraph"/>
              <w:spacing w:line="240" w:lineRule="exact"/>
              <w:ind w:left="252" w:right="252"/>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8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left="307" w:right="0"/>
              <w:jc w:val="left"/>
              <w:rPr>
                <w:rFonts w:ascii="宋体" w:hAnsi="宋体" w:cs="宋体" w:eastAsia="宋体" w:hint="default"/>
                <w:sz w:val="18"/>
                <w:szCs w:val="18"/>
              </w:rPr>
            </w:pPr>
            <w:r>
              <w:rPr>
                <w:rFonts w:ascii="宋体" w:hAnsi="宋体" w:cs="宋体" w:eastAsia="宋体" w:hint="default"/>
                <w:sz w:val="18"/>
                <w:szCs w:val="18"/>
              </w:rPr>
              <w:t>本年增减额</w:t>
            </w:r>
          </w:p>
        </w:tc>
        <w:tc>
          <w:tcPr>
            <w:tcW w:w="152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97"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122" w:right="100"/>
              <w:jc w:val="left"/>
              <w:rPr>
                <w:rFonts w:ascii="宋体" w:hAnsi="宋体" w:cs="宋体" w:eastAsia="宋体" w:hint="default"/>
                <w:sz w:val="18"/>
                <w:szCs w:val="18"/>
              </w:rPr>
            </w:pPr>
            <w:r>
              <w:rPr>
                <w:rFonts w:ascii="宋体" w:hAnsi="宋体" w:cs="宋体" w:eastAsia="宋体" w:hint="default"/>
                <w:spacing w:val="10"/>
                <w:sz w:val="18"/>
                <w:szCs w:val="18"/>
              </w:rPr>
              <w:t>华立仪表集团股份有限公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left"/>
              <w:rPr>
                <w:rFonts w:ascii="Arial" w:hAnsi="Arial" w:cs="Arial" w:eastAsia="Arial" w:hint="default"/>
                <w:sz w:val="18"/>
                <w:szCs w:val="18"/>
              </w:rPr>
            </w:pPr>
            <w:r>
              <w:rPr>
                <w:rFonts w:ascii="Arial"/>
                <w:sz w:val="18"/>
              </w:rPr>
              <w:t>178,105,275.48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178,105,275.48</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18"/>
                <w:szCs w:val="18"/>
              </w:rPr>
            </w:pPr>
            <w:r>
              <w:rPr>
                <w:rFonts w:ascii="Arial"/>
                <w:spacing w:val="-1"/>
                <w:sz w:val="18"/>
              </w:rPr>
              <w:t>142,320,594.31</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7"/>
              <w:jc w:val="right"/>
              <w:rPr>
                <w:rFonts w:ascii="Arial" w:hAnsi="Arial" w:cs="Arial" w:eastAsia="Arial" w:hint="default"/>
                <w:sz w:val="18"/>
                <w:szCs w:val="18"/>
              </w:rPr>
            </w:pPr>
            <w:r>
              <w:rPr>
                <w:rFonts w:ascii="Arial"/>
                <w:spacing w:val="-1"/>
                <w:sz w:val="18"/>
              </w:rPr>
              <w:t>320,425,869.79</w:t>
            </w: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广州华立健药业有限公司</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1" w:right="0"/>
              <w:jc w:val="left"/>
              <w:rPr>
                <w:rFonts w:ascii="Arial" w:hAnsi="Arial" w:cs="Arial" w:eastAsia="Arial" w:hint="default"/>
                <w:sz w:val="18"/>
                <w:szCs w:val="18"/>
              </w:rPr>
            </w:pPr>
            <w:r>
              <w:rPr>
                <w:rFonts w:ascii="Arial"/>
                <w:sz w:val="18"/>
              </w:rPr>
              <w:t>22,500,000.00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22,500,000.00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-22,500,000.00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北京华立科泰制药有限公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left"/>
              <w:rPr>
                <w:rFonts w:ascii="Arial" w:hAnsi="Arial" w:cs="Arial" w:eastAsia="Arial" w:hint="default"/>
                <w:sz w:val="18"/>
                <w:szCs w:val="18"/>
              </w:rPr>
            </w:pPr>
            <w:r>
              <w:rPr>
                <w:rFonts w:ascii="Arial"/>
                <w:sz w:val="18"/>
              </w:rPr>
              <w:t>202,583,606.42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202,583,606.42</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-202,583,606.42</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1" w:right="0"/>
              <w:jc w:val="left"/>
              <w:rPr>
                <w:rFonts w:ascii="Arial" w:hAnsi="Arial" w:cs="Arial" w:eastAsia="Arial" w:hint="default"/>
                <w:sz w:val="18"/>
                <w:szCs w:val="18"/>
              </w:rPr>
            </w:pPr>
            <w:r>
              <w:rPr>
                <w:rFonts w:ascii="Arial"/>
                <w:sz w:val="18"/>
              </w:rPr>
              <w:t>32,076,800.00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32,076,800.00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spacing w:val="-1"/>
                <w:sz w:val="18"/>
              </w:rPr>
              <w:t>32,076,800.00</w:t>
            </w: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云南工业大麻股份有限公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1" w:right="0"/>
              <w:jc w:val="left"/>
              <w:rPr>
                <w:rFonts w:ascii="Arial" w:hAnsi="Arial" w:cs="Arial" w:eastAsia="Arial" w:hint="default"/>
                <w:sz w:val="18"/>
                <w:szCs w:val="18"/>
              </w:rPr>
            </w:pPr>
            <w:r>
              <w:rPr>
                <w:rFonts w:ascii="Arial"/>
                <w:sz w:val="18"/>
              </w:rPr>
              <w:t>41,875,400.00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41,875,400.00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-41,875,400.00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0"/>
              <w:jc w:val="left"/>
              <w:rPr>
                <w:rFonts w:ascii="宋体" w:hAnsi="宋体" w:cs="宋体" w:eastAsia="宋体" w:hint="default"/>
                <w:sz w:val="18"/>
                <w:szCs w:val="18"/>
              </w:rPr>
            </w:pPr>
            <w:r>
              <w:rPr>
                <w:rFonts w:ascii="宋体" w:hAnsi="宋体" w:cs="宋体" w:eastAsia="宋体" w:hint="default"/>
                <w:spacing w:val="10"/>
                <w:sz w:val="18"/>
                <w:szCs w:val="18"/>
              </w:rPr>
              <w:t>洪雅美联曼地亚红豆杉种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植有限公司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6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02" w:right="0"/>
              <w:jc w:val="left"/>
              <w:rPr>
                <w:rFonts w:ascii="Arial" w:hAnsi="Arial" w:cs="Arial" w:eastAsia="Arial" w:hint="default"/>
                <w:sz w:val="18"/>
                <w:szCs w:val="18"/>
              </w:rPr>
            </w:pPr>
            <w:r>
              <w:rPr>
                <w:rFonts w:ascii="Arial"/>
                <w:sz w:val="18"/>
              </w:rPr>
              <w:t>8,900,000.00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8,900,000.00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7"/>
              <w:jc w:val="right"/>
              <w:rPr>
                <w:rFonts w:ascii="Arial" w:hAnsi="Arial" w:cs="Arial" w:eastAsia="Arial" w:hint="default"/>
                <w:sz w:val="18"/>
                <w:szCs w:val="18"/>
              </w:rPr>
            </w:pPr>
            <w:r>
              <w:rPr>
                <w:rFonts w:ascii="Arial"/>
                <w:spacing w:val="-1"/>
                <w:sz w:val="18"/>
              </w:rPr>
              <w:t>8,900,000.00</w:t>
            </w:r>
          </w:p>
        </w:tc>
      </w:tr>
      <w:tr>
        <w:trPr>
          <w:trHeight w:val="353"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安挺医药有限公司（注</w:t>
            </w:r>
            <w:r>
              <w:rPr>
                <w:rFonts w:ascii="宋体" w:hAnsi="宋体" w:cs="宋体" w:eastAsia="宋体" w:hint="default"/>
                <w:spacing w:val="-46"/>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6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808,320.00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1,564,755.45</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-1,564,755.45</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3" w:right="0"/>
              <w:jc w:val="left"/>
              <w:rPr>
                <w:rFonts w:ascii="Arial" w:hAnsi="Arial" w:cs="Arial" w:eastAsia="Arial" w:hint="default"/>
                <w:sz w:val="18"/>
                <w:szCs w:val="18"/>
              </w:rPr>
            </w:pPr>
            <w:r>
              <w:rPr>
                <w:rFonts w:ascii="Arial"/>
                <w:b/>
                <w:w w:val="99"/>
                <w:sz w:val="18"/>
              </w:rPr>
            </w:r>
            <w:r>
              <w:rPr>
                <w:rFonts w:ascii="Arial"/>
                <w:b/>
                <w:sz w:val="18"/>
                <w:u w:val="single" w:color="000000"/>
              </w:rPr>
              <w:t>486,849,401.90</w:t>
            </w:r>
            <w:r>
              <w:rPr>
                <w:rFonts w:ascii="Arial"/>
                <w:b/>
                <w:sz w:val="18"/>
              </w:rPr>
            </w:r>
            <w:r>
              <w:rPr>
                <w:rFonts w:ascii="Arial"/>
                <w:sz w:val="18"/>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487,605,837.35</w:t>
            </w:r>
            <w:r>
              <w:rPr>
                <w:rFonts w:ascii="Arial"/>
                <w:b/>
                <w:spacing w:val="-1"/>
                <w:sz w:val="18"/>
              </w:rPr>
            </w:r>
            <w:r>
              <w:rPr>
                <w:rFonts w:ascii="Arial"/>
                <w:spacing w:val="-1"/>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-126,203,167.56</w:t>
            </w:r>
            <w:r>
              <w:rPr>
                <w:rFonts w:ascii="Arial"/>
                <w:b/>
                <w:spacing w:val="-1"/>
                <w:sz w:val="18"/>
              </w:rPr>
            </w:r>
            <w:r>
              <w:rPr>
                <w:rFonts w:ascii="Arial"/>
                <w:spacing w:val="-1"/>
                <w:sz w:val="18"/>
              </w:rPr>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361,402,669.79</w:t>
            </w:r>
            <w:r>
              <w:rPr>
                <w:rFonts w:ascii="Arial"/>
                <w:b/>
                <w:spacing w:val="-1"/>
                <w:sz w:val="18"/>
              </w:rPr>
            </w:r>
            <w:r>
              <w:rPr>
                <w:rFonts w:ascii="Arial"/>
                <w:spacing w:val="-1"/>
                <w:sz w:val="18"/>
              </w:rPr>
            </w:r>
          </w:p>
        </w:tc>
      </w:tr>
      <w:tr>
        <w:trPr>
          <w:trHeight w:val="497"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7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1" w:right="62" w:firstLine="62"/>
              <w:jc w:val="left"/>
              <w:rPr>
                <w:rFonts w:ascii="宋体" w:hAnsi="宋体" w:cs="宋体" w:eastAsia="宋体" w:hint="default"/>
                <w:sz w:val="18"/>
                <w:szCs w:val="18"/>
              </w:rPr>
            </w:pPr>
            <w:r>
              <w:rPr>
                <w:rFonts w:ascii="宋体" w:hAnsi="宋体" w:cs="宋体" w:eastAsia="宋体" w:hint="default"/>
                <w:sz w:val="18"/>
                <w:szCs w:val="18"/>
              </w:rPr>
              <w:t>持股比 例（</w:t>
            </w:r>
            <w:r>
              <w:rPr>
                <w:rFonts w:ascii="Arial" w:hAnsi="Arial" w:cs="Arial" w:eastAsia="Arial" w:hint="default"/>
                <w:sz w:val="18"/>
                <w:szCs w:val="18"/>
              </w:rPr>
              <w:t>%</w:t>
            </w:r>
            <w:r>
              <w:rPr>
                <w:rFonts w:ascii="宋体" w:hAnsi="宋体" w:cs="宋体" w:eastAsia="宋体" w:hint="default"/>
                <w:sz w:val="18"/>
                <w:szCs w:val="18"/>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hAnsi="宋体" w:cs="宋体" w:eastAsia="宋体" w:hint="default"/>
                <w:sz w:val="18"/>
                <w:szCs w:val="18"/>
              </w:rPr>
              <w:t>表决权比</w:t>
            </w:r>
            <w:r>
              <w:rPr>
                <w:rFonts w:ascii="宋体" w:hAnsi="宋体" w:cs="宋体" w:eastAsia="宋体" w:hint="default"/>
                <w:spacing w:val="-80"/>
                <w:sz w:val="18"/>
                <w:szCs w:val="18"/>
              </w:rPr>
              <w:t>例</w:t>
            </w:r>
            <w:r>
              <w:rPr>
                <w:rFonts w:ascii="宋体" w:hAnsi="宋体" w:cs="宋体" w:eastAsia="宋体" w:hint="default"/>
                <w:sz w:val="18"/>
                <w:szCs w:val="18"/>
              </w:rPr>
              <w:t>（</w:t>
            </w:r>
            <w:r>
              <w:rPr>
                <w:rFonts w:ascii="Arial" w:hAnsi="Arial" w:cs="Arial" w:eastAsia="Arial" w:hint="default"/>
                <w:w w:val="99"/>
                <w:sz w:val="18"/>
                <w:szCs w:val="18"/>
              </w:rPr>
              <w:t>%</w:t>
            </w:r>
            <w:r>
              <w:rPr>
                <w:rFonts w:ascii="宋体" w:hAnsi="宋体" w:cs="宋体" w:eastAsia="宋体" w:hint="default"/>
                <w:sz w:val="18"/>
                <w:szCs w:val="18"/>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94"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487" w:right="123" w:hanging="360"/>
              <w:jc w:val="left"/>
              <w:rPr>
                <w:rFonts w:ascii="宋体" w:hAnsi="宋体" w:cs="宋体" w:eastAsia="宋体" w:hint="default"/>
                <w:sz w:val="18"/>
                <w:szCs w:val="18"/>
              </w:rPr>
            </w:pPr>
            <w:r>
              <w:rPr>
                <w:rFonts w:ascii="宋体" w:hAnsi="宋体" w:cs="宋体" w:eastAsia="宋体" w:hint="default"/>
                <w:sz w:val="18"/>
                <w:szCs w:val="18"/>
              </w:rPr>
              <w:t>本年计提减值准 备金额</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left="211"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华立仪表集团股份有限公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6" w:right="0"/>
              <w:jc w:val="left"/>
              <w:rPr>
                <w:rFonts w:ascii="Arial" w:hAnsi="Arial" w:cs="Arial" w:eastAsia="Arial" w:hint="default"/>
                <w:sz w:val="18"/>
                <w:szCs w:val="18"/>
              </w:rPr>
            </w:pPr>
            <w:r>
              <w:rPr>
                <w:rFonts w:ascii="Arial"/>
                <w:sz w:val="18"/>
              </w:rPr>
              <w:t>79.00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79.00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7"/>
              <w:jc w:val="right"/>
              <w:rPr>
                <w:rFonts w:ascii="Arial" w:hAnsi="Arial" w:cs="Arial" w:eastAsia="Arial" w:hint="default"/>
                <w:sz w:val="18"/>
                <w:szCs w:val="18"/>
              </w:rPr>
            </w:pPr>
            <w:r>
              <w:rPr>
                <w:rFonts w:ascii="Arial"/>
                <w:spacing w:val="-1"/>
                <w:sz w:val="18"/>
              </w:rPr>
              <w:t>23,873,871.66</w:t>
            </w:r>
          </w:p>
        </w:tc>
      </w:tr>
      <w:tr>
        <w:trPr>
          <w:trHeight w:val="355"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广州华立健药业有限公司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6" w:right="0"/>
              <w:jc w:val="left"/>
              <w:rPr>
                <w:rFonts w:ascii="Arial" w:hAnsi="Arial" w:cs="Arial" w:eastAsia="Arial" w:hint="default"/>
                <w:sz w:val="18"/>
                <w:szCs w:val="18"/>
              </w:rPr>
            </w:pPr>
            <w:r>
              <w:rPr>
                <w:rFonts w:ascii="Arial"/>
                <w:sz w:val="18"/>
              </w:rPr>
              <w:t>75.00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75.00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北京华立科泰制药有限公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6" w:right="0"/>
              <w:jc w:val="left"/>
              <w:rPr>
                <w:rFonts w:ascii="Arial" w:hAnsi="Arial" w:cs="Arial" w:eastAsia="Arial" w:hint="default"/>
                <w:sz w:val="18"/>
                <w:szCs w:val="18"/>
              </w:rPr>
            </w:pPr>
            <w:r>
              <w:rPr>
                <w:rFonts w:ascii="Arial"/>
                <w:sz w:val="18"/>
              </w:rPr>
              <w:t>99.52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99.52</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06" w:right="0"/>
              <w:jc w:val="left"/>
              <w:rPr>
                <w:rFonts w:ascii="Arial" w:hAnsi="Arial" w:cs="Arial" w:eastAsia="Arial" w:hint="default"/>
                <w:sz w:val="18"/>
                <w:szCs w:val="18"/>
              </w:rPr>
            </w:pPr>
            <w:r>
              <w:rPr>
                <w:rFonts w:ascii="Arial"/>
                <w:sz w:val="18"/>
              </w:rPr>
              <w:t>70.00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70.00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32,076,800.00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云南工业大麻股份有限公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6" w:right="0"/>
              <w:jc w:val="left"/>
              <w:rPr>
                <w:rFonts w:ascii="Arial" w:hAnsi="Arial" w:cs="Arial" w:eastAsia="Arial" w:hint="default"/>
                <w:sz w:val="18"/>
                <w:szCs w:val="18"/>
              </w:rPr>
            </w:pPr>
            <w:r>
              <w:rPr>
                <w:rFonts w:ascii="Arial"/>
                <w:sz w:val="18"/>
              </w:rPr>
              <w:t>80.66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80.66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10"/>
                <w:sz w:val="18"/>
                <w:szCs w:val="18"/>
              </w:rPr>
              <w:t>洪雅美联曼地亚红豆杉种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植有限公司（注</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6" w:right="0"/>
              <w:jc w:val="left"/>
              <w:rPr>
                <w:rFonts w:ascii="Arial" w:hAnsi="Arial" w:cs="Arial" w:eastAsia="Arial" w:hint="default"/>
                <w:sz w:val="18"/>
                <w:szCs w:val="18"/>
              </w:rPr>
            </w:pPr>
            <w:r>
              <w:rPr>
                <w:rFonts w:ascii="Arial"/>
                <w:sz w:val="18"/>
              </w:rPr>
              <w:t>80.00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80.00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8,900,000.00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06" w:right="0"/>
              <w:jc w:val="left"/>
              <w:rPr>
                <w:rFonts w:ascii="Arial" w:hAnsi="Arial" w:cs="Arial" w:eastAsia="Arial" w:hint="default"/>
                <w:sz w:val="18"/>
                <w:szCs w:val="18"/>
              </w:rPr>
            </w:pPr>
            <w:r>
              <w:rPr>
                <w:rFonts w:ascii="Arial"/>
                <w:sz w:val="18"/>
              </w:rPr>
              <w:t>50.00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Arial" w:hAnsi="Arial" w:cs="Arial" w:eastAsia="Arial" w:hint="default"/>
                <w:sz w:val="18"/>
                <w:szCs w:val="18"/>
              </w:rPr>
            </w:pPr>
            <w:r>
              <w:rPr>
                <w:rFonts w:ascii="Arial"/>
                <w:sz w:val="18"/>
              </w:rPr>
              <w:t>50.00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335"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40,976,800.00</w:t>
            </w:r>
            <w:r>
              <w:rPr>
                <w:rFonts w:ascii="Arial"/>
                <w:b/>
                <w:spacing w:val="-1"/>
                <w:sz w:val="18"/>
              </w:rPr>
            </w:r>
            <w:r>
              <w:rPr>
                <w:rFonts w:ascii="Arial"/>
                <w:spacing w:val="-1"/>
                <w:sz w:val="18"/>
              </w:rPr>
            </w:r>
          </w:p>
        </w:tc>
        <w:tc>
          <w:tcPr>
            <w:tcW w:w="1527"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23,873,871.66</w:t>
            </w:r>
            <w:r>
              <w:rPr>
                <w:rFonts w:ascii="Arial"/>
                <w:b/>
                <w:spacing w:val="-1"/>
                <w:sz w:val="18"/>
              </w:rPr>
            </w:r>
            <w:r>
              <w:rPr>
                <w:rFonts w:ascii="Arial"/>
                <w:spacing w:val="-1"/>
                <w:sz w:val="18"/>
              </w:rPr>
            </w:r>
          </w:p>
        </w:tc>
      </w:tr>
    </w:tbl>
    <w:p>
      <w:pPr>
        <w:pStyle w:val="BodyText"/>
        <w:spacing w:line="338" w:lineRule="auto" w:before="86"/>
        <w:ind w:left="240" w:right="1334" w:firstLine="420"/>
        <w:jc w:val="both"/>
      </w:pPr>
      <w:r>
        <w:rPr>
          <w:w w:val="100"/>
        </w:rPr>
        <w:t>注</w:t>
      </w:r>
      <w:r>
        <w:rPr>
          <w:spacing w:val="-51"/>
          <w:w w:val="100"/>
        </w:rPr>
        <w:t> </w:t>
      </w:r>
      <w:r>
        <w:rPr>
          <w:rFonts w:ascii="Arial" w:hAnsi="Arial" w:cs="Arial" w:eastAsia="Arial" w:hint="default"/>
          <w:spacing w:val="-6"/>
          <w:w w:val="100"/>
        </w:rPr>
        <w:t>1</w:t>
      </w:r>
      <w:r>
        <w:rPr>
          <w:spacing w:val="-6"/>
          <w:w w:val="100"/>
        </w:rPr>
        <w:t>：本年公司与大股东华立集团、华方医药三方签署《股权转让协议》，将公司所持有子公司</w:t>
      </w:r>
      <w:r>
        <w:rPr>
          <w:w w:val="100"/>
        </w:rPr>
        <w:t> </w:t>
      </w:r>
      <w:r>
        <w:rPr/>
        <w:t>华立科泰 </w:t>
      </w:r>
      <w:r>
        <w:rPr>
          <w:rFonts w:ascii="Arial" w:hAnsi="Arial" w:cs="Arial" w:eastAsia="Arial" w:hint="default"/>
        </w:rPr>
        <w:t>99.52%</w:t>
      </w:r>
      <w:r>
        <w:rPr/>
        <w:t>的股权全部转让给华方医药。公司与华立集团、华方医药商定，以华立集团所持</w:t>
      </w:r>
      <w:r>
        <w:rPr>
          <w:spacing w:val="-88"/>
        </w:rPr>
        <w:t> </w:t>
      </w:r>
      <w:r>
        <w:rPr>
          <w:spacing w:val="-88"/>
        </w:rPr>
      </w:r>
      <w:r>
        <w:rPr>
          <w:spacing w:val="4"/>
        </w:rPr>
        <w:t>有华立仪表的全部或部分股权代全资子公司华方医药支付其收购华立科泰的对价。详见附注六、</w:t>
      </w:r>
    </w:p>
    <w:p>
      <w:pPr>
        <w:pStyle w:val="BodyText"/>
        <w:spacing w:line="240" w:lineRule="auto" w:before="49"/>
        <w:ind w:left="240" w:right="0"/>
        <w:jc w:val="left"/>
      </w:pPr>
      <w:r>
        <w:rPr>
          <w:w w:val="100"/>
        </w:rPr>
        <w:t>（二</w:t>
      </w:r>
      <w:r>
        <w:rPr>
          <w:spacing w:val="-108"/>
          <w:w w:val="100"/>
        </w:rPr>
        <w:t>）</w:t>
      </w:r>
      <w:r>
        <w:rPr>
          <w:spacing w:val="-1"/>
          <w:w w:val="100"/>
        </w:rPr>
        <w:t>、</w:t>
      </w:r>
      <w:r>
        <w:rPr>
          <w:rFonts w:ascii="Arial" w:hAnsi="Arial" w:cs="Arial" w:eastAsia="Arial" w:hint="default"/>
          <w:w w:val="100"/>
        </w:rPr>
        <w:t>5</w:t>
      </w:r>
      <w:r>
        <w:rPr>
          <w:rFonts w:ascii="Arial" w:hAnsi="Arial" w:cs="Arial" w:eastAsia="Arial" w:hint="default"/>
          <w:spacing w:val="-8"/>
        </w:rPr>
        <w:t> </w:t>
      </w:r>
      <w:r>
        <w:rPr>
          <w:w w:val="100"/>
        </w:rPr>
        <w:t>所</w:t>
      </w:r>
      <w:r>
        <w:rPr>
          <w:spacing w:val="-3"/>
          <w:w w:val="100"/>
        </w:rPr>
        <w:t>述</w:t>
      </w:r>
      <w:r>
        <w:rPr>
          <w:w w:val="100"/>
        </w:rPr>
        <w:t>。</w:t>
      </w:r>
    </w:p>
    <w:p>
      <w:pPr>
        <w:spacing w:line="240" w:lineRule="auto" w:before="5"/>
        <w:rPr>
          <w:rFonts w:ascii="宋体" w:hAnsi="宋体" w:cs="宋体" w:eastAsia="宋体" w:hint="default"/>
          <w:sz w:val="27"/>
          <w:szCs w:val="27"/>
        </w:rPr>
      </w:pPr>
    </w:p>
    <w:p>
      <w:pPr>
        <w:pStyle w:val="BodyText"/>
        <w:spacing w:line="340" w:lineRule="auto"/>
        <w:ind w:left="240" w:right="1431" w:firstLine="420"/>
        <w:jc w:val="both"/>
      </w:pPr>
      <w:r>
        <w:rPr/>
        <w:t>注</w:t>
      </w:r>
      <w:r>
        <w:rPr>
          <w:spacing w:val="-36"/>
        </w:rPr>
        <w:t> </w:t>
      </w:r>
      <w:r>
        <w:rPr>
          <w:rFonts w:ascii="Arial" w:hAnsi="Arial" w:cs="Arial" w:eastAsia="Arial" w:hint="default"/>
        </w:rPr>
        <w:t>2</w:t>
      </w:r>
      <w:r>
        <w:rPr/>
        <w:t>：本年公司将持有广州华立健药业有限公司</w:t>
      </w:r>
      <w:r>
        <w:rPr>
          <w:spacing w:val="-35"/>
        </w:rPr>
        <w:t> </w:t>
      </w:r>
      <w:r>
        <w:rPr>
          <w:rFonts w:ascii="Arial" w:hAnsi="Arial" w:cs="Arial" w:eastAsia="Arial" w:hint="default"/>
        </w:rPr>
        <w:t>75%</w:t>
      </w:r>
      <w:r>
        <w:rPr/>
        <w:t>股权以</w:t>
      </w:r>
      <w:r>
        <w:rPr>
          <w:spacing w:val="-35"/>
        </w:rPr>
        <w:t> </w:t>
      </w:r>
      <w:r>
        <w:rPr>
          <w:rFonts w:ascii="Arial" w:hAnsi="Arial" w:cs="Arial" w:eastAsia="Arial" w:hint="default"/>
        </w:rPr>
        <w:t>200.00</w:t>
      </w:r>
      <w:r>
        <w:rPr>
          <w:rFonts w:ascii="Arial" w:hAnsi="Arial" w:cs="Arial" w:eastAsia="Arial" w:hint="default"/>
          <w:spacing w:val="9"/>
        </w:rPr>
        <w:t> </w:t>
      </w:r>
      <w:r>
        <w:rPr/>
        <w:t>万价格转让给北京华立科</w:t>
      </w:r>
      <w:r>
        <w:rPr>
          <w:w w:val="100"/>
        </w:rPr>
        <w:t> </w:t>
      </w:r>
      <w:r>
        <w:rPr/>
        <w:t>泰制药有限公司。本次转让业经公司六届十次董事会决议通过。</w:t>
      </w:r>
    </w:p>
    <w:p>
      <w:pPr>
        <w:pStyle w:val="BodyText"/>
        <w:spacing w:line="338" w:lineRule="auto" w:before="167"/>
        <w:ind w:left="240" w:right="1431" w:firstLine="420"/>
        <w:jc w:val="both"/>
      </w:pPr>
      <w:r>
        <w:rPr/>
        <w:t>注</w:t>
      </w:r>
      <w:r>
        <w:rPr>
          <w:spacing w:val="-49"/>
        </w:rPr>
        <w:t> </w:t>
      </w:r>
      <w:r>
        <w:rPr>
          <w:rFonts w:ascii="Arial" w:hAnsi="Arial" w:cs="Arial" w:eastAsia="Arial" w:hint="default"/>
          <w:spacing w:val="-5"/>
        </w:rPr>
        <w:t>3</w:t>
      </w:r>
      <w:r>
        <w:rPr>
          <w:spacing w:val="-5"/>
        </w:rPr>
        <w:t>：本年公司将持有云南工业大麻股份有限公司</w:t>
      </w:r>
      <w:r>
        <w:rPr>
          <w:spacing w:val="-48"/>
        </w:rPr>
        <w:t> </w:t>
      </w:r>
      <w:r>
        <w:rPr>
          <w:rFonts w:ascii="Arial" w:hAnsi="Arial" w:cs="Arial" w:eastAsia="Arial" w:hint="default"/>
        </w:rPr>
        <w:t>80.66%</w:t>
      </w:r>
      <w:r>
        <w:rPr/>
        <w:t>股权以</w:t>
      </w:r>
      <w:r>
        <w:rPr>
          <w:spacing w:val="-49"/>
        </w:rPr>
        <w:t> </w:t>
      </w:r>
      <w:r>
        <w:rPr>
          <w:rFonts w:ascii="Arial" w:hAnsi="Arial" w:cs="Arial" w:eastAsia="Arial" w:hint="default"/>
        </w:rPr>
        <w:t>17,359,057.12</w:t>
      </w:r>
      <w:r>
        <w:rPr>
          <w:rFonts w:ascii="Arial" w:hAnsi="Arial" w:cs="Arial" w:eastAsia="Arial" w:hint="default"/>
          <w:spacing w:val="-1"/>
        </w:rPr>
        <w:t> </w:t>
      </w:r>
      <w:r>
        <w:rPr/>
        <w:t>元价格转让给</w:t>
      </w:r>
      <w:r>
        <w:rPr>
          <w:w w:val="100"/>
        </w:rPr>
        <w:t> </w:t>
      </w:r>
      <w:r>
        <w:rPr/>
        <w:t>北京嘉鑫世纪投资有限公司。本次转让业经公司六届八次董事会决议通过。</w:t>
      </w:r>
    </w:p>
    <w:p>
      <w:pPr>
        <w:pStyle w:val="BodyText"/>
        <w:spacing w:line="240" w:lineRule="auto" w:before="169"/>
        <w:ind w:left="660" w:right="0"/>
        <w:jc w:val="left"/>
      </w:pPr>
      <w:r>
        <w:rPr/>
        <w:t>注</w:t>
      </w:r>
      <w:r>
        <w:rPr>
          <w:spacing w:val="-55"/>
        </w:rPr>
        <w:t> </w:t>
      </w:r>
      <w:r>
        <w:rPr>
          <w:rFonts w:ascii="Arial" w:hAnsi="Arial" w:cs="Arial" w:eastAsia="Arial" w:hint="default"/>
        </w:rPr>
        <w:t>4</w:t>
      </w:r>
      <w:r>
        <w:rPr/>
        <w:t>：本年减少系股权处置所致。</w:t>
      </w:r>
    </w:p>
    <w:p>
      <w:pPr>
        <w:spacing w:line="240" w:lineRule="auto" w:before="3"/>
        <w:rPr>
          <w:rFonts w:ascii="宋体" w:hAnsi="宋体" w:cs="宋体" w:eastAsia="宋体" w:hint="default"/>
          <w:sz w:val="18"/>
          <w:szCs w:val="18"/>
        </w:rPr>
      </w:pPr>
    </w:p>
    <w:p>
      <w:pPr>
        <w:pStyle w:val="BodyText"/>
        <w:spacing w:line="340" w:lineRule="auto"/>
        <w:ind w:left="240" w:right="1431" w:firstLine="420"/>
        <w:jc w:val="both"/>
      </w:pPr>
      <w:r>
        <w:rPr/>
        <w:t>注 </w:t>
      </w:r>
      <w:r>
        <w:rPr>
          <w:rFonts w:ascii="Arial" w:hAnsi="Arial" w:cs="Arial" w:eastAsia="Arial" w:hint="default"/>
          <w:spacing w:val="-3"/>
        </w:rPr>
        <w:t>5</w:t>
      </w:r>
      <w:r>
        <w:rPr>
          <w:spacing w:val="-3"/>
        </w:rPr>
        <w:t>：本年对子公司洪雅美联曼地亚红豆杉种植有限公司的长期股权投资进行减值测试</w:t>
      </w:r>
      <w:r>
        <w:rPr>
          <w:spacing w:val="11"/>
        </w:rPr>
        <w:t> </w:t>
      </w:r>
      <w:r>
        <w:rPr>
          <w:spacing w:val="-13"/>
        </w:rPr>
        <w:t>，可收</w:t>
      </w:r>
      <w:r>
        <w:rPr>
          <w:w w:val="100"/>
        </w:rPr>
        <w:t> </w:t>
      </w:r>
      <w:r>
        <w:rPr/>
        <w:t>回性较小，对其全额计提减值准备。</w:t>
      </w:r>
    </w:p>
    <w:p>
      <w:pPr>
        <w:pStyle w:val="Heading4"/>
        <w:tabs>
          <w:tab w:pos="1514" w:val="left" w:leader="none"/>
        </w:tabs>
        <w:spacing w:line="240" w:lineRule="auto" w:before="167"/>
        <w:ind w:left="660" w:right="0"/>
        <w:jc w:val="left"/>
        <w:rPr>
          <w:b w:val="0"/>
          <w:bCs w:val="0"/>
        </w:rPr>
      </w:pPr>
      <w:r>
        <w:rPr/>
        <w:t>（三）</w:t>
        <w:tab/>
        <w:t>营业收入、营业成本</w:t>
      </w:r>
      <w:r>
        <w:rPr>
          <w:b w:val="0"/>
          <w:bCs w:val="0"/>
        </w:rPr>
      </w:r>
    </w:p>
    <w:p>
      <w:pPr>
        <w:spacing w:line="240" w:lineRule="auto" w:before="4"/>
        <w:rPr>
          <w:rFonts w:ascii="宋体" w:hAnsi="宋体" w:cs="宋体" w:eastAsia="宋体" w:hint="default"/>
          <w:b/>
          <w:bCs/>
          <w:sz w:val="19"/>
          <w:szCs w:val="19"/>
        </w:rPr>
      </w:pPr>
    </w:p>
    <w:p>
      <w:pPr>
        <w:pStyle w:val="BodyText"/>
        <w:spacing w:line="240" w:lineRule="auto"/>
        <w:ind w:left="660" w:right="0"/>
        <w:jc w:val="left"/>
      </w:pPr>
      <w:r>
        <w:rPr/>
        <w:t>（</w:t>
      </w:r>
      <w:r>
        <w:rPr>
          <w:rFonts w:ascii="Arial" w:hAnsi="Arial" w:cs="Arial" w:eastAsia="Arial" w:hint="default"/>
        </w:rPr>
        <w:t>1</w:t>
      </w:r>
      <w:r>
        <w:rPr/>
        <w:t>）营业收入、营业成本明细如下：</w:t>
      </w:r>
    </w:p>
    <w:p>
      <w:pPr>
        <w:spacing w:after="0" w:line="240" w:lineRule="auto"/>
        <w:jc w:val="left"/>
        <w:sectPr>
          <w:pgSz w:w="11910" w:h="16840"/>
          <w:pgMar w:header="884" w:footer="1013" w:top="1080" w:bottom="1200" w:left="120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227"/>
        <w:gridCol w:w="2369"/>
        <w:gridCol w:w="2369"/>
      </w:tblGrid>
      <w:tr>
        <w:trPr>
          <w:trHeight w:val="370" w:hRule="exact"/>
        </w:trPr>
        <w:tc>
          <w:tcPr>
            <w:tcW w:w="4227" w:type="dxa"/>
            <w:tcBorders>
              <w:top w:val="single" w:sz="17" w:space="0" w:color="000000"/>
              <w:left w:val="nil" w:sz="6" w:space="0" w:color="auto"/>
              <w:bottom w:val="single" w:sz="6" w:space="0" w:color="000000"/>
              <w:right w:val="single" w:sz="6" w:space="0" w:color="000000"/>
            </w:tcBorders>
          </w:tcPr>
          <w:p>
            <w:pPr>
              <w:pStyle w:val="TableParagraph"/>
              <w:tabs>
                <w:tab w:pos="582" w:val="left" w:leader="none"/>
              </w:tabs>
              <w:spacing w:line="240" w:lineRule="auto" w:before="22"/>
              <w:ind w:left="12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2"/>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6"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3,051,412.71</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5,460,733.06</w:t>
            </w:r>
            <w:r>
              <w:rPr>
                <w:rFonts w:ascii="Arial"/>
                <w:b/>
                <w:spacing w:val="-1"/>
                <w:sz w:val="18"/>
              </w:rPr>
            </w:r>
            <w:r>
              <w:rPr>
                <w:rFonts w:ascii="Arial"/>
                <w:spacing w:val="-1"/>
                <w:sz w:val="18"/>
              </w:rPr>
            </w:r>
          </w:p>
        </w:tc>
      </w:tr>
      <w:tr>
        <w:trPr>
          <w:trHeight w:val="355"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07"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2,552,769.02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4,517,499.03</w:t>
            </w:r>
          </w:p>
        </w:tc>
      </w:tr>
      <w:tr>
        <w:trPr>
          <w:trHeight w:val="355"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94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498,643.69</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943,234.03</w:t>
            </w:r>
          </w:p>
        </w:tc>
      </w:tr>
      <w:tr>
        <w:trPr>
          <w:trHeight w:val="355"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2,268,222.30</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5,032,677.74</w:t>
            </w:r>
            <w:r>
              <w:rPr>
                <w:rFonts w:ascii="Arial"/>
                <w:b/>
                <w:spacing w:val="-1"/>
                <w:sz w:val="18"/>
              </w:rPr>
            </w:r>
            <w:r>
              <w:rPr>
                <w:rFonts w:ascii="Arial"/>
                <w:spacing w:val="-1"/>
                <w:sz w:val="18"/>
              </w:rPr>
            </w:r>
          </w:p>
        </w:tc>
      </w:tr>
      <w:tr>
        <w:trPr>
          <w:trHeight w:val="355"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07"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2,264,054.40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4,512,069.99</w:t>
            </w:r>
          </w:p>
        </w:tc>
      </w:tr>
      <w:tr>
        <w:trPr>
          <w:trHeight w:val="362" w:hRule="exact"/>
        </w:trPr>
        <w:tc>
          <w:tcPr>
            <w:tcW w:w="42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94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4,167.90</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520,607.75</w:t>
            </w:r>
          </w:p>
        </w:tc>
      </w:tr>
    </w:tbl>
    <w:p>
      <w:pPr>
        <w:pStyle w:val="BodyText"/>
        <w:spacing w:line="240" w:lineRule="auto" w:before="86"/>
        <w:ind w:left="580" w:right="1326"/>
        <w:jc w:val="left"/>
      </w:pPr>
      <w:r>
        <w:rPr/>
        <w:t>（</w:t>
      </w:r>
      <w:r>
        <w:rPr>
          <w:rFonts w:ascii="Arial" w:hAnsi="Arial" w:cs="Arial" w:eastAsia="Arial" w:hint="default"/>
        </w:rPr>
        <w:t>2</w:t>
      </w:r>
      <w:r>
        <w:rPr/>
        <w:t>）主营业务按行业类别列示如下：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91"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right="19"/>
              <w:jc w:val="center"/>
              <w:rPr>
                <w:rFonts w:ascii="宋体" w:hAnsi="宋体" w:cs="宋体" w:eastAsia="宋体" w:hint="default"/>
                <w:sz w:val="18"/>
                <w:szCs w:val="18"/>
              </w:rPr>
            </w:pPr>
            <w:r>
              <w:rPr>
                <w:rFonts w:ascii="宋体" w:hAnsi="宋体" w:cs="宋体" w:eastAsia="宋体" w:hint="default"/>
                <w:sz w:val="18"/>
                <w:szCs w:val="18"/>
              </w:rPr>
              <w:t>青蒿素及其相关产品销售</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331" w:right="0"/>
              <w:jc w:val="left"/>
              <w:rPr>
                <w:rFonts w:ascii="Arial" w:hAnsi="Arial" w:cs="Arial" w:eastAsia="Arial" w:hint="default"/>
                <w:sz w:val="18"/>
                <w:szCs w:val="18"/>
              </w:rPr>
            </w:pPr>
            <w:r>
              <w:rPr>
                <w:rFonts w:ascii="Arial"/>
                <w:sz w:val="18"/>
              </w:rPr>
              <w:t>2,552,769.02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2,264,054.40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Arial" w:hAnsi="Arial" w:cs="Arial" w:eastAsia="Arial" w:hint="default"/>
                <w:sz w:val="18"/>
                <w:szCs w:val="18"/>
              </w:rPr>
            </w:pPr>
            <w:r>
              <w:rPr>
                <w:rFonts w:ascii="Arial"/>
                <w:spacing w:val="-1"/>
                <w:sz w:val="18"/>
              </w:rPr>
              <w:t>4,517,499.03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4,512,069.99</w:t>
            </w:r>
          </w:p>
        </w:tc>
      </w:tr>
      <w:tr>
        <w:trPr>
          <w:trHeight w:val="391"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331" w:right="0"/>
              <w:jc w:val="left"/>
              <w:rPr>
                <w:rFonts w:ascii="Arial" w:hAnsi="Arial" w:cs="Arial" w:eastAsia="Arial" w:hint="default"/>
                <w:sz w:val="18"/>
                <w:szCs w:val="18"/>
              </w:rPr>
            </w:pPr>
            <w:r>
              <w:rPr>
                <w:rFonts w:ascii="Arial"/>
                <w:b/>
                <w:w w:val="99"/>
                <w:sz w:val="18"/>
              </w:rPr>
            </w:r>
            <w:r>
              <w:rPr>
                <w:rFonts w:ascii="Arial"/>
                <w:b/>
                <w:sz w:val="18"/>
                <w:u w:val="single" w:color="000000"/>
              </w:rPr>
              <w:t>2,552,769.02</w:t>
            </w:r>
            <w:r>
              <w:rPr>
                <w:rFonts w:ascii="Arial"/>
                <w:b/>
                <w:sz w:val="18"/>
              </w:rPr>
            </w:r>
            <w:r>
              <w:rPr>
                <w:rFonts w:ascii="Arial"/>
                <w:sz w:val="18"/>
              </w:rPr>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2,264,054.40</w:t>
            </w:r>
            <w:r>
              <w:rPr>
                <w:rFonts w:ascii="Arial"/>
                <w:b/>
                <w:spacing w:val="-1"/>
                <w:sz w:val="18"/>
              </w:rPr>
            </w:r>
            <w:r>
              <w:rPr>
                <w:rFonts w:ascii="Arial"/>
                <w:spacing w:val="-1"/>
                <w:sz w:val="18"/>
              </w:rPr>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4,517,499.03</w:t>
            </w:r>
            <w:r>
              <w:rPr>
                <w:rFonts w:ascii="Arial"/>
                <w:b/>
                <w:spacing w:val="-1"/>
                <w:sz w:val="18"/>
              </w:rPr>
            </w:r>
            <w:r>
              <w:rPr>
                <w:rFonts w:ascii="Arial"/>
                <w:spacing w:val="-1"/>
                <w:sz w:val="18"/>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4,512,069.99</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3</w:t>
      </w:r>
      <w:r>
        <w:rPr/>
        <w:t>）主营业务按地区分项列示如下：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91"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31" w:right="0"/>
              <w:jc w:val="left"/>
              <w:rPr>
                <w:rFonts w:ascii="Arial" w:hAnsi="Arial" w:cs="Arial" w:eastAsia="Arial" w:hint="default"/>
                <w:sz w:val="18"/>
                <w:szCs w:val="18"/>
              </w:rPr>
            </w:pPr>
            <w:r>
              <w:rPr>
                <w:rFonts w:ascii="Arial"/>
                <w:sz w:val="18"/>
              </w:rPr>
              <w:t>2,552,769.02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2,264,054.40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2"/>
              <w:jc w:val="right"/>
              <w:rPr>
                <w:rFonts w:ascii="Arial" w:hAnsi="Arial" w:cs="Arial" w:eastAsia="Arial" w:hint="default"/>
                <w:sz w:val="18"/>
                <w:szCs w:val="18"/>
              </w:rPr>
            </w:pPr>
            <w:r>
              <w:rPr>
                <w:rFonts w:ascii="Arial"/>
                <w:spacing w:val="-1"/>
                <w:sz w:val="18"/>
              </w:rPr>
              <w:t>4,517,499.03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7"/>
              <w:jc w:val="right"/>
              <w:rPr>
                <w:rFonts w:ascii="Arial" w:hAnsi="Arial" w:cs="Arial" w:eastAsia="Arial" w:hint="default"/>
                <w:sz w:val="18"/>
                <w:szCs w:val="18"/>
              </w:rPr>
            </w:pPr>
            <w:r>
              <w:rPr>
                <w:rFonts w:ascii="Arial"/>
                <w:spacing w:val="-1"/>
                <w:sz w:val="18"/>
              </w:rPr>
              <w:t>4,512,069.99</w:t>
            </w:r>
          </w:p>
        </w:tc>
      </w:tr>
      <w:tr>
        <w:trPr>
          <w:trHeight w:val="394"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331" w:right="0"/>
              <w:jc w:val="left"/>
              <w:rPr>
                <w:rFonts w:ascii="Arial" w:hAnsi="Arial" w:cs="Arial" w:eastAsia="Arial" w:hint="default"/>
                <w:sz w:val="18"/>
                <w:szCs w:val="18"/>
              </w:rPr>
            </w:pPr>
            <w:r>
              <w:rPr>
                <w:rFonts w:ascii="Arial"/>
                <w:b/>
                <w:w w:val="99"/>
                <w:sz w:val="18"/>
              </w:rPr>
            </w:r>
            <w:r>
              <w:rPr>
                <w:rFonts w:ascii="Arial"/>
                <w:b/>
                <w:sz w:val="18"/>
                <w:u w:val="single" w:color="000000"/>
              </w:rPr>
              <w:t>2,552,769.02</w:t>
            </w:r>
            <w:r>
              <w:rPr>
                <w:rFonts w:ascii="Arial"/>
                <w:b/>
                <w:sz w:val="18"/>
              </w:rPr>
            </w:r>
            <w:r>
              <w:rPr>
                <w:rFonts w:ascii="Arial"/>
                <w:sz w:val="18"/>
              </w:rPr>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2,264,054.40</w:t>
            </w:r>
            <w:r>
              <w:rPr>
                <w:rFonts w:ascii="Arial"/>
                <w:b/>
                <w:spacing w:val="-1"/>
                <w:sz w:val="18"/>
              </w:rPr>
            </w:r>
            <w:r>
              <w:rPr>
                <w:rFonts w:ascii="Arial"/>
                <w:spacing w:val="-1"/>
                <w:sz w:val="18"/>
              </w:rPr>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4,517,499.03</w:t>
            </w:r>
            <w:r>
              <w:rPr>
                <w:rFonts w:ascii="Arial"/>
                <w:b/>
                <w:spacing w:val="-1"/>
                <w:sz w:val="18"/>
              </w:rPr>
            </w:r>
            <w:r>
              <w:rPr>
                <w:rFonts w:ascii="Arial"/>
                <w:spacing w:val="-1"/>
                <w:sz w:val="18"/>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4,512,069.99</w:t>
            </w:r>
            <w:r>
              <w:rPr>
                <w:rFonts w:ascii="Arial"/>
                <w:b/>
                <w:spacing w:val="-1"/>
                <w:sz w:val="18"/>
              </w:rPr>
            </w:r>
            <w:r>
              <w:rPr>
                <w:rFonts w:ascii="Arial"/>
                <w:spacing w:val="-1"/>
                <w:sz w:val="18"/>
              </w:rPr>
            </w:r>
          </w:p>
        </w:tc>
      </w:tr>
    </w:tbl>
    <w:p>
      <w:pPr>
        <w:spacing w:line="240" w:lineRule="auto" w:before="13"/>
        <w:rPr>
          <w:rFonts w:ascii="宋体" w:hAnsi="宋体" w:cs="宋体" w:eastAsia="宋体" w:hint="default"/>
          <w:sz w:val="12"/>
          <w:szCs w:val="12"/>
        </w:rPr>
      </w:pPr>
    </w:p>
    <w:p>
      <w:pPr>
        <w:pStyle w:val="Heading4"/>
        <w:tabs>
          <w:tab w:pos="1434" w:val="left" w:leader="none"/>
        </w:tabs>
        <w:spacing w:line="240" w:lineRule="auto" w:before="36"/>
        <w:ind w:left="580" w:right="1326"/>
        <w:jc w:val="left"/>
        <w:rPr>
          <w:b w:val="0"/>
          <w:bCs w:val="0"/>
        </w:rPr>
      </w:pPr>
      <w:r>
        <w:rPr/>
        <w:t>（四）</w:t>
        <w:tab/>
        <w:t>投资收益</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80" w:right="1326"/>
        <w:jc w:val="left"/>
      </w:pPr>
      <w:r>
        <w:rPr/>
        <w:t>（</w:t>
      </w:r>
      <w:r>
        <w:rPr>
          <w:rFonts w:ascii="Arial" w:hAnsi="Arial" w:cs="Arial" w:eastAsia="Arial" w:hint="default"/>
        </w:rPr>
        <w:t>1</w:t>
      </w:r>
      <w:r>
        <w:rPr/>
        <w:t>）投资收益按来源列示如下：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459"/>
        <w:gridCol w:w="2458"/>
        <w:gridCol w:w="2943"/>
      </w:tblGrid>
      <w:tr>
        <w:trPr>
          <w:trHeight w:val="391" w:hRule="exact"/>
        </w:trPr>
        <w:tc>
          <w:tcPr>
            <w:tcW w:w="34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926"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77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23,873,871.66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20,759,888.40</w:t>
            </w:r>
          </w:p>
        </w:tc>
      </w:tr>
      <w:tr>
        <w:trPr>
          <w:trHeight w:val="38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-129,580,923.30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2"/>
                <w:sz w:val="18"/>
              </w:rPr>
              <w:t>11,729,608.84</w:t>
            </w:r>
          </w:p>
        </w:tc>
      </w:tr>
      <w:tr>
        <w:trPr>
          <w:trHeight w:val="394" w:hRule="exact"/>
        </w:trPr>
        <w:tc>
          <w:tcPr>
            <w:tcW w:w="34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-105,707,051.64</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3"/>
              <w:jc w:val="right"/>
              <w:rPr>
                <w:rFonts w:ascii="Arial" w:hAnsi="Arial" w:cs="Arial" w:eastAsia="Arial" w:hint="default"/>
                <w:sz w:val="18"/>
                <w:szCs w:val="18"/>
              </w:rPr>
            </w:pPr>
            <w:r>
              <w:rPr>
                <w:rFonts w:ascii="Arial"/>
                <w:b/>
                <w:w w:val="99"/>
                <w:sz w:val="18"/>
              </w:rPr>
            </w:r>
            <w:r>
              <w:rPr>
                <w:rFonts w:ascii="Arial"/>
                <w:b/>
                <w:spacing w:val="-1"/>
                <w:sz w:val="18"/>
                <w:u w:val="single" w:color="000000"/>
              </w:rPr>
              <w:t>32,489,497.24</w:t>
            </w:r>
            <w:r>
              <w:rPr>
                <w:rFonts w:ascii="Arial"/>
                <w:b/>
                <w:spacing w:val="-1"/>
                <w:sz w:val="18"/>
              </w:rPr>
            </w:r>
            <w:r>
              <w:rPr>
                <w:rFonts w:ascii="Arial"/>
                <w:spacing w:val="-1"/>
                <w:sz w:val="18"/>
              </w:rPr>
            </w:r>
          </w:p>
        </w:tc>
      </w:tr>
    </w:tbl>
    <w:p>
      <w:pPr>
        <w:pStyle w:val="BodyText"/>
        <w:spacing w:line="240" w:lineRule="auto" w:before="86"/>
        <w:ind w:left="580" w:right="1326"/>
        <w:jc w:val="left"/>
      </w:pPr>
      <w:r>
        <w:rPr/>
        <w:t>（</w:t>
      </w:r>
      <w:r>
        <w:rPr>
          <w:rFonts w:ascii="Arial" w:hAnsi="Arial" w:cs="Arial" w:eastAsia="Arial" w:hint="default"/>
        </w:rPr>
        <w:t>2</w:t>
      </w:r>
      <w:r>
        <w:rPr/>
        <w:t>）按成本法核算的长期股权投资收益：</w:t>
      </w:r>
    </w:p>
    <w:p>
      <w:pPr>
        <w:spacing w:line="240" w:lineRule="auto" w:before="11"/>
        <w:rPr>
          <w:rFonts w:ascii="宋体" w:hAnsi="宋体" w:cs="宋体" w:eastAsia="宋体" w:hint="default"/>
          <w:sz w:val="20"/>
          <w:szCs w:val="20"/>
        </w:rPr>
      </w:pPr>
    </w:p>
    <w:tbl>
      <w:tblPr>
        <w:tblW w:w="0" w:type="auto"/>
        <w:jc w:val="left"/>
        <w:tblInd w:w="215" w:type="dxa"/>
        <w:tblLayout w:type="fixed"/>
        <w:tblCellMar>
          <w:top w:w="0" w:type="dxa"/>
          <w:left w:w="0" w:type="dxa"/>
          <w:bottom w:w="0" w:type="dxa"/>
          <w:right w:w="0" w:type="dxa"/>
        </w:tblCellMar>
        <w:tblLook w:val="01E0"/>
      </w:tblPr>
      <w:tblGrid>
        <w:gridCol w:w="2645"/>
        <w:gridCol w:w="1704"/>
        <w:gridCol w:w="2007"/>
        <w:gridCol w:w="2518"/>
      </w:tblGrid>
      <w:tr>
        <w:trPr>
          <w:trHeight w:val="394" w:hRule="exact"/>
        </w:trPr>
        <w:tc>
          <w:tcPr>
            <w:tcW w:w="264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84" w:hRule="exact"/>
        </w:trPr>
        <w:tc>
          <w:tcPr>
            <w:tcW w:w="26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36" w:right="0"/>
              <w:jc w:val="left"/>
              <w:rPr>
                <w:rFonts w:ascii="Arial" w:hAnsi="Arial" w:cs="Arial" w:eastAsia="Arial" w:hint="default"/>
                <w:sz w:val="18"/>
                <w:szCs w:val="18"/>
              </w:rPr>
            </w:pPr>
            <w:r>
              <w:rPr>
                <w:rFonts w:ascii="Arial"/>
                <w:sz w:val="18"/>
              </w:rPr>
              <w:t>23,873,871.66</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20,759,888.40</w:t>
            </w:r>
          </w:p>
        </w:tc>
        <w:tc>
          <w:tcPr>
            <w:tcW w:w="2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股利分配</w:t>
            </w:r>
          </w:p>
        </w:tc>
      </w:tr>
      <w:tr>
        <w:trPr>
          <w:trHeight w:val="392" w:hRule="exact"/>
        </w:trPr>
        <w:tc>
          <w:tcPr>
            <w:tcW w:w="2645" w:type="dxa"/>
            <w:tcBorders>
              <w:top w:val="single" w:sz="6" w:space="0" w:color="000000"/>
              <w:left w:val="nil" w:sz="6" w:space="0" w:color="auto"/>
              <w:bottom w:val="single" w:sz="12" w:space="0" w:color="000000"/>
              <w:right w:val="single" w:sz="6" w:space="0" w:color="000000"/>
            </w:tcBorders>
          </w:tcPr>
          <w:p>
            <w:pPr>
              <w:pStyle w:val="TableParagraph"/>
              <w:spacing w:line="218"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Arial" w:hAnsi="Arial" w:cs="Arial" w:eastAsia="Arial" w:hint="default"/>
                <w:sz w:val="18"/>
                <w:szCs w:val="18"/>
              </w:rPr>
            </w:pPr>
            <w:r>
              <w:rPr>
                <w:rFonts w:ascii="Arial"/>
                <w:b/>
                <w:w w:val="99"/>
                <w:sz w:val="18"/>
              </w:rPr>
            </w:r>
            <w:r>
              <w:rPr>
                <w:rFonts w:ascii="Arial"/>
                <w:b/>
                <w:sz w:val="18"/>
                <w:u w:val="single" w:color="000000"/>
              </w:rPr>
              <w:t>23,873,871.66</w:t>
            </w:r>
            <w:r>
              <w:rPr>
                <w:rFonts w:ascii="Arial"/>
                <w:b/>
                <w:sz w:val="18"/>
              </w:rPr>
            </w:r>
            <w:r>
              <w:rPr>
                <w:rFonts w:ascii="Arial"/>
                <w:sz w:val="18"/>
              </w:rPr>
            </w:r>
          </w:p>
        </w:tc>
        <w:tc>
          <w:tcPr>
            <w:tcW w:w="2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20,759,888.40</w:t>
            </w:r>
            <w:r>
              <w:rPr>
                <w:rFonts w:ascii="Arial"/>
                <w:b/>
                <w:spacing w:val="-1"/>
                <w:sz w:val="18"/>
              </w:rPr>
            </w:r>
            <w:r>
              <w:rPr>
                <w:rFonts w:ascii="Arial"/>
                <w:spacing w:val="-1"/>
                <w:sz w:val="18"/>
              </w:rPr>
            </w:r>
          </w:p>
        </w:tc>
        <w:tc>
          <w:tcPr>
            <w:tcW w:w="251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Heading4"/>
        <w:tabs>
          <w:tab w:pos="1434" w:val="left" w:leader="none"/>
        </w:tabs>
        <w:spacing w:line="240" w:lineRule="auto" w:before="36"/>
        <w:ind w:left="580" w:right="1326"/>
        <w:jc w:val="left"/>
        <w:rPr>
          <w:b w:val="0"/>
          <w:bCs w:val="0"/>
        </w:rPr>
      </w:pPr>
      <w:r>
        <w:rPr/>
        <w:t>（五）</w:t>
        <w:tab/>
        <w:t>现金流量表补充资料</w:t>
      </w:r>
      <w:r>
        <w:rPr>
          <w:b w:val="0"/>
          <w:bCs w:val="0"/>
        </w:rPr>
      </w:r>
    </w:p>
    <w:p>
      <w:pPr>
        <w:spacing w:line="240" w:lineRule="auto" w:before="7"/>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4606"/>
        <w:gridCol w:w="2127"/>
        <w:gridCol w:w="2127"/>
      </w:tblGrid>
      <w:tr>
        <w:trPr>
          <w:trHeight w:val="391" w:hRule="exact"/>
        </w:trPr>
        <w:tc>
          <w:tcPr>
            <w:tcW w:w="46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-206,954,596.25</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-13,058,730.99</w:t>
            </w:r>
          </w:p>
        </w:tc>
      </w:tr>
      <w:tr>
        <w:trPr>
          <w:trHeight w:val="384" w:hRule="exact"/>
        </w:trPr>
        <w:tc>
          <w:tcPr>
            <w:tcW w:w="4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78,792,074.12</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5,269,516.23</w:t>
            </w:r>
          </w:p>
        </w:tc>
      </w:tr>
      <w:tr>
        <w:trPr>
          <w:trHeight w:val="394" w:hRule="exact"/>
        </w:trPr>
        <w:tc>
          <w:tcPr>
            <w:tcW w:w="46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1,666,182.75</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2,559,774.64</w:t>
            </w:r>
          </w:p>
        </w:tc>
      </w:tr>
    </w:tbl>
    <w:p>
      <w:pPr>
        <w:spacing w:after="0" w:line="240" w:lineRule="auto"/>
        <w:jc w:val="right"/>
        <w:rPr>
          <w:rFonts w:ascii="Arial" w:hAnsi="Arial" w:cs="Arial" w:eastAsia="Arial" w:hint="default"/>
          <w:sz w:val="18"/>
          <w:szCs w:val="18"/>
        </w:rPr>
        <w:sectPr>
          <w:pgSz w:w="11910" w:h="16840"/>
          <w:pgMar w:header="884" w:footer="1013" w:top="1080" w:bottom="1200" w:left="1280" w:right="0"/>
        </w:sectPr>
      </w:pPr>
    </w:p>
    <w:tbl>
      <w:tblPr>
        <w:tblW w:w="0" w:type="auto"/>
        <w:jc w:val="left"/>
        <w:tblInd w:w="110" w:type="dxa"/>
        <w:tblLayout w:type="fixed"/>
        <w:tblCellMar>
          <w:top w:w="0" w:type="dxa"/>
          <w:left w:w="0" w:type="dxa"/>
          <w:bottom w:w="0" w:type="dxa"/>
          <w:right w:w="0" w:type="dxa"/>
        </w:tblCellMar>
        <w:tblLook w:val="01E0"/>
      </w:tblPr>
      <w:tblGrid>
        <w:gridCol w:w="4712"/>
        <w:gridCol w:w="2127"/>
        <w:gridCol w:w="2127"/>
      </w:tblGrid>
      <w:tr>
        <w:trPr>
          <w:trHeight w:val="398" w:hRule="exact"/>
        </w:trPr>
        <w:tc>
          <w:tcPr>
            <w:tcW w:w="471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spacing w:val="-1"/>
                <w:sz w:val="18"/>
              </w:rPr>
              <w:t>425,468.39</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443,636.04</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96"/>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 </w:t>
            </w:r>
            <w:r>
              <w:rPr>
                <w:rFonts w:ascii="宋体" w:hAnsi="宋体" w:cs="宋体" w:eastAsia="宋体" w:hint="default"/>
                <w:spacing w:val="-1"/>
                <w:w w:val="89"/>
                <w:sz w:val="18"/>
                <w:szCs w:val="18"/>
              </w:rPr>
              <w:t>以</w:t>
            </w:r>
            <w:r>
              <w:rPr>
                <w:rFonts w:ascii="Arial" w:hAnsi="Arial" w:cs="Arial" w:eastAsia="Arial" w:hint="default"/>
                <w:spacing w:val="-1"/>
                <w:w w:val="89"/>
                <w:sz w:val="18"/>
                <w:szCs w:val="18"/>
              </w:rPr>
              <w:t>―</w:t>
            </w:r>
            <w:r>
              <w:rPr>
                <w:rFonts w:ascii="宋体" w:hAnsi="宋体" w:cs="宋体" w:eastAsia="宋体" w:hint="default"/>
                <w:spacing w:val="-1"/>
                <w:w w:val="89"/>
                <w:sz w:val="18"/>
                <w:szCs w:val="18"/>
              </w:rPr>
              <w:t>－</w:t>
            </w:r>
            <w:r>
              <w:rPr>
                <w:rFonts w:ascii="Arial" w:hAnsi="Arial" w:cs="Arial" w:eastAsia="Arial" w:hint="default"/>
                <w:spacing w:val="-1"/>
                <w:w w:val="89"/>
                <w:sz w:val="18"/>
                <w:szCs w:val="18"/>
              </w:rPr>
              <w:t>‖</w:t>
            </w:r>
            <w:r>
              <w:rPr>
                <w:rFonts w:ascii="宋体" w:hAnsi="宋体" w:cs="宋体" w:eastAsia="宋体" w:hint="default"/>
                <w:spacing w:val="-1"/>
                <w:w w:val="89"/>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-540,724.72</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4"/>
              <w:jc w:val="right"/>
              <w:rPr>
                <w:rFonts w:ascii="Arial" w:hAnsi="Arial" w:cs="Arial" w:eastAsia="Arial" w:hint="default"/>
                <w:sz w:val="18"/>
                <w:szCs w:val="18"/>
              </w:rPr>
            </w:pPr>
            <w:r>
              <w:rPr>
                <w:rFonts w:ascii="Arial"/>
                <w:spacing w:val="-1"/>
                <w:sz w:val="18"/>
              </w:rPr>
              <w:t>-366,904.58</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21,475,072.84</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21,941,320.99</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105,707,051.64</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-32,489,497.24</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3"/>
                <w:sz w:val="18"/>
              </w:rPr>
              <w:t>-10,483,811.11</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4"/>
              <w:jc w:val="right"/>
              <w:rPr>
                <w:rFonts w:ascii="Arial" w:hAnsi="Arial" w:cs="Arial" w:eastAsia="Arial" w:hint="default"/>
                <w:sz w:val="18"/>
                <w:szCs w:val="18"/>
              </w:rPr>
            </w:pPr>
            <w:r>
              <w:rPr>
                <w:rFonts w:ascii="Arial"/>
                <w:spacing w:val="-1"/>
                <w:sz w:val="18"/>
              </w:rPr>
              <w:t>-790,427.44</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1,471,792.19</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4"/>
              <w:jc w:val="right"/>
              <w:rPr>
                <w:rFonts w:ascii="Arial" w:hAnsi="Arial" w:cs="Arial" w:eastAsia="Arial" w:hint="default"/>
                <w:sz w:val="18"/>
                <w:szCs w:val="18"/>
              </w:rPr>
            </w:pPr>
            <w:r>
              <w:rPr>
                <w:rFonts w:ascii="Arial"/>
                <w:spacing w:val="-1"/>
                <w:sz w:val="18"/>
              </w:rPr>
              <w:t>-377,432.97</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82,843,620.56</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260,121,620.68</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-33,156,739.30</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4"/>
              <w:jc w:val="right"/>
              <w:rPr>
                <w:rFonts w:ascii="Arial" w:hAnsi="Arial" w:cs="Arial" w:eastAsia="Arial" w:hint="default"/>
                <w:sz w:val="18"/>
                <w:szCs w:val="18"/>
              </w:rPr>
            </w:pPr>
            <w:r>
              <w:rPr>
                <w:rFonts w:ascii="Arial"/>
                <w:spacing w:val="-1"/>
                <w:sz w:val="18"/>
              </w:rPr>
              <w:t>-74,238,343.68</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41,245,391.11</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169,014,531.68</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3,452,952.89</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2"/>
                <w:sz w:val="18"/>
              </w:rPr>
              <w:t>11,152,729.83</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11,152,729.83</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12,647,372.43</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47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-7,699,776.94</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05"/>
              <w:jc w:val="right"/>
              <w:rPr>
                <w:rFonts w:ascii="Arial" w:hAnsi="Arial" w:cs="Arial" w:eastAsia="Arial" w:hint="default"/>
                <w:sz w:val="18"/>
                <w:szCs w:val="18"/>
              </w:rPr>
            </w:pPr>
            <w:r>
              <w:rPr>
                <w:rFonts w:ascii="Arial"/>
                <w:spacing w:val="-1"/>
                <w:sz w:val="18"/>
              </w:rPr>
              <w:t>-1,494,642.60</w:t>
            </w:r>
          </w:p>
        </w:tc>
      </w:tr>
    </w:tbl>
    <w:p>
      <w:pPr>
        <w:spacing w:before="86"/>
        <w:ind w:left="160" w:right="1326"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1"/>
          <w:sz w:val="21"/>
          <w:szCs w:val="21"/>
        </w:rPr>
        <w:t> </w:t>
      </w:r>
      <w:r>
        <w:rPr>
          <w:rFonts w:ascii="宋体" w:hAnsi="宋体" w:cs="宋体" w:eastAsia="宋体" w:hint="default"/>
          <w:b/>
          <w:bCs/>
          <w:sz w:val="21"/>
          <w:szCs w:val="21"/>
        </w:rPr>
        <w:t>补充资料</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580" w:right="132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4"/>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pStyle w:val="BodyText"/>
        <w:spacing w:line="240" w:lineRule="auto"/>
        <w:ind w:left="580" w:right="1326"/>
        <w:jc w:val="left"/>
      </w:pPr>
      <w:r>
        <w:rPr>
          <w:spacing w:val="-4"/>
        </w:rPr>
        <w:t>根据中国证监会《公开发行证券的公司信息披露解释性公告第 </w:t>
      </w:r>
      <w:r>
        <w:rPr>
          <w:rFonts w:ascii="Arial" w:hAnsi="Arial" w:cs="Arial" w:eastAsia="Arial" w:hint="default"/>
        </w:rPr>
        <w:t>1</w:t>
      </w:r>
      <w:r>
        <w:rPr>
          <w:rFonts w:ascii="Arial" w:hAnsi="Arial" w:cs="Arial" w:eastAsia="Arial" w:hint="default"/>
          <w:spacing w:val="12"/>
        </w:rPr>
        <w:t> </w:t>
      </w:r>
      <w:r>
        <w:rPr>
          <w:spacing w:val="-12"/>
        </w:rPr>
        <w:t>号</w:t>
      </w:r>
      <w:r>
        <w:rPr>
          <w:rFonts w:ascii="Arial" w:hAnsi="Arial" w:cs="Arial" w:eastAsia="Arial" w:hint="default"/>
          <w:spacing w:val="-12"/>
        </w:rPr>
        <w:t>——</w:t>
      </w:r>
      <w:r>
        <w:rPr>
          <w:spacing w:val="-12"/>
        </w:rPr>
        <w:t>非经常性损益（</w:t>
      </w:r>
      <w:r>
        <w:rPr>
          <w:rFonts w:ascii="Arial" w:hAnsi="Arial" w:cs="Arial" w:eastAsia="Arial" w:hint="default"/>
          <w:spacing w:val="-12"/>
        </w:rPr>
        <w:t>2008</w:t>
      </w:r>
      <w:r>
        <w:rPr>
          <w:spacing w:val="-12"/>
        </w:rPr>
        <w:t>）》</w:t>
      </w:r>
      <w:r>
        <w:rPr/>
      </w:r>
    </w:p>
    <w:p>
      <w:pPr>
        <w:pStyle w:val="BodyText"/>
        <w:spacing w:line="240" w:lineRule="auto" w:before="121"/>
        <w:ind w:left="160" w:right="1326"/>
        <w:jc w:val="left"/>
      </w:pPr>
      <w:r>
        <w:rPr>
          <w:w w:val="100"/>
        </w:rPr>
        <w:t>（</w:t>
      </w:r>
      <w:r>
        <w:rPr>
          <w:rFonts w:ascii="Arial" w:hAnsi="Arial" w:cs="Arial" w:eastAsia="Arial" w:hint="default"/>
          <w:spacing w:val="-1"/>
          <w:w w:val="33"/>
        </w:rPr>
        <w:t>―</w:t>
      </w:r>
      <w:r>
        <w:rPr>
          <w:w w:val="100"/>
        </w:rPr>
        <w:t>中</w:t>
      </w:r>
      <w:r>
        <w:rPr>
          <w:spacing w:val="-3"/>
          <w:w w:val="100"/>
        </w:rPr>
        <w:t>国</w:t>
      </w:r>
      <w:r>
        <w:rPr>
          <w:w w:val="100"/>
        </w:rPr>
        <w:t>证</w:t>
      </w:r>
      <w:r>
        <w:rPr>
          <w:spacing w:val="-3"/>
          <w:w w:val="100"/>
        </w:rPr>
        <w:t>券</w:t>
      </w:r>
      <w:r>
        <w:rPr>
          <w:w w:val="100"/>
        </w:rPr>
        <w:t>监</w:t>
      </w:r>
      <w:r>
        <w:rPr>
          <w:spacing w:val="-3"/>
          <w:w w:val="100"/>
        </w:rPr>
        <w:t>督</w:t>
      </w:r>
      <w:r>
        <w:rPr>
          <w:w w:val="100"/>
        </w:rPr>
        <w:t>管</w:t>
      </w:r>
      <w:r>
        <w:rPr>
          <w:spacing w:val="-3"/>
          <w:w w:val="100"/>
        </w:rPr>
        <w:t>理</w:t>
      </w:r>
      <w:r>
        <w:rPr>
          <w:w w:val="100"/>
        </w:rPr>
        <w:t>委</w:t>
      </w:r>
      <w:r>
        <w:rPr>
          <w:spacing w:val="-3"/>
          <w:w w:val="100"/>
        </w:rPr>
        <w:t>员</w:t>
      </w:r>
      <w:r>
        <w:rPr>
          <w:w w:val="100"/>
        </w:rPr>
        <w:t>会公告</w:t>
      </w:r>
      <w:r>
        <w:rPr>
          <w:rFonts w:ascii="Arial" w:hAnsi="Arial" w:cs="Arial" w:eastAsia="Arial" w:hint="default"/>
          <w:spacing w:val="-4"/>
          <w:w w:val="100"/>
        </w:rPr>
        <w:t>[</w:t>
      </w:r>
      <w:r>
        <w:rPr>
          <w:rFonts w:ascii="Arial" w:hAnsi="Arial" w:cs="Arial" w:eastAsia="Arial" w:hint="default"/>
          <w:w w:val="100"/>
        </w:rPr>
        <w:t>20</w:t>
      </w:r>
      <w:r>
        <w:rPr>
          <w:rFonts w:ascii="Arial" w:hAnsi="Arial" w:cs="Arial" w:eastAsia="Arial" w:hint="default"/>
          <w:spacing w:val="-2"/>
          <w:w w:val="100"/>
        </w:rPr>
        <w:t>0</w:t>
      </w:r>
      <w:r>
        <w:rPr>
          <w:rFonts w:ascii="Arial" w:hAnsi="Arial" w:cs="Arial" w:eastAsia="Arial" w:hint="default"/>
          <w:w w:val="100"/>
        </w:rPr>
        <w:t>8</w:t>
      </w:r>
      <w:r>
        <w:rPr>
          <w:rFonts w:ascii="Arial" w:hAnsi="Arial" w:cs="Arial" w:eastAsia="Arial" w:hint="default"/>
          <w:spacing w:val="-1"/>
          <w:w w:val="100"/>
        </w:rPr>
        <w:t>]</w:t>
      </w:r>
      <w:r>
        <w:rPr>
          <w:rFonts w:ascii="Arial" w:hAnsi="Arial" w:cs="Arial" w:eastAsia="Arial" w:hint="default"/>
          <w:w w:val="100"/>
        </w:rPr>
        <w:t>43</w:t>
      </w:r>
      <w:r>
        <w:rPr>
          <w:rFonts w:ascii="Arial" w:hAnsi="Arial" w:cs="Arial" w:eastAsia="Arial" w:hint="default"/>
          <w:spacing w:val="-8"/>
        </w:rPr>
        <w:t> </w:t>
      </w:r>
      <w:r>
        <w:rPr>
          <w:w w:val="100"/>
        </w:rPr>
        <w:t>号</w:t>
      </w:r>
      <w:r>
        <w:rPr>
          <w:rFonts w:ascii="Arial" w:hAnsi="Arial" w:cs="Arial" w:eastAsia="Arial" w:hint="default"/>
          <w:spacing w:val="-1"/>
          <w:w w:val="81"/>
        </w:rPr>
        <w:t>‖</w:t>
      </w:r>
      <w:r>
        <w:rPr>
          <w:w w:val="100"/>
        </w:rPr>
        <w:t>）</w:t>
      </w:r>
      <w:r>
        <w:rPr>
          <w:spacing w:val="-3"/>
          <w:w w:val="100"/>
        </w:rPr>
        <w:t>，本</w:t>
      </w:r>
      <w:r>
        <w:rPr>
          <w:w w:val="100"/>
        </w:rPr>
        <w:t>公司</w:t>
      </w:r>
      <w:r>
        <w:rPr>
          <w:spacing w:val="-3"/>
          <w:w w:val="100"/>
        </w:rPr>
        <w:t>非</w:t>
      </w:r>
      <w:r>
        <w:rPr>
          <w:w w:val="100"/>
        </w:rPr>
        <w:t>经</w:t>
      </w:r>
      <w:r>
        <w:rPr>
          <w:spacing w:val="-3"/>
          <w:w w:val="100"/>
        </w:rPr>
        <w:t>常</w:t>
      </w:r>
      <w:r>
        <w:rPr>
          <w:w w:val="100"/>
        </w:rPr>
        <w:t>性</w:t>
      </w:r>
      <w:r>
        <w:rPr>
          <w:spacing w:val="-3"/>
          <w:w w:val="100"/>
        </w:rPr>
        <w:t>损</w:t>
      </w:r>
      <w:r>
        <w:rPr>
          <w:w w:val="100"/>
        </w:rPr>
        <w:t>益</w:t>
      </w:r>
      <w:r>
        <w:rPr>
          <w:spacing w:val="-3"/>
          <w:w w:val="100"/>
        </w:rPr>
        <w:t>如</w:t>
      </w:r>
      <w:r>
        <w:rPr>
          <w:w w:val="100"/>
        </w:rPr>
        <w:t>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4981"/>
        <w:gridCol w:w="2023"/>
        <w:gridCol w:w="1856"/>
      </w:tblGrid>
      <w:tr>
        <w:trPr>
          <w:trHeight w:val="336" w:hRule="exact"/>
        </w:trPr>
        <w:tc>
          <w:tcPr>
            <w:tcW w:w="4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4"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2"/>
                <w:sz w:val="18"/>
                <w:szCs w:val="18"/>
              </w:rPr>
              <w:t>非流动性资产处置损益，包括已计提资产减值准备的冲销部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-1,139,939.30</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737"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5"/>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符合国家政策规定、按照一定标准定额或定量持续享受的政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府补助除外）</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right"/>
              <w:rPr>
                <w:rFonts w:ascii="Arial" w:hAnsi="Arial" w:cs="Arial" w:eastAsia="Arial" w:hint="default"/>
                <w:sz w:val="18"/>
                <w:szCs w:val="18"/>
              </w:rPr>
            </w:pPr>
            <w:r>
              <w:rPr>
                <w:rFonts w:ascii="Arial"/>
                <w:spacing w:val="-1"/>
                <w:sz w:val="18"/>
              </w:rPr>
              <w:t>9,064,888.40</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49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w:t>
            </w:r>
            <w:r>
              <w:rPr>
                <w:rFonts w:ascii="宋体" w:hAnsi="宋体" w:cs="宋体" w:eastAsia="宋体" w:hint="default"/>
                <w:sz w:val="18"/>
                <w:szCs w:val="18"/>
              </w:rPr>
            </w:r>
          </w:p>
        </w:tc>
        <w:tc>
          <w:tcPr>
            <w:tcW w:w="2023" w:type="dxa"/>
            <w:tcBorders>
              <w:top w:val="single" w:sz="6" w:space="0" w:color="000000"/>
              <w:left w:val="single" w:sz="6" w:space="0" w:color="000000"/>
              <w:bottom w:val="single" w:sz="12" w:space="0" w:color="000000"/>
              <w:right w:val="single" w:sz="6" w:space="0" w:color="000000"/>
            </w:tcBorders>
          </w:tcPr>
          <w:p>
            <w:pPr/>
          </w:p>
        </w:tc>
        <w:tc>
          <w:tcPr>
            <w:tcW w:w="185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4" w:footer="1013" w:top="114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087"/>
        <w:gridCol w:w="2023"/>
        <w:gridCol w:w="1856"/>
      </w:tblGrid>
      <w:tr>
        <w:trPr>
          <w:trHeight w:val="341" w:hRule="exact"/>
        </w:trPr>
        <w:tc>
          <w:tcPr>
            <w:tcW w:w="508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7"/>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56"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27" w:right="0"/>
              <w:jc w:val="left"/>
              <w:rPr>
                <w:rFonts w:ascii="宋体" w:hAnsi="宋体" w:cs="宋体" w:eastAsia="宋体" w:hint="default"/>
                <w:sz w:val="18"/>
                <w:szCs w:val="18"/>
              </w:rPr>
            </w:pPr>
            <w:r>
              <w:rPr>
                <w:rFonts w:ascii="宋体" w:hAnsi="宋体" w:cs="宋体" w:eastAsia="宋体" w:hint="default"/>
                <w:sz w:val="18"/>
                <w:szCs w:val="18"/>
              </w:rPr>
              <w:t>投资时应享有被投资单位可辨认净资产公允价值产生的收益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7"/>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同一控制下企业合并产生的子公司期初至合并日的当期净损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975"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易性金融资产、交易性金融负债产生的公允价值变动损益，</w:t>
            </w:r>
            <w:r>
              <w:rPr>
                <w:rFonts w:ascii="宋体" w:hAnsi="宋体" w:cs="宋体" w:eastAsia="宋体" w:hint="default"/>
                <w:sz w:val="18"/>
                <w:szCs w:val="18"/>
              </w:rPr>
            </w:r>
          </w:p>
          <w:p>
            <w:pPr>
              <w:pStyle w:val="TableParagraph"/>
              <w:spacing w:line="240" w:lineRule="exact"/>
              <w:ind w:left="227" w:right="100"/>
              <w:jc w:val="left"/>
              <w:rPr>
                <w:rFonts w:ascii="宋体" w:hAnsi="宋体" w:cs="宋体" w:eastAsia="宋体" w:hint="default"/>
                <w:sz w:val="18"/>
                <w:szCs w:val="18"/>
              </w:rPr>
            </w:pPr>
            <w:r>
              <w:rPr>
                <w:rFonts w:ascii="宋体" w:hAnsi="宋体" w:cs="宋体" w:eastAsia="宋体" w:hint="default"/>
                <w:spacing w:val="2"/>
                <w:sz w:val="18"/>
                <w:szCs w:val="18"/>
              </w:rPr>
              <w:t>以及处置交易性金融资产、交易性金融负债和可供出售金融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资产取得的投资收益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动产生的损益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调整对当期损益的影响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884,167.05</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spacing w:val="-1"/>
                <w:sz w:val="18"/>
              </w:rPr>
              <w:t>-10,101,838.03</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161"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-1,292,721.88</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22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-20,167.87</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52"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-1,272,554.01</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spacing w:val="-1"/>
                <w:sz w:val="18"/>
              </w:rPr>
              <w:t>731,577.82</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归属于母公司普通股股东净利润的非经常性损益</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-2,004,131.83</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5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2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5"/>
              <w:jc w:val="right"/>
              <w:rPr>
                <w:rFonts w:ascii="Arial" w:hAnsi="Arial" w:cs="Arial" w:eastAsia="Arial" w:hint="default"/>
                <w:sz w:val="18"/>
                <w:szCs w:val="18"/>
              </w:rPr>
            </w:pPr>
            <w:r>
              <w:rPr>
                <w:rFonts w:ascii="Arial"/>
                <w:spacing w:val="-1"/>
                <w:sz w:val="18"/>
              </w:rPr>
              <w:t>-164,304,196.33</w:t>
            </w:r>
          </w:p>
        </w:tc>
        <w:tc>
          <w:tcPr>
            <w:tcW w:w="185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80" w:right="1326"/>
        <w:jc w:val="left"/>
      </w:pPr>
      <w:r>
        <w:rPr/>
        <w:t>注：系股权转让收益。</w:t>
      </w:r>
    </w:p>
    <w:p>
      <w:pPr>
        <w:spacing w:line="240" w:lineRule="auto" w:before="12"/>
        <w:rPr>
          <w:rFonts w:ascii="宋体" w:hAnsi="宋体" w:cs="宋体" w:eastAsia="宋体" w:hint="default"/>
          <w:sz w:val="23"/>
          <w:szCs w:val="23"/>
        </w:rPr>
      </w:pPr>
    </w:p>
    <w:p>
      <w:pPr>
        <w:spacing w:line="410" w:lineRule="auto" w:before="0"/>
        <w:ind w:left="580" w:right="143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本公司按照中国证监会《公开发行证券的公司信息披露编报规则第</w:t>
      </w:r>
      <w:r>
        <w:rPr>
          <w:rFonts w:ascii="宋体" w:hAnsi="宋体" w:cs="宋体" w:eastAsia="宋体" w:hint="default"/>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净资产收益率和每</w:t>
      </w:r>
    </w:p>
    <w:p>
      <w:pPr>
        <w:pStyle w:val="BodyText"/>
        <w:spacing w:line="244" w:lineRule="exact"/>
        <w:ind w:left="160" w:right="1326"/>
        <w:jc w:val="left"/>
      </w:pPr>
      <w:r>
        <w:rPr>
          <w:w w:val="100"/>
        </w:rPr>
        <w:t>股收</w:t>
      </w:r>
      <w:r>
        <w:rPr>
          <w:spacing w:val="-3"/>
          <w:w w:val="100"/>
        </w:rPr>
        <w:t>益</w:t>
      </w:r>
      <w:r>
        <w:rPr>
          <w:w w:val="100"/>
        </w:rPr>
        <w:t>的</w:t>
      </w:r>
      <w:r>
        <w:rPr>
          <w:spacing w:val="-3"/>
          <w:w w:val="100"/>
        </w:rPr>
        <w:t>计</w:t>
      </w:r>
      <w:r>
        <w:rPr>
          <w:w w:val="100"/>
        </w:rPr>
        <w:t>算</w:t>
      </w:r>
      <w:r>
        <w:rPr>
          <w:spacing w:val="-3"/>
          <w:w w:val="100"/>
        </w:rPr>
        <w:t>及</w:t>
      </w:r>
      <w:r>
        <w:rPr>
          <w:w w:val="100"/>
        </w:rPr>
        <w:t>披</w:t>
      </w:r>
      <w:r>
        <w:rPr>
          <w:spacing w:val="-20"/>
          <w:w w:val="100"/>
        </w:rPr>
        <w:t>露</w:t>
      </w:r>
      <w:r>
        <w:rPr>
          <w:spacing w:val="-1"/>
          <w:w w:val="100"/>
        </w:rPr>
        <w:t>（</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spacing w:val="-5"/>
        </w:rPr>
        <w:t> </w:t>
      </w:r>
      <w:r>
        <w:rPr>
          <w:w w:val="100"/>
        </w:rPr>
        <w:t>年</w:t>
      </w:r>
      <w:r>
        <w:rPr>
          <w:spacing w:val="-3"/>
          <w:w w:val="100"/>
        </w:rPr>
        <w:t>修订</w:t>
      </w:r>
      <w:r>
        <w:rPr>
          <w:spacing w:val="-17"/>
          <w:w w:val="100"/>
        </w:rPr>
        <w:t>）</w:t>
      </w:r>
      <w:r>
        <w:rPr>
          <w:spacing w:val="-20"/>
          <w:w w:val="100"/>
        </w:rPr>
        <w:t>》</w:t>
      </w:r>
      <w:r>
        <w:rPr>
          <w:spacing w:val="-1"/>
          <w:w w:val="100"/>
        </w:rPr>
        <w:t>（</w:t>
      </w:r>
      <w:r>
        <w:rPr>
          <w:rFonts w:ascii="Arial" w:hAnsi="Arial" w:cs="Arial" w:eastAsia="Arial" w:hint="default"/>
          <w:spacing w:val="-1"/>
          <w:w w:val="33"/>
        </w:rPr>
        <w:t>―</w:t>
      </w:r>
      <w:r>
        <w:rPr>
          <w:spacing w:val="-3"/>
          <w:w w:val="100"/>
        </w:rPr>
        <w:t>中</w:t>
      </w:r>
      <w:r>
        <w:rPr>
          <w:w w:val="100"/>
        </w:rPr>
        <w:t>国</w:t>
      </w:r>
      <w:r>
        <w:rPr>
          <w:spacing w:val="-3"/>
          <w:w w:val="100"/>
        </w:rPr>
        <w:t>证券</w:t>
      </w:r>
      <w:r>
        <w:rPr>
          <w:w w:val="100"/>
        </w:rPr>
        <w:t>监督</w:t>
      </w:r>
      <w:r>
        <w:rPr>
          <w:spacing w:val="-3"/>
          <w:w w:val="100"/>
        </w:rPr>
        <w:t>管</w:t>
      </w:r>
      <w:r>
        <w:rPr>
          <w:w w:val="100"/>
        </w:rPr>
        <w:t>理</w:t>
      </w:r>
      <w:r>
        <w:rPr>
          <w:spacing w:val="-3"/>
          <w:w w:val="100"/>
        </w:rPr>
        <w:t>委</w:t>
      </w:r>
      <w:r>
        <w:rPr>
          <w:w w:val="100"/>
        </w:rPr>
        <w:t>员</w:t>
      </w:r>
      <w:r>
        <w:rPr>
          <w:spacing w:val="-3"/>
          <w:w w:val="100"/>
        </w:rPr>
        <w:t>会</w:t>
      </w:r>
      <w:r>
        <w:rPr>
          <w:w w:val="100"/>
        </w:rPr>
        <w:t>公</w:t>
      </w:r>
      <w:r>
        <w:rPr>
          <w:spacing w:val="-1"/>
          <w:w w:val="100"/>
        </w:rPr>
        <w:t>告</w:t>
      </w:r>
      <w:r>
        <w:rPr>
          <w:rFonts w:ascii="Arial" w:hAnsi="Arial" w:cs="Arial" w:eastAsia="Arial" w:hint="default"/>
          <w:spacing w:val="-2"/>
          <w:w w:val="100"/>
        </w:rPr>
        <w:t>[</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10</w:t>
      </w:r>
      <w:r>
        <w:rPr>
          <w:rFonts w:ascii="Arial" w:hAnsi="Arial" w:cs="Arial" w:eastAsia="Arial" w:hint="default"/>
          <w:spacing w:val="-2"/>
          <w:w w:val="100"/>
        </w:rPr>
        <w:t>]</w:t>
      </w:r>
      <w:r>
        <w:rPr>
          <w:rFonts w:ascii="Arial" w:hAnsi="Arial" w:cs="Arial" w:eastAsia="Arial" w:hint="default"/>
          <w:w w:val="100"/>
        </w:rPr>
        <w:t>2</w:t>
      </w:r>
      <w:r>
        <w:rPr>
          <w:rFonts w:ascii="Arial" w:hAnsi="Arial" w:cs="Arial" w:eastAsia="Arial" w:hint="default"/>
          <w:spacing w:val="-5"/>
        </w:rPr>
        <w:t> </w:t>
      </w:r>
      <w:r>
        <w:rPr>
          <w:w w:val="100"/>
        </w:rPr>
        <w:t>号</w:t>
      </w:r>
      <w:r>
        <w:rPr>
          <w:spacing w:val="-20"/>
          <w:w w:val="100"/>
        </w:rPr>
        <w:t>）、</w:t>
      </w:r>
      <w:r>
        <w:rPr>
          <w:w w:val="100"/>
        </w:rPr>
        <w:t>《</w:t>
      </w:r>
      <w:r>
        <w:rPr>
          <w:spacing w:val="-3"/>
          <w:w w:val="100"/>
        </w:rPr>
        <w:t>公</w:t>
      </w:r>
      <w:r>
        <w:rPr>
          <w:w w:val="100"/>
        </w:rPr>
        <w:t>开</w:t>
      </w:r>
      <w:r>
        <w:rPr>
          <w:spacing w:val="-3"/>
          <w:w w:val="100"/>
        </w:rPr>
        <w:t>发</w:t>
      </w:r>
      <w:r>
        <w:rPr>
          <w:w w:val="100"/>
        </w:rPr>
        <w:t>行</w:t>
      </w:r>
    </w:p>
    <w:p>
      <w:pPr>
        <w:pStyle w:val="BodyText"/>
        <w:spacing w:line="240" w:lineRule="auto" w:before="119"/>
        <w:ind w:left="160" w:right="1326"/>
        <w:jc w:val="left"/>
      </w:pPr>
      <w:r>
        <w:rPr>
          <w:w w:val="100"/>
        </w:rPr>
        <w:t>证券</w:t>
      </w:r>
      <w:r>
        <w:rPr>
          <w:spacing w:val="-3"/>
          <w:w w:val="100"/>
        </w:rPr>
        <w:t>的</w:t>
      </w:r>
      <w:r>
        <w:rPr>
          <w:w w:val="100"/>
        </w:rPr>
        <w:t>公</w:t>
      </w:r>
      <w:r>
        <w:rPr>
          <w:spacing w:val="-3"/>
          <w:w w:val="100"/>
        </w:rPr>
        <w:t>司</w:t>
      </w:r>
      <w:r>
        <w:rPr>
          <w:w w:val="100"/>
        </w:rPr>
        <w:t>信</w:t>
      </w:r>
      <w:r>
        <w:rPr>
          <w:spacing w:val="-3"/>
          <w:w w:val="100"/>
        </w:rPr>
        <w:t>息</w:t>
      </w:r>
      <w:r>
        <w:rPr>
          <w:w w:val="100"/>
        </w:rPr>
        <w:t>披</w:t>
      </w:r>
      <w:r>
        <w:rPr>
          <w:spacing w:val="-3"/>
          <w:w w:val="100"/>
        </w:rPr>
        <w:t>露</w:t>
      </w:r>
      <w:r>
        <w:rPr>
          <w:w w:val="100"/>
        </w:rPr>
        <w:t>解</w:t>
      </w:r>
      <w:r>
        <w:rPr>
          <w:spacing w:val="-3"/>
          <w:w w:val="100"/>
        </w:rPr>
        <w:t>释</w:t>
      </w:r>
      <w:r>
        <w:rPr>
          <w:w w:val="100"/>
        </w:rPr>
        <w:t>性公</w:t>
      </w:r>
      <w:r>
        <w:rPr>
          <w:spacing w:val="-3"/>
          <w:w w:val="100"/>
        </w:rPr>
        <w:t>告</w:t>
      </w:r>
      <w:r>
        <w:rPr>
          <w:w w:val="100"/>
        </w:rPr>
        <w:t>第</w:t>
      </w:r>
      <w:r>
        <w:rPr>
          <w:spacing w:val="-55"/>
        </w:rPr>
        <w:t> </w:t>
      </w:r>
      <w:r>
        <w:rPr>
          <w:rFonts w:ascii="Arial" w:hAnsi="Arial" w:cs="Arial" w:eastAsia="Arial" w:hint="default"/>
          <w:w w:val="100"/>
        </w:rPr>
        <w:t>1</w:t>
      </w:r>
      <w:r>
        <w:rPr>
          <w:rFonts w:ascii="Arial" w:hAnsi="Arial" w:cs="Arial" w:eastAsia="Arial" w:hint="default"/>
          <w:spacing w:val="-6"/>
        </w:rPr>
        <w:t> </w:t>
      </w:r>
      <w:r>
        <w:rPr>
          <w:spacing w:val="-3"/>
          <w:w w:val="100"/>
        </w:rPr>
        <w:t>号</w:t>
      </w:r>
      <w:r>
        <w:rPr>
          <w:rFonts w:ascii="Arial" w:hAnsi="Arial" w:cs="Arial" w:eastAsia="Arial" w:hint="default"/>
          <w:w w:val="100"/>
        </w:rPr>
        <w:t>—</w:t>
      </w:r>
      <w:r>
        <w:rPr>
          <w:rFonts w:ascii="Arial" w:hAnsi="Arial" w:cs="Arial" w:eastAsia="Arial" w:hint="default"/>
          <w:spacing w:val="-3"/>
          <w:w w:val="100"/>
        </w:rPr>
        <w:t>—</w:t>
      </w:r>
      <w:r>
        <w:rPr>
          <w:w w:val="100"/>
        </w:rPr>
        <w:t>非</w:t>
      </w:r>
      <w:r>
        <w:rPr>
          <w:spacing w:val="-3"/>
          <w:w w:val="100"/>
        </w:rPr>
        <w:t>经常</w:t>
      </w:r>
      <w:r>
        <w:rPr>
          <w:w w:val="100"/>
        </w:rPr>
        <w:t>性损</w:t>
      </w:r>
      <w:r>
        <w:rPr>
          <w:spacing w:val="-3"/>
          <w:w w:val="100"/>
        </w:rPr>
        <w:t>益</w:t>
      </w:r>
      <w:r>
        <w:rPr>
          <w:w w:val="100"/>
        </w:rPr>
        <w:t>》（</w:t>
      </w:r>
      <w:r>
        <w:rPr>
          <w:rFonts w:ascii="Arial" w:hAnsi="Arial" w:cs="Arial" w:eastAsia="Arial" w:hint="default"/>
          <w:spacing w:val="-4"/>
          <w:w w:val="33"/>
        </w:rPr>
        <w:t>―</w:t>
      </w:r>
      <w:r>
        <w:rPr>
          <w:w w:val="100"/>
        </w:rPr>
        <w:t>中</w:t>
      </w:r>
      <w:r>
        <w:rPr>
          <w:spacing w:val="-3"/>
          <w:w w:val="100"/>
        </w:rPr>
        <w:t>国</w:t>
      </w:r>
      <w:r>
        <w:rPr>
          <w:w w:val="100"/>
        </w:rPr>
        <w:t>证</w:t>
      </w:r>
      <w:r>
        <w:rPr>
          <w:spacing w:val="-3"/>
          <w:w w:val="100"/>
        </w:rPr>
        <w:t>券</w:t>
      </w:r>
      <w:r>
        <w:rPr>
          <w:w w:val="100"/>
        </w:rPr>
        <w:t>监</w:t>
      </w:r>
      <w:r>
        <w:rPr>
          <w:spacing w:val="-3"/>
          <w:w w:val="100"/>
        </w:rPr>
        <w:t>督</w:t>
      </w:r>
      <w:r>
        <w:rPr>
          <w:w w:val="100"/>
        </w:rPr>
        <w:t>管理</w:t>
      </w:r>
      <w:r>
        <w:rPr>
          <w:spacing w:val="-3"/>
          <w:w w:val="100"/>
        </w:rPr>
        <w:t>委</w:t>
      </w:r>
      <w:r>
        <w:rPr>
          <w:w w:val="100"/>
        </w:rPr>
        <w:t>员</w:t>
      </w:r>
      <w:r>
        <w:rPr>
          <w:spacing w:val="-3"/>
          <w:w w:val="100"/>
        </w:rPr>
        <w:t>会</w:t>
      </w:r>
      <w:r>
        <w:rPr>
          <w:w w:val="100"/>
        </w:rPr>
        <w:t>公告</w:t>
      </w:r>
    </w:p>
    <w:p>
      <w:pPr>
        <w:pStyle w:val="BodyText"/>
        <w:spacing w:line="240" w:lineRule="auto" w:before="120"/>
        <w:ind w:left="160" w:right="1326"/>
        <w:jc w:val="left"/>
      </w:pPr>
      <w:r>
        <w:rPr>
          <w:rFonts w:ascii="Arial" w:hAnsi="Arial" w:cs="Arial" w:eastAsia="Arial" w:hint="default"/>
        </w:rPr>
        <w:t>[2008]43</w:t>
      </w:r>
      <w:r>
        <w:rPr>
          <w:rFonts w:ascii="Arial" w:hAnsi="Arial" w:cs="Arial" w:eastAsia="Arial" w:hint="default"/>
          <w:spacing w:val="-28"/>
        </w:rPr>
        <w:t> </w:t>
      </w:r>
      <w:r>
        <w:rPr/>
        <w:t>号</w:t>
      </w:r>
      <w:r>
        <w:rPr>
          <w:rFonts w:ascii="Arial" w:hAnsi="Arial" w:cs="Arial" w:eastAsia="Arial" w:hint="default"/>
        </w:rPr>
        <w:t>‖</w:t>
      </w:r>
      <w:r>
        <w:rPr/>
        <w:t>）要求计算的净资产收益率和每股收益如下：</w:t>
      </w:r>
    </w:p>
    <w:p>
      <w:pPr>
        <w:spacing w:line="240" w:lineRule="auto" w:before="11"/>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4369"/>
        <w:gridCol w:w="1877"/>
        <w:gridCol w:w="1301"/>
        <w:gridCol w:w="1298"/>
      </w:tblGrid>
      <w:tr>
        <w:trPr>
          <w:trHeight w:val="336" w:hRule="exact"/>
        </w:trPr>
        <w:tc>
          <w:tcPr>
            <w:tcW w:w="4369"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r>
      <w:tr>
        <w:trPr>
          <w:trHeight w:val="326" w:hRule="exact"/>
        </w:trPr>
        <w:tc>
          <w:tcPr>
            <w:tcW w:w="4369"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4" w:lineRule="auto" w:before="61"/>
              <w:ind w:left="842" w:right="118" w:hanging="721"/>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6" w:hRule="exact"/>
        </w:trPr>
        <w:tc>
          <w:tcPr>
            <w:tcW w:w="4369"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9"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Arial" w:hAnsi="Arial" w:cs="Arial" w:eastAsia="Arial" w:hint="default"/>
                <w:sz w:val="18"/>
                <w:szCs w:val="18"/>
              </w:rPr>
            </w:pPr>
            <w:r>
              <w:rPr>
                <w:rFonts w:ascii="Arial"/>
                <w:sz w:val="18"/>
              </w:rPr>
              <w:t>-40.83%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w w:val="95"/>
                <w:sz w:val="18"/>
              </w:rPr>
              <w:t>-0.34</w:t>
            </w:r>
            <w:r>
              <w:rPr>
                <w:rFonts w:ascii="Arial"/>
                <w:sz w:val="18"/>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w w:val="95"/>
                <w:sz w:val="18"/>
              </w:rPr>
              <w:t>-0.34</w:t>
            </w:r>
            <w:r>
              <w:rPr>
                <w:rFonts w:ascii="Arial"/>
                <w:sz w:val="18"/>
              </w:rPr>
            </w:r>
          </w:p>
        </w:tc>
      </w:tr>
      <w:tr>
        <w:trPr>
          <w:trHeight w:val="326"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-40.34%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w w:val="95"/>
                <w:sz w:val="18"/>
              </w:rPr>
              <w:t>-0.34</w:t>
            </w:r>
            <w:r>
              <w:rPr>
                <w:rFonts w:ascii="Arial"/>
                <w:sz w:val="18"/>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w w:val="95"/>
                <w:sz w:val="18"/>
              </w:rPr>
              <w:t>-0.34</w:t>
            </w:r>
            <w:r>
              <w:rPr>
                <w:rFonts w:ascii="Arial"/>
                <w:sz w:val="18"/>
              </w:rPr>
            </w:r>
          </w:p>
        </w:tc>
      </w:tr>
      <w:tr>
        <w:trPr>
          <w:trHeight w:val="336" w:hRule="exact"/>
        </w:trPr>
        <w:tc>
          <w:tcPr>
            <w:tcW w:w="43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23"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bl>
    <w:p>
      <w:pPr>
        <w:spacing w:after="0" w:line="240" w:lineRule="auto"/>
        <w:jc w:val="center"/>
        <w:rPr>
          <w:rFonts w:ascii="宋体" w:hAnsi="宋体" w:cs="宋体" w:eastAsia="宋体" w:hint="default"/>
          <w:sz w:val="18"/>
          <w:szCs w:val="18"/>
        </w:rPr>
        <w:sectPr>
          <w:pgSz w:w="11910" w:h="16840"/>
          <w:pgMar w:header="884" w:footer="1013" w:top="1080" w:bottom="1200" w:left="1280" w:right="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489"/>
        <w:gridCol w:w="1877"/>
        <w:gridCol w:w="1301"/>
        <w:gridCol w:w="1298"/>
      </w:tblGrid>
      <w:tr>
        <w:trPr>
          <w:trHeight w:val="341" w:hRule="exact"/>
        </w:trPr>
        <w:tc>
          <w:tcPr>
            <w:tcW w:w="4489" w:type="dxa"/>
            <w:vMerge w:val="restart"/>
            <w:tcBorders>
              <w:top w:val="single" w:sz="17" w:space="0" w:color="000000"/>
              <w:left w:val="nil" w:sz="6" w:space="0" w:color="auto"/>
              <w:right w:val="single" w:sz="6" w:space="0" w:color="000000"/>
            </w:tcBorders>
          </w:tcPr>
          <w:p>
            <w:pPr/>
          </w:p>
        </w:tc>
        <w:tc>
          <w:tcPr>
            <w:tcW w:w="1877" w:type="dxa"/>
            <w:vMerge w:val="restart"/>
            <w:tcBorders>
              <w:top w:val="single" w:sz="17" w:space="0" w:color="000000"/>
              <w:left w:val="single" w:sz="6" w:space="0" w:color="000000"/>
              <w:right w:val="single" w:sz="6" w:space="0" w:color="000000"/>
            </w:tcBorders>
          </w:tcPr>
          <w:p>
            <w:pPr>
              <w:pStyle w:val="TableParagraph"/>
              <w:spacing w:line="244" w:lineRule="auto" w:before="63"/>
              <w:ind w:left="842" w:right="118" w:hanging="721"/>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9" w:hRule="exact"/>
        </w:trPr>
        <w:tc>
          <w:tcPr>
            <w:tcW w:w="4489"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6" w:hRule="exact"/>
        </w:trPr>
        <w:tc>
          <w:tcPr>
            <w:tcW w:w="44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Arial" w:hAnsi="Arial" w:cs="Arial" w:eastAsia="Arial" w:hint="default"/>
                <w:sz w:val="18"/>
                <w:szCs w:val="18"/>
              </w:rPr>
            </w:pPr>
            <w:r>
              <w:rPr>
                <w:rFonts w:ascii="Arial"/>
                <w:sz w:val="18"/>
              </w:rPr>
              <w:t>-15.58%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w w:val="95"/>
                <w:sz w:val="18"/>
              </w:rPr>
              <w:t>-0.16</w:t>
            </w:r>
            <w:r>
              <w:rPr>
                <w:rFonts w:ascii="Arial"/>
                <w:sz w:val="18"/>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w w:val="95"/>
                <w:sz w:val="18"/>
              </w:rPr>
              <w:t>-0.16</w:t>
            </w:r>
            <w:r>
              <w:rPr>
                <w:rFonts w:ascii="Arial"/>
                <w:sz w:val="18"/>
              </w:rPr>
            </w:r>
          </w:p>
        </w:tc>
      </w:tr>
      <w:tr>
        <w:trPr>
          <w:trHeight w:val="336" w:hRule="exact"/>
        </w:trPr>
        <w:tc>
          <w:tcPr>
            <w:tcW w:w="44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left="3" w:right="0"/>
              <w:jc w:val="center"/>
              <w:rPr>
                <w:rFonts w:ascii="Arial" w:hAnsi="Arial" w:cs="Arial" w:eastAsia="Arial" w:hint="default"/>
                <w:sz w:val="18"/>
                <w:szCs w:val="18"/>
              </w:rPr>
            </w:pPr>
            <w:r>
              <w:rPr>
                <w:rFonts w:ascii="Arial"/>
                <w:sz w:val="18"/>
              </w:rPr>
              <w:t>-14.91%</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w w:val="95"/>
                <w:sz w:val="18"/>
              </w:rPr>
              <w:t>-0.16</w:t>
            </w:r>
            <w:r>
              <w:rPr>
                <w:rFonts w:ascii="Arial"/>
                <w:sz w:val="18"/>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w w:val="95"/>
                <w:sz w:val="18"/>
              </w:rPr>
              <w:t>-0.16</w:t>
            </w:r>
            <w:r>
              <w:rPr>
                <w:rFonts w:ascii="Arial"/>
                <w:sz w:val="18"/>
              </w:rPr>
            </w:r>
          </w:p>
        </w:tc>
      </w:tr>
    </w:tbl>
    <w:p>
      <w:pPr>
        <w:pStyle w:val="Heading4"/>
        <w:spacing w:line="240" w:lineRule="auto" w:before="86"/>
        <w:ind w:left="580" w:right="1326"/>
        <w:jc w:val="left"/>
        <w:rPr>
          <w:b w:val="0"/>
          <w:bCs w:val="0"/>
        </w:rPr>
      </w:pPr>
      <w:r>
        <w:rPr/>
        <w:t>（三）</w:t>
      </w:r>
      <w:r>
        <w:rPr>
          <w:spacing w:val="-53"/>
        </w:rPr>
        <w:t> </w:t>
      </w:r>
      <w:r>
        <w:rPr>
          <w:spacing w:val="-2"/>
        </w:rPr>
        <w:t>公司主要会计报表项目的异常情况及原因说明</w:t>
      </w:r>
      <w:r>
        <w:rPr>
          <w:b w:val="0"/>
          <w:bCs w:val="0"/>
          <w:spacing w:val="-2"/>
        </w:rPr>
      </w:r>
    </w:p>
    <w:p>
      <w:pPr>
        <w:spacing w:line="240" w:lineRule="auto" w:before="12"/>
        <w:rPr>
          <w:rFonts w:ascii="宋体" w:hAnsi="宋体" w:cs="宋体" w:eastAsia="宋体" w:hint="default"/>
          <w:b/>
          <w:bCs/>
          <w:sz w:val="21"/>
          <w:szCs w:val="21"/>
        </w:rPr>
      </w:pPr>
    </w:p>
    <w:tbl>
      <w:tblPr>
        <w:tblW w:w="0" w:type="auto"/>
        <w:jc w:val="left"/>
        <w:tblInd w:w="170" w:type="dxa"/>
        <w:tblLayout w:type="fixed"/>
        <w:tblCellMar>
          <w:top w:w="0" w:type="dxa"/>
          <w:left w:w="0" w:type="dxa"/>
          <w:bottom w:w="0" w:type="dxa"/>
          <w:right w:w="0" w:type="dxa"/>
        </w:tblCellMar>
        <w:tblLook w:val="01E0"/>
      </w:tblPr>
      <w:tblGrid>
        <w:gridCol w:w="1238"/>
        <w:gridCol w:w="1849"/>
        <w:gridCol w:w="1949"/>
        <w:gridCol w:w="1721"/>
        <w:gridCol w:w="1505"/>
        <w:gridCol w:w="703"/>
      </w:tblGrid>
      <w:tr>
        <w:trPr>
          <w:trHeight w:val="487" w:hRule="exact"/>
        </w:trPr>
        <w:tc>
          <w:tcPr>
            <w:tcW w:w="1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tcBorders>
              <w:top w:val="single" w:sz="12" w:space="0" w:color="000000"/>
              <w:left w:val="single" w:sz="2" w:space="0" w:color="000000"/>
              <w:bottom w:val="single" w:sz="2" w:space="0" w:color="000000"/>
              <w:right w:val="single" w:sz="2" w:space="0" w:color="000000"/>
            </w:tcBorders>
          </w:tcPr>
          <w:p>
            <w:pPr>
              <w:pStyle w:val="TableParagraph"/>
              <w:spacing w:line="213" w:lineRule="exact"/>
              <w:ind w:left="13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41" w:lineRule="exact"/>
              <w:ind w:left="225"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949" w:type="dxa"/>
            <w:tcBorders>
              <w:top w:val="single" w:sz="12" w:space="0" w:color="000000"/>
              <w:left w:val="single" w:sz="2" w:space="0" w:color="000000"/>
              <w:bottom w:val="single" w:sz="2" w:space="0" w:color="000000"/>
              <w:right w:val="single" w:sz="2" w:space="0" w:color="000000"/>
            </w:tcBorders>
          </w:tcPr>
          <w:p>
            <w:pPr>
              <w:pStyle w:val="TableParagraph"/>
              <w:spacing w:line="213" w:lineRule="exact"/>
              <w:ind w:left="1" w:right="0"/>
              <w:jc w:val="center"/>
              <w:rPr>
                <w:rFonts w:ascii="宋体" w:hAnsi="宋体" w:cs="宋体" w:eastAsia="宋体" w:hint="default"/>
                <w:sz w:val="18"/>
                <w:szCs w:val="18"/>
              </w:rPr>
            </w:pPr>
            <w:r>
              <w:rPr>
                <w:rFonts w:ascii="Arial" w:hAnsi="Arial" w:cs="Arial" w:eastAsia="Arial" w:hint="default"/>
                <w:w w:val="99"/>
                <w:sz w:val="18"/>
                <w:szCs w:val="18"/>
              </w:rPr>
              <w:t>2009</w:t>
            </w:r>
            <w:r>
              <w:rPr>
                <w:rFonts w:ascii="Arial" w:hAnsi="Arial" w:cs="Arial" w:eastAsia="Arial"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w w:val="99"/>
                <w:sz w:val="18"/>
                <w:szCs w:val="18"/>
              </w:rPr>
              <w:t>12</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w w:val="99"/>
                <w:sz w:val="18"/>
                <w:szCs w:val="18"/>
              </w:rPr>
              <w:t>31</w:t>
            </w:r>
            <w:r>
              <w:rPr>
                <w:rFonts w:ascii="Arial" w:hAnsi="Arial" w:cs="Arial" w:eastAsia="Arial" w:hint="default"/>
                <w:spacing w:val="-26"/>
                <w:sz w:val="18"/>
                <w:szCs w:val="18"/>
              </w:rPr>
              <w:t> </w:t>
            </w:r>
            <w:r>
              <w:rPr>
                <w:rFonts w:ascii="宋体" w:hAnsi="宋体" w:cs="宋体" w:eastAsia="宋体" w:hint="default"/>
                <w:spacing w:val="-92"/>
                <w:sz w:val="18"/>
                <w:szCs w:val="18"/>
              </w:rPr>
              <w:t>日</w:t>
            </w:r>
            <w:r>
              <w:rPr>
                <w:rFonts w:ascii="宋体" w:hAnsi="宋体" w:cs="宋体" w:eastAsia="宋体" w:hint="default"/>
                <w:sz w:val="18"/>
                <w:szCs w:val="18"/>
              </w:rPr>
              <w:t>（或</w:t>
            </w: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left="316" w:right="0"/>
              <w:jc w:val="left"/>
              <w:rPr>
                <w:rFonts w:ascii="宋体" w:hAnsi="宋体" w:cs="宋体" w:eastAsia="宋体" w:hint="default"/>
                <w:sz w:val="18"/>
                <w:szCs w:val="18"/>
              </w:rPr>
            </w:pPr>
            <w:r>
              <w:rPr>
                <w:rFonts w:ascii="宋体" w:hAnsi="宋体" w:cs="宋体" w:eastAsia="宋体" w:hint="default"/>
                <w:sz w:val="18"/>
                <w:szCs w:val="18"/>
              </w:rPr>
              <w:t>差异变动金额</w:t>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left="208" w:right="0"/>
              <w:jc w:val="left"/>
              <w:rPr>
                <w:rFonts w:ascii="宋体" w:hAnsi="宋体" w:cs="宋体" w:eastAsia="宋体" w:hint="default"/>
                <w:sz w:val="18"/>
                <w:szCs w:val="18"/>
              </w:rPr>
            </w:pPr>
            <w:r>
              <w:rPr>
                <w:rFonts w:ascii="宋体" w:hAnsi="宋体" w:cs="宋体" w:eastAsia="宋体" w:hint="default"/>
                <w:sz w:val="18"/>
                <w:szCs w:val="18"/>
              </w:rPr>
              <w:t>差异变动幅度</w:t>
            </w:r>
          </w:p>
        </w:tc>
        <w:tc>
          <w:tcPr>
            <w:tcW w:w="703"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left="168" w:right="0"/>
              <w:jc w:val="left"/>
              <w:rPr>
                <w:rFonts w:ascii="宋体" w:hAnsi="宋体" w:cs="宋体" w:eastAsia="宋体" w:hint="default"/>
                <w:sz w:val="18"/>
                <w:szCs w:val="18"/>
              </w:rPr>
            </w:pPr>
            <w:r>
              <w:rPr>
                <w:rFonts w:ascii="宋体" w:hAnsi="宋体" w:cs="宋体" w:eastAsia="宋体" w:hint="default"/>
                <w:sz w:val="18"/>
                <w:szCs w:val="18"/>
              </w:rPr>
              <w:t>原因</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分析</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254,986,132.32</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434,578,888.77</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Arial" w:hAnsi="Arial" w:cs="Arial" w:eastAsia="Arial" w:hint="default"/>
                <w:sz w:val="18"/>
                <w:szCs w:val="18"/>
              </w:rPr>
            </w:pPr>
            <w:r>
              <w:rPr>
                <w:rFonts w:ascii="Arial"/>
                <w:spacing w:val="-1"/>
                <w:sz w:val="18"/>
              </w:rPr>
              <w:t>-179,592,756.45</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-41.33%</w:t>
            </w:r>
          </w:p>
        </w:tc>
        <w:tc>
          <w:tcPr>
            <w:tcW w:w="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r>
        <w:trPr>
          <w:trHeight w:val="403"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345,779,445.41</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sz w:val="18"/>
              </w:rPr>
              <w:t>243,512,603.13</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sz w:val="18"/>
              </w:rPr>
              <w:t>102,266,842.28</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42.00%</w:t>
            </w:r>
          </w:p>
        </w:tc>
        <w:tc>
          <w:tcPr>
            <w:tcW w:w="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7"/>
              <w:jc w:val="right"/>
              <w:rPr>
                <w:rFonts w:ascii="Arial" w:hAnsi="Arial" w:cs="Arial" w:eastAsia="Arial" w:hint="default"/>
                <w:sz w:val="18"/>
                <w:szCs w:val="18"/>
              </w:rPr>
            </w:pPr>
            <w:r>
              <w:rPr>
                <w:rFonts w:ascii="Arial"/>
                <w:spacing w:val="-1"/>
                <w:sz w:val="18"/>
              </w:rPr>
              <w:t>-229,352,252.61</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-63,016,322.92</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Arial" w:hAnsi="Arial" w:cs="Arial" w:eastAsia="Arial" w:hint="default"/>
                <w:sz w:val="18"/>
                <w:szCs w:val="18"/>
              </w:rPr>
            </w:pPr>
            <w:r>
              <w:rPr>
                <w:rFonts w:ascii="Arial"/>
                <w:spacing w:val="-1"/>
                <w:sz w:val="18"/>
              </w:rPr>
              <w:t>-166,335,929.69</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263.96%</w:t>
            </w:r>
          </w:p>
        </w:tc>
        <w:tc>
          <w:tcPr>
            <w:tcW w:w="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403"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1,194,860,445.99</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2"/>
                <w:sz w:val="18"/>
              </w:rPr>
              <w:t>1,955,611,259.51</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sz w:val="18"/>
              </w:rPr>
              <w:t>-760,750,813.52</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-38.90%</w:t>
            </w:r>
          </w:p>
        </w:tc>
        <w:tc>
          <w:tcPr>
            <w:tcW w:w="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7"/>
              <w:jc w:val="right"/>
              <w:rPr>
                <w:rFonts w:ascii="Arial" w:hAnsi="Arial" w:cs="Arial" w:eastAsia="Arial" w:hint="default"/>
                <w:sz w:val="18"/>
                <w:szCs w:val="18"/>
              </w:rPr>
            </w:pPr>
            <w:r>
              <w:rPr>
                <w:rFonts w:ascii="Arial"/>
                <w:spacing w:val="-1"/>
                <w:sz w:val="18"/>
              </w:rPr>
              <w:t>899,535,297.72</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Arial" w:hAnsi="Arial" w:cs="Arial" w:eastAsia="Arial" w:hint="default"/>
                <w:sz w:val="18"/>
                <w:szCs w:val="18"/>
              </w:rPr>
            </w:pPr>
            <w:r>
              <w:rPr>
                <w:rFonts w:ascii="Arial"/>
                <w:spacing w:val="-1"/>
                <w:sz w:val="18"/>
              </w:rPr>
              <w:t>1,476,103,245.76</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5"/>
              <w:jc w:val="right"/>
              <w:rPr>
                <w:rFonts w:ascii="Arial" w:hAnsi="Arial" w:cs="Arial" w:eastAsia="Arial" w:hint="default"/>
                <w:sz w:val="18"/>
                <w:szCs w:val="18"/>
              </w:rPr>
            </w:pPr>
            <w:r>
              <w:rPr>
                <w:rFonts w:ascii="Arial"/>
                <w:spacing w:val="-1"/>
                <w:sz w:val="18"/>
              </w:rPr>
              <w:t>-576,567,948.04</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-39.06%</w:t>
            </w:r>
          </w:p>
        </w:tc>
        <w:tc>
          <w:tcPr>
            <w:tcW w:w="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r>
        <w:trPr>
          <w:trHeight w:val="415"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43,420,336.99</w:t>
            </w:r>
          </w:p>
        </w:tc>
        <w:tc>
          <w:tcPr>
            <w:tcW w:w="19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71,584,282.58</w:t>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-28,163,945.59</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-39.34%</w:t>
            </w:r>
          </w:p>
        </w:tc>
        <w:tc>
          <w:tcPr>
            <w:tcW w:w="7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5</w:t>
            </w:r>
          </w:p>
        </w:tc>
      </w:tr>
    </w:tbl>
    <w:p>
      <w:pPr>
        <w:pStyle w:val="BodyText"/>
        <w:spacing w:line="240" w:lineRule="auto" w:before="86"/>
        <w:ind w:left="580" w:right="1326"/>
        <w:jc w:val="left"/>
      </w:pPr>
      <w:r>
        <w:rPr/>
        <w:t>注</w:t>
      </w:r>
      <w:r>
        <w:rPr>
          <w:spacing w:val="-53"/>
        </w:rPr>
        <w:t> </w:t>
      </w:r>
      <w:r>
        <w:rPr>
          <w:rFonts w:ascii="Arial" w:hAnsi="Arial" w:cs="Arial" w:eastAsia="Arial" w:hint="default"/>
        </w:rPr>
        <w:t>1</w:t>
      </w:r>
      <w:r>
        <w:rPr/>
        <w:t>：主要系公司借款减少；</w:t>
      </w:r>
    </w:p>
    <w:p>
      <w:pPr>
        <w:spacing w:line="240" w:lineRule="auto" w:before="7"/>
        <w:rPr>
          <w:rFonts w:ascii="宋体" w:hAnsi="宋体" w:cs="宋体" w:eastAsia="宋体" w:hint="default"/>
          <w:sz w:val="27"/>
          <w:szCs w:val="27"/>
        </w:rPr>
      </w:pPr>
    </w:p>
    <w:p>
      <w:pPr>
        <w:pStyle w:val="BodyText"/>
        <w:spacing w:line="340" w:lineRule="auto"/>
        <w:ind w:left="160" w:right="1326" w:firstLine="420"/>
        <w:jc w:val="left"/>
      </w:pPr>
      <w:r>
        <w:rPr/>
        <w:t>注</w:t>
      </w:r>
      <w:r>
        <w:rPr>
          <w:spacing w:val="1"/>
        </w:rPr>
        <w:t> </w:t>
      </w:r>
      <w:r>
        <w:rPr>
          <w:rFonts w:ascii="Arial" w:hAnsi="Arial" w:cs="Arial" w:eastAsia="Arial" w:hint="default"/>
          <w:spacing w:val="-2"/>
        </w:rPr>
        <w:t>2</w:t>
      </w:r>
      <w:r>
        <w:rPr>
          <w:spacing w:val="-2"/>
        </w:rPr>
        <w:t>：主要系本年在银行借款减少的情况下，为满足生产经营需要，公司合理利用外部供应商</w:t>
      </w:r>
      <w:r>
        <w:rPr>
          <w:w w:val="100"/>
        </w:rPr>
        <w:t> </w:t>
      </w:r>
      <w:r>
        <w:rPr/>
        <w:t>给予的付款信用期，导致应付账款增加；</w:t>
      </w:r>
    </w:p>
    <w:p>
      <w:pPr>
        <w:spacing w:line="240" w:lineRule="auto" w:before="10"/>
        <w:rPr>
          <w:rFonts w:ascii="宋体" w:hAnsi="宋体" w:cs="宋体" w:eastAsia="宋体" w:hint="default"/>
          <w:sz w:val="21"/>
          <w:szCs w:val="21"/>
        </w:rPr>
      </w:pPr>
    </w:p>
    <w:p>
      <w:pPr>
        <w:pStyle w:val="BodyText"/>
        <w:spacing w:line="240" w:lineRule="auto"/>
        <w:ind w:left="580" w:right="1326"/>
        <w:jc w:val="left"/>
      </w:pPr>
      <w:r>
        <w:rPr/>
        <w:t>注</w:t>
      </w:r>
      <w:r>
        <w:rPr>
          <w:spacing w:val="-53"/>
        </w:rPr>
        <w:t> </w:t>
      </w:r>
      <w:r>
        <w:rPr>
          <w:rFonts w:ascii="Arial" w:hAnsi="Arial" w:cs="Arial" w:eastAsia="Arial" w:hint="default"/>
        </w:rPr>
        <w:t>3</w:t>
      </w:r>
      <w:r>
        <w:rPr/>
        <w:t>：主要系本年净利润大幅下滑所致。</w:t>
      </w:r>
    </w:p>
    <w:p>
      <w:pPr>
        <w:spacing w:line="240" w:lineRule="auto" w:before="7"/>
        <w:rPr>
          <w:rFonts w:ascii="宋体" w:hAnsi="宋体" w:cs="宋体" w:eastAsia="宋体" w:hint="default"/>
          <w:sz w:val="27"/>
          <w:szCs w:val="27"/>
        </w:rPr>
      </w:pPr>
    </w:p>
    <w:p>
      <w:pPr>
        <w:pStyle w:val="BodyText"/>
        <w:spacing w:line="338" w:lineRule="auto"/>
        <w:ind w:left="160" w:right="1326" w:firstLine="420"/>
        <w:jc w:val="left"/>
      </w:pPr>
      <w:r>
        <w:rPr/>
        <w:t>注</w:t>
      </w:r>
      <w:r>
        <w:rPr>
          <w:spacing w:val="1"/>
        </w:rPr>
        <w:t> </w:t>
      </w:r>
      <w:r>
        <w:rPr>
          <w:rFonts w:ascii="Arial" w:hAnsi="Arial" w:cs="Arial" w:eastAsia="Arial" w:hint="default"/>
          <w:spacing w:val="-2"/>
        </w:rPr>
        <w:t>4</w:t>
      </w:r>
      <w:r>
        <w:rPr>
          <w:spacing w:val="-2"/>
        </w:rPr>
        <w:t>：主要系药品批发销售及其他药品销售份额的减少，原从事此部份业务的子公司已于上年</w:t>
      </w:r>
      <w:r>
        <w:rPr>
          <w:w w:val="100"/>
        </w:rPr>
        <w:t> </w:t>
      </w:r>
      <w:r>
        <w:rPr/>
        <w:t>处置；</w:t>
      </w:r>
    </w:p>
    <w:p>
      <w:pPr>
        <w:spacing w:line="240" w:lineRule="auto" w:before="2"/>
        <w:rPr>
          <w:rFonts w:ascii="宋体" w:hAnsi="宋体" w:cs="宋体" w:eastAsia="宋体" w:hint="default"/>
          <w:sz w:val="22"/>
          <w:szCs w:val="22"/>
        </w:rPr>
      </w:pPr>
    </w:p>
    <w:p>
      <w:pPr>
        <w:spacing w:line="537" w:lineRule="auto" w:before="0"/>
        <w:ind w:left="160" w:right="4609"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：主要系公司借款减少，影响借款利息支出减少所致。</w:t>
      </w:r>
      <w:r>
        <w:rPr>
          <w:rFonts w:ascii="宋体" w:hAnsi="宋体" w:cs="宋体" w:eastAsia="宋体" w:hint="default"/>
          <w:w w:val="100"/>
          <w:sz w:val="21"/>
          <w:szCs w:val="21"/>
        </w:rPr>
        <w:t> </w:t>
      </w:r>
      <w:r>
        <w:rPr>
          <w:rFonts w:ascii="宋体" w:hAnsi="宋体" w:cs="宋体" w:eastAsia="宋体" w:hint="default"/>
          <w:b/>
          <w:bCs/>
          <w:sz w:val="21"/>
          <w:szCs w:val="21"/>
        </w:rPr>
        <w:t>十二、</w:t>
      </w:r>
      <w:r>
        <w:rPr>
          <w:rFonts w:ascii="宋体" w:hAnsi="宋体" w:cs="宋体" w:eastAsia="宋体" w:hint="default"/>
          <w:b/>
          <w:bCs/>
          <w:spacing w:val="-23"/>
          <w:sz w:val="21"/>
          <w:szCs w:val="21"/>
        </w:rPr>
        <w:t> </w:t>
      </w:r>
      <w:r>
        <w:rPr>
          <w:rFonts w:ascii="宋体" w:hAnsi="宋体" w:cs="宋体" w:eastAsia="宋体" w:hint="default"/>
          <w:b/>
          <w:bCs/>
          <w:sz w:val="21"/>
          <w:szCs w:val="21"/>
        </w:rPr>
        <w:t>财务报表的批准</w:t>
      </w:r>
      <w:r>
        <w:rPr>
          <w:rFonts w:ascii="宋体" w:hAnsi="宋体" w:cs="宋体" w:eastAsia="宋体" w:hint="default"/>
          <w:sz w:val="21"/>
          <w:szCs w:val="21"/>
        </w:rPr>
      </w:r>
    </w:p>
    <w:p>
      <w:pPr>
        <w:pStyle w:val="BodyText"/>
        <w:spacing w:line="328" w:lineRule="auto"/>
        <w:ind w:left="580" w:right="1326"/>
        <w:jc w:val="left"/>
      </w:pPr>
      <w:r>
        <w:rPr>
          <w:spacing w:val="-2"/>
        </w:rPr>
        <w:t>本财务报表业经本公司董事会于</w:t>
      </w:r>
      <w:r>
        <w:rPr>
          <w:rFonts w:ascii="Arial" w:hAnsi="Arial" w:cs="Arial" w:eastAsia="Arial" w:hint="default"/>
          <w:spacing w:val="-2"/>
        </w:rPr>
        <w:t>2011</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13</w:t>
      </w:r>
      <w:r>
        <w:rPr>
          <w:spacing w:val="-2"/>
        </w:rPr>
        <w:t>日决议批准。</w:t>
      </w:r>
      <w:r>
        <w:rPr>
          <w:spacing w:val="-67"/>
        </w:rPr>
        <w:t> </w:t>
      </w:r>
      <w:r>
        <w:rPr>
          <w:spacing w:val="-67"/>
        </w:rPr>
      </w:r>
      <w:r>
        <w:rPr/>
        <w:t>根据本公司章程，本财务报表将提交股东大会审议。</w:t>
      </w:r>
    </w:p>
    <w:p>
      <w:pPr>
        <w:spacing w:after="0" w:line="328" w:lineRule="auto"/>
        <w:jc w:val="left"/>
        <w:sectPr>
          <w:pgSz w:w="11910" w:h="16840"/>
          <w:pgMar w:header="884" w:footer="1013" w:top="1080" w:bottom="1200" w:left="1280" w:right="0"/>
        </w:sectPr>
      </w:pPr>
    </w:p>
    <w:p>
      <w:pPr>
        <w:pStyle w:val="Heading1"/>
        <w:spacing w:line="240" w:lineRule="auto" w:before="17"/>
        <w:ind w:left="560" w:right="1205"/>
        <w:jc w:val="left"/>
        <w:rPr>
          <w:b w:val="0"/>
          <w:bCs w:val="0"/>
        </w:rPr>
      </w:pPr>
      <w:r>
        <w:rPr/>
        <w:pict>
          <v:group style="position:absolute;margin-left:70.584pt;margin-top:2.801545pt;width:436.3pt;height:.1pt;mso-position-horizontal-relative:page;mso-position-vertical-relative:paragraph;z-index:-635824" coordorigin="1412,56" coordsize="8726,2">
            <v:shape style="position:absolute;left:1412;top:56;width:8726;height:2" coordorigin="1412,56" coordsize="8726,0" path="m1412,56l10137,56e" filled="false" stroked="true" strokeweight=".72pt" strokecolor="#000000">
              <v:path arrowok="t"/>
            </v:shape>
            <w10:wrap type="none"/>
          </v:group>
        </w:pict>
      </w:r>
      <w:r>
        <w:rPr/>
        <w:t>十一、备查文件目录</w:t>
      </w:r>
      <w:r>
        <w:rPr>
          <w:b w:val="0"/>
          <w:bCs w:val="0"/>
        </w:rPr>
      </w:r>
    </w:p>
    <w:p>
      <w:pPr>
        <w:pStyle w:val="Heading3"/>
        <w:spacing w:line="357" w:lineRule="auto" w:before="184"/>
        <w:ind w:left="140" w:right="1326" w:firstLine="480"/>
        <w:jc w:val="left"/>
      </w:pPr>
      <w:r>
        <w:rPr/>
        <w:t>（一）载有法定代表人、主管会计工作负责人、会计机构负责人（会计主管人员） 签名并盖章的公司</w:t>
      </w:r>
      <w:r>
        <w:rPr>
          <w:spacing w:val="-61"/>
        </w:rPr>
        <w:t> </w:t>
      </w:r>
      <w:r>
        <w:rPr>
          <w:rFonts w:ascii="宋体" w:hAnsi="宋体" w:cs="宋体" w:eastAsia="宋体" w:hint="default"/>
        </w:rPr>
        <w:t>2010</w:t>
      </w:r>
      <w:r>
        <w:rPr>
          <w:rFonts w:ascii="宋体" w:hAnsi="宋体" w:cs="宋体" w:eastAsia="宋体" w:hint="default"/>
          <w:spacing w:val="-60"/>
        </w:rPr>
        <w:t> </w:t>
      </w:r>
      <w:r>
        <w:rPr/>
        <w:t>年度会计报表。</w:t>
      </w:r>
    </w:p>
    <w:p>
      <w:pPr>
        <w:spacing w:line="357" w:lineRule="auto" w:before="36"/>
        <w:ind w:left="140" w:right="1419" w:firstLine="480"/>
        <w:jc w:val="left"/>
        <w:rPr>
          <w:rFonts w:ascii="宋体" w:hAnsi="宋体" w:cs="宋体" w:eastAsia="宋体" w:hint="default"/>
          <w:sz w:val="24"/>
          <w:szCs w:val="24"/>
        </w:rPr>
      </w:pPr>
      <w:r>
        <w:rPr>
          <w:rFonts w:ascii="宋体" w:hAnsi="宋体" w:cs="宋体" w:eastAsia="宋体" w:hint="default"/>
          <w:sz w:val="24"/>
          <w:szCs w:val="24"/>
        </w:rPr>
        <w:t>（二）载有会计师事务所签章、注册会计师签名并盖章的公司 </w:t>
      </w:r>
      <w:r>
        <w:rPr>
          <w:rFonts w:ascii="宋体" w:hAnsi="宋体" w:cs="宋体" w:eastAsia="宋体" w:hint="default"/>
          <w:sz w:val="24"/>
          <w:szCs w:val="24"/>
        </w:rPr>
        <w:t>2010</w:t>
      </w:r>
      <w:r>
        <w:rPr>
          <w:rFonts w:ascii="宋体" w:hAnsi="宋体" w:cs="宋体" w:eastAsia="宋体" w:hint="default"/>
          <w:spacing w:val="-93"/>
          <w:sz w:val="24"/>
          <w:szCs w:val="24"/>
        </w:rPr>
        <w:t> </w:t>
      </w:r>
      <w:r>
        <w:rPr>
          <w:rFonts w:ascii="宋体" w:hAnsi="宋体" w:cs="宋体" w:eastAsia="宋体" w:hint="default"/>
          <w:sz w:val="24"/>
          <w:szCs w:val="24"/>
        </w:rPr>
        <w:t>年度审计报告 原件。</w:t>
      </w:r>
    </w:p>
    <w:p>
      <w:pPr>
        <w:spacing w:line="357" w:lineRule="auto" w:before="36"/>
        <w:ind w:left="140" w:right="1434" w:firstLine="480"/>
        <w:jc w:val="left"/>
        <w:rPr>
          <w:rFonts w:ascii="宋体" w:hAnsi="宋体" w:cs="宋体" w:eastAsia="宋体" w:hint="default"/>
          <w:sz w:val="24"/>
          <w:szCs w:val="24"/>
        </w:rPr>
      </w:pPr>
      <w:r>
        <w:rPr>
          <w:rFonts w:ascii="宋体" w:hAnsi="宋体" w:cs="宋体" w:eastAsia="宋体" w:hint="default"/>
          <w:spacing w:val="-3"/>
          <w:sz w:val="24"/>
          <w:szCs w:val="24"/>
        </w:rPr>
        <w:t>（三）载有会计师事务所签章、注册会计师签名并盖章的《关于重庆华立药业股份</w:t>
      </w:r>
      <w:r>
        <w:rPr>
          <w:rFonts w:ascii="宋体" w:hAnsi="宋体" w:cs="宋体" w:eastAsia="宋体" w:hint="default"/>
          <w:sz w:val="24"/>
          <w:szCs w:val="24"/>
        </w:rPr>
        <w:t> </w:t>
      </w:r>
      <w:r>
        <w:rPr>
          <w:rFonts w:ascii="宋体" w:hAnsi="宋体" w:cs="宋体" w:eastAsia="宋体" w:hint="default"/>
          <w:spacing w:val="-5"/>
          <w:sz w:val="24"/>
          <w:szCs w:val="24"/>
        </w:rPr>
        <w:t>有限公司控股股东及其他关联方资金占用的专项说明》。</w:t>
      </w:r>
    </w:p>
    <w:p>
      <w:pPr>
        <w:spacing w:line="357" w:lineRule="auto" w:before="36"/>
        <w:ind w:left="140" w:right="1434" w:firstLine="480"/>
        <w:jc w:val="left"/>
        <w:rPr>
          <w:rFonts w:ascii="宋体" w:hAnsi="宋体" w:cs="宋体" w:eastAsia="宋体" w:hint="default"/>
          <w:sz w:val="24"/>
          <w:szCs w:val="24"/>
        </w:rPr>
      </w:pPr>
      <w:r>
        <w:rPr>
          <w:rFonts w:ascii="宋体" w:hAnsi="宋体" w:cs="宋体" w:eastAsia="宋体" w:hint="default"/>
          <w:spacing w:val="-3"/>
          <w:sz w:val="24"/>
          <w:szCs w:val="24"/>
        </w:rPr>
        <w:t>（四）报告期内在中国证监会指定报纸上公开披露过的所有公司文件的正本及公告</w:t>
      </w:r>
      <w:r>
        <w:rPr>
          <w:rFonts w:ascii="宋体" w:hAnsi="宋体" w:cs="宋体" w:eastAsia="宋体" w:hint="default"/>
          <w:sz w:val="24"/>
          <w:szCs w:val="24"/>
        </w:rPr>
        <w:t> 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spacing w:line="357" w:lineRule="auto" w:before="0"/>
        <w:ind w:left="4753" w:right="2960" w:hanging="488"/>
        <w:jc w:val="left"/>
        <w:rPr>
          <w:rFonts w:ascii="宋体" w:hAnsi="宋体" w:cs="宋体" w:eastAsia="宋体" w:hint="default"/>
          <w:sz w:val="28"/>
          <w:szCs w:val="28"/>
        </w:rPr>
      </w:pPr>
      <w:r>
        <w:rPr>
          <w:rFonts w:ascii="宋体" w:hAnsi="宋体" w:cs="宋体" w:eastAsia="宋体" w:hint="default"/>
          <w:b/>
          <w:bCs/>
          <w:spacing w:val="-1"/>
          <w:sz w:val="28"/>
          <w:szCs w:val="28"/>
        </w:rPr>
        <w:t>重庆华智控股股份有限公司</w:t>
      </w:r>
      <w:r>
        <w:rPr>
          <w:rFonts w:ascii="宋体" w:hAnsi="宋体" w:cs="宋体" w:eastAsia="宋体" w:hint="default"/>
          <w:b/>
          <w:bCs/>
          <w:w w:val="99"/>
          <w:sz w:val="28"/>
          <w:szCs w:val="28"/>
        </w:rPr>
        <w:t> </w:t>
      </w:r>
      <w:r>
        <w:rPr>
          <w:rFonts w:ascii="宋体" w:hAnsi="宋体" w:cs="宋体" w:eastAsia="宋体" w:hint="default"/>
          <w:b/>
          <w:bCs/>
          <w:sz w:val="28"/>
          <w:szCs w:val="28"/>
        </w:rPr>
        <w:t>法定代表人：刘浩军</w:t>
      </w:r>
      <w:r>
        <w:rPr>
          <w:rFonts w:ascii="宋体" w:hAnsi="宋体" w:cs="宋体" w:eastAsia="宋体" w:hint="default"/>
          <w:sz w:val="28"/>
          <w:szCs w:val="28"/>
        </w:rPr>
      </w:r>
    </w:p>
    <w:p>
      <w:pPr>
        <w:spacing w:before="41"/>
        <w:ind w:left="3189" w:right="1595" w:firstLine="0"/>
        <w:jc w:val="center"/>
        <w:rPr>
          <w:rFonts w:ascii="宋体" w:hAnsi="宋体" w:cs="宋体" w:eastAsia="宋体" w:hint="default"/>
          <w:sz w:val="28"/>
          <w:szCs w:val="28"/>
        </w:rPr>
      </w:pPr>
      <w:r>
        <w:rPr>
          <w:rFonts w:ascii="宋体" w:hAnsi="宋体" w:cs="宋体" w:eastAsia="宋体" w:hint="default"/>
          <w:b/>
          <w:bCs/>
          <w:sz w:val="28"/>
          <w:szCs w:val="28"/>
        </w:rPr>
        <w:t>2011</w:t>
      </w:r>
      <w:r>
        <w:rPr>
          <w:rFonts w:ascii="宋体" w:hAnsi="宋体" w:cs="宋体" w:eastAsia="宋体" w:hint="default"/>
          <w:b/>
          <w:bCs/>
          <w:sz w:val="28"/>
          <w:szCs w:val="28"/>
        </w:rPr>
        <w:t>年</w:t>
      </w:r>
      <w:r>
        <w:rPr>
          <w:rFonts w:ascii="宋体" w:hAnsi="宋体" w:cs="宋体" w:eastAsia="宋体" w:hint="default"/>
          <w:b/>
          <w:bCs/>
          <w:sz w:val="28"/>
          <w:szCs w:val="28"/>
        </w:rPr>
        <w:t>4</w:t>
      </w:r>
      <w:r>
        <w:rPr>
          <w:rFonts w:ascii="宋体" w:hAnsi="宋体" w:cs="宋体" w:eastAsia="宋体" w:hint="default"/>
          <w:b/>
          <w:bCs/>
          <w:sz w:val="28"/>
          <w:szCs w:val="28"/>
        </w:rPr>
        <w:t>月</w:t>
      </w:r>
      <w:r>
        <w:rPr>
          <w:rFonts w:ascii="宋体" w:hAnsi="宋体" w:cs="宋体" w:eastAsia="宋体" w:hint="default"/>
          <w:b/>
          <w:bCs/>
          <w:sz w:val="28"/>
          <w:szCs w:val="28"/>
        </w:rPr>
        <w:t>13</w:t>
      </w:r>
      <w:r>
        <w:rPr>
          <w:rFonts w:ascii="宋体" w:hAnsi="宋体" w:cs="宋体" w:eastAsia="宋体" w:hint="default"/>
          <w:b/>
          <w:bCs/>
          <w:sz w:val="28"/>
          <w:szCs w:val="28"/>
        </w:rPr>
        <w:t>日</w:t>
      </w:r>
      <w:r>
        <w:rPr>
          <w:rFonts w:ascii="宋体" w:hAnsi="宋体" w:cs="宋体" w:eastAsia="宋体" w:hint="default"/>
          <w:sz w:val="28"/>
          <w:szCs w:val="28"/>
        </w:rPr>
      </w:r>
    </w:p>
    <w:sectPr>
      <w:pgSz w:w="11910" w:h="16840"/>
      <w:pgMar w:header="884" w:footer="1013" w:top="1080" w:bottom="120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89990pt;margin-top:782.053894pt;width:8.5pt;height:11pt;mso-position-horizontal-relative:page;mso-position-vertical-relative:page;z-index:-636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776" type="#_x0000_t75" stroked="false">
          <v:imagedata r:id="rId1" o:title=""/>
        </v:shape>
      </w:pict>
    </w:r>
    <w:r>
      <w:rPr/>
      <w:pict>
        <v:shape style="position:absolute;margin-left:291.209991pt;margin-top:780.253906pt;width:13.15pt;height:11pt;mso-position-horizontal-relative:page;mso-position-vertical-relative:page;z-index:-63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608" type="#_x0000_t75" stroked="false">
          <v:imagedata r:id="rId1" o:title=""/>
        </v:shape>
      </w:pict>
    </w:r>
    <w:r>
      <w:rPr/>
      <w:pict>
        <v:shape style="position:absolute;margin-left:289.929993pt;margin-top:780.253906pt;width:15.7pt;height:11pt;mso-position-horizontal-relative:page;mso-position-vertical-relative:page;z-index:-635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560" type="#_x0000_t75" stroked="false">
          <v:imagedata r:id="rId1" o:title=""/>
        </v:shape>
      </w:pict>
    </w:r>
    <w:r>
      <w:rPr/>
      <w:pict>
        <v:shape style="position:absolute;margin-left:289.929993pt;margin-top:780.253906pt;width:15.7pt;height:11pt;mso-position-horizontal-relative:page;mso-position-vertical-relative:page;z-index:-635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512" type="#_x0000_t75" stroked="false">
          <v:imagedata r:id="rId1" o:title=""/>
        </v:shape>
      </w:pict>
    </w:r>
    <w:r>
      <w:rPr/>
      <w:pict>
        <v:shape style="position:absolute;margin-left:288.929993pt;margin-top:780.253906pt;width:17.7pt;height:11pt;mso-position-horizontal-relative:page;mso-position-vertical-relative:page;z-index:-635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464" type="#_x0000_t75" stroked="false">
          <v:imagedata r:id="rId1" o:title=""/>
        </v:shape>
      </w:pict>
    </w:r>
    <w:r>
      <w:rPr/>
      <w:pict>
        <v:shape style="position:absolute;margin-left:288.929993pt;margin-top:780.253906pt;width:17.7pt;height:11pt;mso-position-horizontal-relative:page;mso-position-vertical-relative:page;z-index:-63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89990pt;margin-top:782.053894pt;width:8.5pt;height:11pt;mso-position-horizontal-relative:page;mso-position-vertical-relative:page;z-index:-63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6280" type="#_x0000_t75" stroked="false">
          <v:imagedata r:id="rId1" o:title=""/>
        </v:shape>
      </w:pict>
    </w:r>
    <w:r>
      <w:rPr/>
      <w:pict>
        <v:shape style="position:absolute;margin-left:279.809998pt;margin-top:795.637939pt;width:13.15pt;height:11pt;mso-position-horizontal-relative:page;mso-position-vertical-relative:page;z-index:-63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6232" type="#_x0000_t75" stroked="false">
          <v:imagedata r:id="rId1" o:title=""/>
        </v:shape>
      </w:pict>
    </w:r>
    <w:r>
      <w:rPr/>
      <w:pict>
        <v:shape style="position:absolute;margin-left:302.489990pt;margin-top:795.637939pt;width:13.15pt;height:11pt;mso-position-horizontal-relative:page;mso-position-vertical-relative:page;z-index:-63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549744pt;width:101.25pt;height:57.75pt;mso-position-horizontal-relative:page;mso-position-vertical-relative:page;z-index:-636040" type="#_x0000_t75" stroked="false">
          <v:imagedata r:id="rId1" o:title=""/>
        </v:shape>
      </w:pict>
    </w:r>
    <w:r>
      <w:rPr/>
      <w:pict>
        <v:shape style="position:absolute;margin-left:414.450012pt;margin-top:535.453918pt;width:13.15pt;height:11pt;mso-position-horizontal-relative:page;mso-position-vertical-relative:page;z-index:-63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549744pt;width:101.25pt;height:57.75pt;mso-position-horizontal-relative:page;mso-position-vertical-relative:page;z-index:-635992" type="#_x0000_t75" stroked="false">
          <v:imagedata r:id="rId1" o:title=""/>
        </v:shape>
      </w:pict>
    </w:r>
    <w:r>
      <w:rPr/>
      <w:pict>
        <v:shape style="position:absolute;margin-left:414.450012pt;margin-top:535.453918pt;width:13.15pt;height:11pt;mso-position-horizontal-relative:page;mso-position-vertical-relative:page;z-index:-63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35824" type="#_x0000_t75" stroked="false">
          <v:imagedata r:id="rId1" o:title=""/>
        </v:shape>
      </w:pict>
    </w:r>
    <w:r>
      <w:rPr/>
      <w:pict>
        <v:shape style="position:absolute;margin-left:291.209991pt;margin-top:780.253906pt;width:13.15pt;height:11pt;mso-position-horizontal-relative:page;mso-position-vertical-relative:page;z-index:-63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7.599983pt;width:444.45pt;height:.1pt;mso-position-horizontal-relative:page;mso-position-vertical-relative:page;z-index:-636760" coordorigin="1390,1152" coordsize="8889,2">
          <v:shape style="position:absolute;left:1390;top:1152;width:8889;height:2" coordorigin="1390,1152" coordsize="8889,0" path="m1390,1152l10279,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53.929993pt;margin-top:43.204983pt;width:99.35pt;height:12.6pt;mso-position-horizontal-relative:page;mso-position-vertical-relative:page;z-index:-63673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2"/>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35.269989pt;margin-top:43.204983pt;width:78.4pt;height:12.6pt;mso-position-horizontal-relative:page;mso-position-vertical-relative:page;z-index:-63671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024002pt;margin-top:54.359982pt;width:9pt;height:.1pt;mso-position-horizontal-relative:page;mso-position-vertical-relative:page;z-index:-635896" coordorigin="1440,1087" coordsize="180,2">
          <v:shape style="position:absolute;left:1440;top:1087;width:180;height:2" coordorigin="1440,1087" coordsize="180,0" path="m1440,1087l1620,1087e" filled="false" stroked="true" strokeweight=".72pt" strokecolor="#000000">
            <v:path arrowok="t"/>
          </v:shape>
          <w10:wrap type="none"/>
        </v:group>
      </w:pict>
    </w:r>
    <w:r>
      <w:rPr/>
      <w:pict>
        <v:shape style="position:absolute;margin-left:241.570007pt;margin-top:43.204983pt;width:99.35pt;height:12.6pt;mso-position-horizontal-relative:page;mso-position-vertical-relative:page;z-index:-6358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190002pt;margin-top:43.204983pt;width:78.350pt;height:12.6pt;mso-position-horizontal-relative:page;mso-position-vertical-relative:page;z-index:-63584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8"/>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3572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190002pt;margin-top:43.204983pt;width:101.05pt;height:12.6pt;mso-position-horizontal-relative:page;mso-position-vertical-relative:page;z-index:-635704" type="#_x0000_t202" filled="false" stroked="false">
          <v:textbox inset="0,0,0,0">
            <w:txbxContent>
              <w:p>
                <w:pPr>
                  <w:tabs>
                    <w:tab w:pos="2000"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8"/>
                    <w:sz w:val="21"/>
                    <w:szCs w:val="21"/>
                  </w:rPr>
                  <w:t> </w:t>
                </w:r>
                <w:r>
                  <w:rPr>
                    <w:rFonts w:ascii="黑体" w:hAnsi="黑体" w:cs="黑体" w:eastAsia="黑体" w:hint="default"/>
                    <w:b/>
                    <w:bCs/>
                    <w:sz w:val="21"/>
                    <w:szCs w:val="21"/>
                  </w:rPr>
                  <w:t>000607 </w:t>
                </w:r>
                <w:r>
                  <w:rPr>
                    <w:rFonts w:ascii="黑体" w:hAnsi="黑体" w:cs="黑体" w:eastAsia="黑体" w:hint="default"/>
                    <w:b/>
                    <w:bCs/>
                    <w:spacing w:val="-35"/>
                    <w:sz w:val="21"/>
                    <w:szCs w:val="21"/>
                  </w:rPr>
                  <w:t> </w:t>
                </w:r>
                <w:r>
                  <w:rPr>
                    <w:rFonts w:ascii="黑体" w:hAnsi="黑体" w:cs="黑体" w:eastAsia="黑体" w:hint="default"/>
                    <w:b/>
                    <w:bCs/>
                    <w:spacing w:val="-35"/>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024002pt;margin-top:54.359982pt;width:9pt;height:.1pt;mso-position-horizontal-relative:page;mso-position-vertical-relative:page;z-index:-635680" coordorigin="1440,1087" coordsize="180,2">
          <v:shape style="position:absolute;left:1440;top:1087;width:180;height:2" coordorigin="1440,1087" coordsize="180,0" path="m1440,1087l1620,1087e" filled="false" stroked="true" strokeweight=".72pt" strokecolor="#000000">
            <v:path arrowok="t"/>
          </v:shape>
          <w10:wrap type="none"/>
        </v:group>
      </w:pict>
    </w:r>
    <w:r>
      <w:rPr/>
      <w:pict>
        <v:shape style="position:absolute;margin-left:241.570007pt;margin-top:43.204983pt;width:99.35pt;height:12.6pt;mso-position-horizontal-relative:page;mso-position-vertical-relative:page;z-index:-63565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190002pt;margin-top:43.204983pt;width:78.350pt;height:12.6pt;mso-position-horizontal-relative:page;mso-position-vertical-relative:page;z-index:-63563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8"/>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504002pt;margin-top:57.599983pt;width:444.45pt;height:.1pt;mso-position-horizontal-relative:page;mso-position-vertical-relative:page;z-index:-636688" coordorigin="1270,1152" coordsize="8889,2">
          <v:shape style="position:absolute;left:1270;top:1152;width:8889;height:2" coordorigin="1270,1152" coordsize="8889,0" path="m1270,1152l10159,1152e" filled="false" stroked="true" strokeweight=".72pt" strokecolor="#000000">
            <v:path arrowok="t"/>
          </v:shape>
          <w10:wrap type="none"/>
        </v:group>
      </w:pict>
    </w:r>
    <w:r>
      <w:rPr/>
      <w:pict>
        <v:shape style="position:absolute;margin-left:263.649994pt;margin-top:43.204983pt;width:99.5pt;height:12.6pt;mso-position-horizontal-relative:page;mso-position-vertical-relative:page;z-index:-6366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9.269989pt;margin-top:43.204983pt;width:78.4pt;height:12.6pt;mso-position-horizontal-relative:page;mso-position-vertical-relative:page;z-index:-63664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504002pt;margin-top:57.599983pt;width:444.45pt;height:.1pt;mso-position-horizontal-relative:page;mso-position-vertical-relative:page;z-index:-636592" coordorigin="1270,1152" coordsize="8889,2">
          <v:shape style="position:absolute;left:1270;top:1152;width:8889;height:2" coordorigin="1270,1152" coordsize="8889,0" path="m1270,1152l10159,1152e" filled="false" stroked="true" strokeweight=".72pt" strokecolor="#000000">
            <v:path arrowok="t"/>
          </v:shape>
          <w10:wrap type="none"/>
        </v:group>
      </w:pict>
    </w:r>
    <w:r>
      <w:rPr/>
      <w:pict>
        <v:shape style="position:absolute;margin-left:263.649994pt;margin-top:43.204983pt;width:99.5pt;height:12.6pt;mso-position-horizontal-relative:page;mso-position-vertical-relative:page;z-index:-63656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9.269989pt;margin-top:43.204983pt;width:78.4pt;height:12.6pt;mso-position-horizontal-relative:page;mso-position-vertical-relative:page;z-index:-63654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24004pt;margin-top:50.999985pt;width:427.15pt;height:.1pt;mso-position-horizontal-relative:page;mso-position-vertical-relative:page;z-index:-636520" coordorigin="1728,1020" coordsize="8543,2">
          <v:shape style="position:absolute;left:1728;top:1020;width:8543;height:2" coordorigin="1728,1020" coordsize="8543,0" path="m1728,1020l10271,1020e" filled="false" stroked="true" strokeweight=".72pt" strokecolor="#000000">
            <v:path arrowok="t"/>
          </v:shape>
          <w10:wrap type="none"/>
        </v:group>
      </w:pict>
    </w:r>
    <w:r>
      <w:rPr/>
      <w:pict>
        <v:shape style="position:absolute;margin-left:253.570007pt;margin-top:36.604984pt;width:99.35pt;height:12.6pt;mso-position-horizontal-relative:page;mso-position-vertical-relative:page;z-index:-63649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2"/>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34.910004pt;margin-top:36.604984pt;width:78.4pt;height:12.6pt;mso-position-horizontal-relative:page;mso-position-vertical-relative:page;z-index:-6364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43999pt;margin-top:50.999985pt;width:427.15pt;height:.1pt;mso-position-horizontal-relative:page;mso-position-vertical-relative:page;z-index:-636424" coordorigin="1275,1020" coordsize="8543,2">
          <v:shape style="position:absolute;left:1275;top:1020;width:8543;height:2" coordorigin="1275,1020" coordsize="8543,0" path="m1275,1020l9818,1020e" filled="false" stroked="true" strokeweight=".72pt" strokecolor="#000000">
            <v:path arrowok="t"/>
          </v:shape>
          <w10:wrap type="none"/>
        </v:group>
      </w:pict>
    </w:r>
    <w:r>
      <w:rPr/>
      <w:pict>
        <v:shape style="position:absolute;margin-left:246.610001pt;margin-top:36.604984pt;width:99.45pt;height:12.6pt;mso-position-horizontal-relative:page;mso-position-vertical-relative:page;z-index:-63640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12.230011pt;margin-top:36.604984pt;width:78.4pt;height:12.6pt;mso-position-horizontal-relative:page;mso-position-vertical-relative:page;z-index:-63637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24004pt;margin-top:50.999985pt;width:427.15pt;height:.1pt;mso-position-horizontal-relative:page;mso-position-vertical-relative:page;z-index:-636352" coordorigin="1728,1020" coordsize="8543,2">
          <v:shape style="position:absolute;left:1728;top:1020;width:8543;height:2" coordorigin="1728,1020" coordsize="8543,0" path="m1728,1020l10271,1020e" filled="false" stroked="true" strokeweight=".72pt" strokecolor="#000000">
            <v:path arrowok="t"/>
          </v:shape>
          <w10:wrap type="none"/>
        </v:group>
      </w:pict>
    </w:r>
    <w:r>
      <w:rPr/>
      <w:pict>
        <v:shape style="position:absolute;margin-left:269.290009pt;margin-top:36.604984pt;width:99.5pt;height:12.6pt;mso-position-horizontal-relative:page;mso-position-vertical-relative:page;z-index:-63632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34.910004pt;margin-top:36.604984pt;width:78.4pt;height:12.6pt;mso-position-horizontal-relative:page;mso-position-vertical-relative:page;z-index:-63630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13.5pt;height:.1pt;mso-position-horizontal-relative:page;mso-position-vertical-relative:page;z-index:-636184" coordorigin="1104,1152" coordsize="14270,2">
          <v:shape style="position:absolute;left:1104;top:1152;width:14270;height:2" coordorigin="1104,1152" coordsize="14270,0" path="m1104,1152l15374,1152e" filled="false" stroked="true" strokeweight=".72pt" strokecolor="#000000">
            <v:path arrowok="t"/>
          </v:shape>
          <w10:wrap type="none"/>
        </v:group>
      </w:pict>
    </w:r>
    <w:r>
      <w:rPr/>
      <w:pict>
        <v:shape style="position:absolute;margin-left:524.429993pt;margin-top:43.205006pt;width:99.45pt;height:12.6pt;mso-position-horizontal-relative:page;mso-position-vertical-relative:page;z-index:-63616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690.059998pt;margin-top:43.205006pt;width:78.350pt;height:12.6pt;mso-position-horizontal-relative:page;mso-position-vertical-relative:page;z-index:-63613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0"/>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13.5pt;height:.1pt;mso-position-horizontal-relative:page;mso-position-vertical-relative:page;z-index:-636112" coordorigin="1104,1152" coordsize="14270,2">
          <v:shape style="position:absolute;left:1104;top:1152;width:14270;height:2" coordorigin="1104,1152" coordsize="14270,0" path="m1104,1152l15374,1152e" filled="false" stroked="true" strokeweight=".72pt" strokecolor="#000000">
            <v:path arrowok="t"/>
          </v:shape>
          <w10:wrap type="none"/>
        </v:group>
      </w:pict>
    </w:r>
    <w:r>
      <w:rPr/>
      <w:pict>
        <v:shape style="position:absolute;margin-left:524.429993pt;margin-top:43.205006pt;width:99.45pt;height:12.6pt;mso-position-horizontal-relative:page;mso-position-vertical-relative:page;z-index:-63608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59"/>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690.059998pt;margin-top:43.205006pt;width:78.350pt;height:12.6pt;mso-position-horizontal-relative:page;mso-position-vertical-relative:page;z-index:-6360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0"/>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3594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2010</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190002pt;margin-top:43.204983pt;width:101.05pt;height:12.6pt;mso-position-horizontal-relative:page;mso-position-vertical-relative:page;z-index:-635920" type="#_x0000_t202" filled="false" stroked="false">
          <v:textbox inset="0,0,0,0">
            <w:txbxContent>
              <w:p>
                <w:pPr>
                  <w:tabs>
                    <w:tab w:pos="2000"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8"/>
                    <w:sz w:val="21"/>
                    <w:szCs w:val="21"/>
                  </w:rPr>
                  <w:t> </w:t>
                </w:r>
                <w:r>
                  <w:rPr>
                    <w:rFonts w:ascii="黑体" w:hAnsi="黑体" w:cs="黑体" w:eastAsia="黑体" w:hint="default"/>
                    <w:b/>
                    <w:bCs/>
                    <w:sz w:val="21"/>
                    <w:szCs w:val="21"/>
                  </w:rPr>
                  <w:t>000607 </w:t>
                </w:r>
                <w:r>
                  <w:rPr>
                    <w:rFonts w:ascii="黑体" w:hAnsi="黑体" w:cs="黑体" w:eastAsia="黑体" w:hint="default"/>
                    <w:b/>
                    <w:bCs/>
                    <w:spacing w:val="-35"/>
                    <w:sz w:val="21"/>
                    <w:szCs w:val="21"/>
                  </w:rPr>
                  <w:t> </w:t>
                </w:r>
                <w:r>
                  <w:rPr>
                    <w:rFonts w:ascii="黑体" w:hAnsi="黑体" w:cs="黑体" w:eastAsia="黑体" w:hint="default"/>
                    <w:b/>
                    <w:bCs/>
                    <w:spacing w:val="-35"/>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4"/>
      <w:ind w:left="138"/>
      <w:outlineLvl w:val="1"/>
    </w:pPr>
    <w:rPr>
      <w:rFonts w:ascii="宋体" w:hAnsi="宋体" w:eastAsia="宋体"/>
      <w:b/>
      <w:bCs/>
      <w:sz w:val="28"/>
      <w:szCs w:val="28"/>
    </w:rPr>
  </w:style>
  <w:style w:styleId="Heading2" w:type="paragraph">
    <w:name w:val="Heading 2"/>
    <w:basedOn w:val="Normal"/>
    <w:uiPriority w:val="1"/>
    <w:qFormat/>
    <w:pPr>
      <w:spacing w:before="154"/>
      <w:ind w:left="618"/>
      <w:outlineLvl w:val="2"/>
    </w:pPr>
    <w:rPr>
      <w:rFonts w:ascii="宋体" w:hAnsi="宋体" w:eastAsia="宋体"/>
      <w:b/>
      <w:bCs/>
      <w:sz w:val="24"/>
      <w:szCs w:val="24"/>
    </w:rPr>
  </w:style>
  <w:style w:styleId="Heading3" w:type="paragraph">
    <w:name w:val="Heading 3"/>
    <w:basedOn w:val="Normal"/>
    <w:uiPriority w:val="1"/>
    <w:qFormat/>
    <w:pPr>
      <w:spacing w:before="36"/>
      <w:ind w:left="143"/>
      <w:outlineLvl w:val="3"/>
    </w:pPr>
    <w:rPr>
      <w:rFonts w:ascii="宋体" w:hAnsi="宋体" w:eastAsia="宋体"/>
      <w:sz w:val="24"/>
      <w:szCs w:val="24"/>
    </w:rPr>
  </w:style>
  <w:style w:styleId="Heading4" w:type="paragraph">
    <w:name w:val="Heading 4"/>
    <w:basedOn w:val="Normal"/>
    <w:uiPriority w:val="1"/>
    <w:qFormat/>
    <w:pPr>
      <w:ind w:left="56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bo.xiong@holley.cn" TargetMode="External"/><Relationship Id="rId11" Type="http://schemas.openxmlformats.org/officeDocument/2006/relationships/hyperlink" Target="http://www.holleypharm.com/" TargetMode="External"/><Relationship Id="rId12" Type="http://schemas.openxmlformats.org/officeDocument/2006/relationships/hyperlink" Target="mailto:cq.huazhiholding@holley.cn"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s>

</file>

<file path=word/_rels/footer10.xml.rels><?xml version="1.0" encoding="UTF-8" standalone="yes"?>
<Relationships xmlns="http://schemas.openxmlformats.org/package/2006/relationships"><Relationship Id="rId1" Type="http://schemas.openxmlformats.org/officeDocument/2006/relationships/image" Target="media/image3.jpeg"/></Relationships>

</file>

<file path=word/_rels/footer11.xml.rels><?xml version="1.0" encoding="UTF-8" standalone="yes"?>
<Relationships xmlns="http://schemas.openxmlformats.org/package/2006/relationships"><Relationship Id="rId1" Type="http://schemas.openxmlformats.org/officeDocument/2006/relationships/image" Target="media/image3.jpeg"/></Relationships>

</file>

<file path=word/_rels/footer12.xml.rels><?xml version="1.0" encoding="UTF-8" standalone="yes"?>
<Relationships xmlns="http://schemas.openxmlformats.org/package/2006/relationships"><Relationship Id="rId1" Type="http://schemas.openxmlformats.org/officeDocument/2006/relationships/image" Target="media/image3.jpeg"/></Relationships>

</file>

<file path=word/_rels/footer13.xml.rels><?xml version="1.0" encoding="UTF-8" standalone="yes"?>
<Relationships xmlns="http://schemas.openxmlformats.org/package/2006/relationships"><Relationship Id="rId1" Type="http://schemas.openxmlformats.org/officeDocument/2006/relationships/image" Target="media/image3.jpeg"/></Relationships>

</file>

<file path=word/_rels/footer14.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2020-04-28T23:41:16Z</dcterms:created>
  <dcterms:modified xsi:type="dcterms:W3CDTF">2020-04-28T23:41:16Z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2011-05-19T00:00:00Z</vt:filetime>
  </property>
  <property fmtid="{D5CDD505-2E9C-101B-9397-08002B2CF9AE}" pid="3" name="Creator">
    <vt:lpwstr>Microsoft® Office Word 2007</vt:lpwstr>
  </property>
  <property fmtid="{D5CDD505-2E9C-101B-9397-08002B2CF9AE}" pid="4" name="LastSaved">
    <vt:filetime>2020-04-28T00:00:00Z</vt:filetime>
  </property>
</Properties>
</file>