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jpeg" ContentType="image/jpeg"/>
  <Default Extension="png" ContentType="image/png"/>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tabs>
          <w:tab w:pos="2083" w:val="left" w:leader="none"/>
          <w:tab w:pos="4251" w:val="left" w:leader="none"/>
        </w:tabs>
        <w:spacing w:before="44"/>
        <w:ind w:left="0" w:right="0" w:firstLine="0"/>
        <w:jc w:val="center"/>
        <w:rPr>
          <w:rFonts w:ascii="宋体" w:hAnsi="宋体" w:cs="宋体" w:eastAsia="宋体" w:hint="default"/>
          <w:sz w:val="18"/>
          <w:szCs w:val="18"/>
        </w:rPr>
      </w:pPr>
      <w:r>
        <w:rPr/>
        <w:pict>
          <v:group style="position:absolute;margin-left:55.200001pt;margin-top:-28.948288pt;width:484.9pt;height:.1pt;mso-position-horizontal-relative:page;mso-position-vertical-relative:paragraph;z-index:0" coordorigin="1104,-579" coordsize="9698,2">
            <v:shape style="position:absolute;left:1104;top:-579;width:9698;height:2" coordorigin="1104,-579" coordsize="9698,0" path="m1104,-579l10802,-579e" filled="false" stroked="true" strokeweight=".72pt" strokecolor="#000000">
              <v:path arrowok="t"/>
            </v:shape>
            <w10:wrap type="none"/>
          </v:group>
        </w:pict>
      </w:r>
      <w:r>
        <w:rPr>
          <w:rFonts w:ascii="宋体" w:hAnsi="宋体" w:cs="宋体" w:eastAsia="宋体" w:hint="default"/>
          <w:b/>
          <w:bCs/>
          <w:w w:val="95"/>
          <w:sz w:val="18"/>
          <w:szCs w:val="18"/>
        </w:rPr>
        <w:t>证券代码：</w:t>
      </w:r>
      <w:r>
        <w:rPr>
          <w:rFonts w:ascii="宋体" w:hAnsi="宋体" w:cs="宋体" w:eastAsia="宋体" w:hint="default"/>
          <w:b/>
          <w:bCs/>
          <w:w w:val="95"/>
          <w:sz w:val="18"/>
          <w:szCs w:val="18"/>
        </w:rPr>
        <w:t>000607</w:t>
        <w:tab/>
      </w:r>
      <w:r>
        <w:rPr>
          <w:rFonts w:ascii="宋体" w:hAnsi="宋体" w:cs="宋体" w:eastAsia="宋体" w:hint="default"/>
          <w:b/>
          <w:bCs/>
          <w:w w:val="95"/>
          <w:sz w:val="18"/>
          <w:szCs w:val="18"/>
        </w:rPr>
        <w:t>证券简称：华智控股</w:t>
        <w:tab/>
      </w:r>
      <w:r>
        <w:rPr>
          <w:rFonts w:ascii="宋体" w:hAnsi="宋体" w:cs="宋体" w:eastAsia="宋体" w:hint="default"/>
          <w:b/>
          <w:bCs/>
          <w:sz w:val="18"/>
          <w:szCs w:val="18"/>
        </w:rPr>
        <w:t>公告编号：</w:t>
      </w:r>
      <w:r>
        <w:rPr>
          <w:rFonts w:ascii="宋体" w:hAnsi="宋体" w:cs="宋体" w:eastAsia="宋体" w:hint="default"/>
          <w:b/>
          <w:bCs/>
          <w:sz w:val="18"/>
          <w:szCs w:val="18"/>
        </w:rPr>
        <w:t>2013-007</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340" w:lineRule="auto" w:before="122"/>
        <w:ind w:left="826" w:right="839" w:firstLine="0"/>
        <w:jc w:val="center"/>
        <w:rPr>
          <w:rFonts w:ascii="黑体" w:hAnsi="黑体" w:cs="黑体" w:eastAsia="黑体" w:hint="default"/>
          <w:sz w:val="72"/>
          <w:szCs w:val="72"/>
        </w:rPr>
      </w:pPr>
      <w:r>
        <w:rPr>
          <w:rFonts w:ascii="黑体" w:hAnsi="黑体" w:cs="黑体" w:eastAsia="黑体" w:hint="default"/>
          <w:b/>
          <w:bCs/>
          <w:w w:val="95"/>
          <w:sz w:val="72"/>
          <w:szCs w:val="72"/>
        </w:rPr>
        <w:t>浙江华智控股股份有限公司</w:t>
      </w:r>
      <w:r>
        <w:rPr>
          <w:rFonts w:ascii="黑体" w:hAnsi="黑体" w:cs="黑体" w:eastAsia="黑体" w:hint="default"/>
          <w:b/>
          <w:bCs/>
          <w:spacing w:val="69"/>
          <w:w w:val="95"/>
          <w:sz w:val="72"/>
          <w:szCs w:val="72"/>
        </w:rPr>
        <w:t> </w:t>
      </w:r>
      <w:r>
        <w:rPr>
          <w:rFonts w:ascii="黑体" w:hAnsi="黑体" w:cs="黑体" w:eastAsia="黑体" w:hint="default"/>
          <w:b/>
          <w:bCs/>
          <w:spacing w:val="69"/>
          <w:w w:val="95"/>
          <w:sz w:val="72"/>
          <w:szCs w:val="72"/>
        </w:rPr>
      </w:r>
      <w:r>
        <w:rPr>
          <w:rFonts w:ascii="黑体" w:hAnsi="黑体" w:cs="黑体" w:eastAsia="黑体" w:hint="default"/>
          <w:b/>
          <w:bCs/>
          <w:sz w:val="72"/>
          <w:szCs w:val="72"/>
        </w:rPr>
        <w:t>2012</w:t>
      </w:r>
      <w:r>
        <w:rPr>
          <w:rFonts w:ascii="黑体" w:hAnsi="黑体" w:cs="黑体" w:eastAsia="黑体" w:hint="default"/>
          <w:b/>
          <w:bCs/>
          <w:spacing w:val="-191"/>
          <w:sz w:val="72"/>
          <w:szCs w:val="72"/>
        </w:rPr>
        <w:t> </w:t>
      </w:r>
      <w:r>
        <w:rPr>
          <w:rFonts w:ascii="黑体" w:hAnsi="黑体" w:cs="黑体" w:eastAsia="黑体" w:hint="default"/>
          <w:b/>
          <w:bCs/>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2"/>
          <w:szCs w:val="72"/>
        </w:rPr>
      </w:pPr>
    </w:p>
    <w:p>
      <w:pPr>
        <w:pStyle w:val="Heading1"/>
        <w:spacing w:line="240" w:lineRule="auto" w:before="544"/>
        <w:ind w:left="0" w:right="0"/>
        <w:jc w:val="center"/>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81"/>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月</w:t>
      </w:r>
      <w:r>
        <w:rPr>
          <w:b w:val="0"/>
          <w:bCs w:val="0"/>
        </w:rPr>
      </w:r>
    </w:p>
    <w:p>
      <w:pPr>
        <w:spacing w:after="0" w:line="240" w:lineRule="auto"/>
        <w:jc w:val="cente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2"/>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公司负责人金美星、主管会计工作负责人郭峻峰及会计机构负责人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李帅红声明：保证年度报告中财务报告的真实、准确、完整。</w:t>
      </w:r>
      <w:r>
        <w:rPr>
          <w:rFonts w:ascii="宋体" w:hAnsi="宋体" w:cs="宋体" w:eastAsia="宋体" w:hint="default"/>
          <w:sz w:val="28"/>
          <w:szCs w:val="28"/>
        </w:rPr>
      </w:r>
    </w:p>
    <w:p>
      <w:pPr>
        <w:spacing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金美星</w:t>
            </w:r>
          </w:p>
        </w:tc>
      </w:tr>
    </w:tbl>
    <w:p>
      <w:pPr>
        <w:spacing w:line="240" w:lineRule="auto" w:before="3"/>
        <w:rPr>
          <w:rFonts w:ascii="宋体" w:hAnsi="宋体" w:cs="宋体" w:eastAsia="宋体" w:hint="default"/>
          <w:b/>
          <w:bCs/>
          <w:sz w:val="13"/>
          <w:szCs w:val="13"/>
        </w:rPr>
      </w:pPr>
    </w:p>
    <w:p>
      <w:pPr>
        <w:spacing w:line="475" w:lineRule="auto" w:before="14"/>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本年度报告中涉及部分对公司未来发展计划、产业发展判断等前瞻性陈述，</w:t>
      </w:r>
      <w:r>
        <w:rPr>
          <w:rFonts w:ascii="宋体" w:hAnsi="宋体" w:cs="宋体" w:eastAsia="宋体" w:hint="default"/>
          <w:spacing w:val="-2"/>
          <w:sz w:val="28"/>
          <w:szCs w:val="28"/>
        </w:rPr>
      </w:r>
    </w:p>
    <w:p>
      <w:pPr>
        <w:spacing w:line="350" w:lineRule="exact" w:before="0"/>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该等前瞻性陈述不构成公司对投资者的实质承诺，请投资者注意投资风险。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7"/>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87" w:lineRule="exact" w:before="0"/>
        <w:ind w:left="0" w:right="0"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2012 </w:t>
      </w:r>
      <w:r>
        <w:rPr>
          <w:rFonts w:ascii="宋体" w:hAnsi="宋体" w:cs="宋体" w:eastAsia="宋体" w:hint="default"/>
          <w:b/>
          <w:bCs/>
          <w:sz w:val="36"/>
          <w:szCs w:val="36"/>
        </w:rPr>
        <w:t>年度报告目录</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11"/>
        <w:rPr>
          <w:rFonts w:ascii="宋体" w:hAnsi="宋体" w:cs="宋体" w:eastAsia="宋体" w:hint="default"/>
          <w:b/>
          <w:bCs/>
          <w:sz w:val="35"/>
          <w:szCs w:val="35"/>
        </w:rPr>
      </w:pPr>
    </w:p>
    <w:p>
      <w:pPr>
        <w:pStyle w:val="Heading3"/>
        <w:tabs>
          <w:tab w:pos="9783" w:val="right" w:leader="dot"/>
        </w:tabs>
        <w:spacing w:line="240" w:lineRule="auto" w:before="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p>
    <w:p>
      <w:pPr>
        <w:pStyle w:val="Heading3"/>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p>
    <w:p>
      <w:pPr>
        <w:pStyle w:val="Heading3"/>
        <w:tabs>
          <w:tab w:pos="9783"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pStyle w:val="Heading1"/>
        <w:spacing w:line="240" w:lineRule="auto" w:before="945"/>
        <w:ind w:left="0" w:right="0"/>
        <w:jc w:val="center"/>
        <w:rPr>
          <w:b w:val="0"/>
          <w:bCs w:val="0"/>
        </w:rPr>
      </w:pPr>
      <w:r>
        <w:rPr/>
        <w:t>释义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spacing w:before="0"/>
        <w:ind w:left="0" w:right="156" w:firstLine="0"/>
        <w:jc w:val="right"/>
        <w:rPr>
          <w:rFonts w:ascii="宋体" w:hAnsi="宋体" w:cs="宋体" w:eastAsia="宋体" w:hint="default"/>
          <w:sz w:val="18"/>
          <w:szCs w:val="18"/>
        </w:rPr>
      </w:pPr>
      <w:r>
        <w:rPr/>
        <w:pict>
          <v:shape style="position:absolute;margin-left:56.400002pt;margin-top:-78.918282pt;width:479.3pt;height:270.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华立仪表</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left"/>
                          <w:rPr>
                            <w:rFonts w:ascii="宋体" w:hAnsi="宋体" w:cs="宋体" w:eastAsia="宋体" w:hint="default"/>
                            <w:sz w:val="18"/>
                            <w:szCs w:val="18"/>
                          </w:rPr>
                        </w:pPr>
                        <w:r>
                          <w:rPr>
                            <w:rFonts w:ascii="宋体" w:hAnsi="宋体" w:cs="宋体" w:eastAsia="宋体" w:hint="default"/>
                            <w:spacing w:val="-2"/>
                            <w:sz w:val="18"/>
                            <w:szCs w:val="18"/>
                          </w:rPr>
                          <w:t>华立仪表集团股份有限公司，系公司控股子公司。公司持有其</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79%</w:t>
                        </w:r>
                        <w:r>
                          <w:rPr>
                            <w:rFonts w:ascii="宋体" w:hAnsi="宋体" w:cs="宋体" w:eastAsia="宋体" w:hint="default"/>
                            <w:sz w:val="18"/>
                            <w:szCs w:val="18"/>
                          </w:rPr>
                          <w:t>的 股权。</w:t>
                        </w:r>
                      </w:p>
                    </w:tc>
                  </w:tr>
                  <w:tr>
                    <w:trPr>
                      <w:trHeight w:val="394"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华立集团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华立集团股份有限公司，系公司控股股东，持有公司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23.52%</w:t>
                        </w:r>
                        <w:r>
                          <w:rPr>
                            <w:rFonts w:ascii="宋体" w:hAnsi="宋体" w:cs="宋体" w:eastAsia="宋体" w:hint="default"/>
                            <w:sz w:val="18"/>
                            <w:szCs w:val="18"/>
                          </w:rPr>
                          <w:t>的股权</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国家电网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国家电网公司，系公司主要客户。</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南方电网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中国南方电网公司，系公司主要客户。</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专门用来计量某一时间段电能累计值的仪表。</w:t>
                        </w:r>
                      </w:p>
                    </w:tc>
                  </w:tr>
                  <w:tr>
                    <w:trPr>
                      <w:trHeight w:val="94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以包括各种发电设备、输配电网络、用电设备和储能设备的物理电网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为基础，将现代先进的传感测量技术、网络技术、通讯技术、计算技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术、自动化与智能控制技术等与物理电网高度集成而形成的新型电 </w:t>
                        </w:r>
                        <w:r>
                          <w:rPr>
                            <w:rFonts w:ascii="宋体" w:hAnsi="宋体" w:cs="宋体" w:eastAsia="宋体" w:hint="default"/>
                            <w:spacing w:val="-7"/>
                            <w:sz w:val="18"/>
                            <w:szCs w:val="18"/>
                          </w:rPr>
                          <w:t>网，它能够实现可观测（能够监测电网所有设备的状态）、可控制（能</w:t>
                        </w:r>
                        <w:r>
                          <w:rPr>
                            <w:rFonts w:ascii="宋体" w:hAnsi="宋体" w:cs="宋体" w:eastAsia="宋体" w:hint="default"/>
                            <w:sz w:val="18"/>
                            <w:szCs w:val="18"/>
                          </w:rPr>
                          <w:t> </w:t>
                        </w:r>
                        <w:r>
                          <w:rPr>
                            <w:rFonts w:ascii="宋体" w:hAnsi="宋体" w:cs="宋体" w:eastAsia="宋体" w:hint="default"/>
                            <w:spacing w:val="-3"/>
                            <w:sz w:val="18"/>
                            <w:szCs w:val="18"/>
                          </w:rPr>
                          <w:t>够控制电网所有设备的状态）、完全自动化（可自适应并实现自愈）</w:t>
                        </w:r>
                        <w:r>
                          <w:rPr>
                            <w:rFonts w:ascii="宋体" w:hAnsi="宋体" w:cs="宋体" w:eastAsia="宋体" w:hint="default"/>
                            <w:sz w:val="18"/>
                            <w:szCs w:val="18"/>
                          </w:rPr>
                          <w:t> </w:t>
                        </w:r>
                        <w:r>
                          <w:rPr>
                            <w:rFonts w:ascii="宋体" w:hAnsi="宋体" w:cs="宋体" w:eastAsia="宋体" w:hint="default"/>
                            <w:spacing w:val="-3"/>
                            <w:sz w:val="18"/>
                            <w:szCs w:val="18"/>
                          </w:rPr>
                          <w:t>和系统综合优化平衡（发电、输配电和用电之间的优化平衡），从而</w:t>
                        </w:r>
                        <w:r>
                          <w:rPr>
                            <w:rFonts w:ascii="宋体" w:hAnsi="宋体" w:cs="宋体" w:eastAsia="宋体" w:hint="default"/>
                            <w:sz w:val="18"/>
                            <w:szCs w:val="18"/>
                          </w:rPr>
                          <w:t> 使电力系统更加清洁、高效、安全、可靠。</w:t>
                        </w:r>
                      </w:p>
                    </w:tc>
                  </w:tr>
                  <w:tr>
                    <w:trPr>
                      <w:trHeight w:val="391"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941"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1"/>
        <w:spacing w:line="240" w:lineRule="auto"/>
        <w:ind w:left="0" w:right="0"/>
        <w:jc w:val="center"/>
        <w:rPr>
          <w:b w:val="0"/>
          <w:bCs w:val="0"/>
        </w:rPr>
      </w:pPr>
      <w:r>
        <w:rPr>
          <w:spacing w:val="2"/>
        </w:rPr>
        <w:t>重大风险提示</w:t>
      </w:r>
      <w:r>
        <w:rPr>
          <w:b w:val="0"/>
          <w:bCs w:val="0"/>
        </w:rPr>
      </w:r>
    </w:p>
    <w:p>
      <w:pPr>
        <w:spacing w:line="240" w:lineRule="auto" w:before="1"/>
        <w:rPr>
          <w:rFonts w:ascii="宋体" w:hAnsi="宋体" w:cs="宋体" w:eastAsia="宋体" w:hint="default"/>
          <w:b/>
          <w:bCs/>
          <w:sz w:val="26"/>
          <w:szCs w:val="26"/>
        </w:rPr>
      </w:pPr>
    </w:p>
    <w:p>
      <w:pPr>
        <w:spacing w:line="400" w:lineRule="auto" w:before="0"/>
        <w:ind w:left="152" w:right="15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、母公司经营风险。由于公司母公司存在严重的资金困难，主营业务尚待</w:t>
      </w:r>
      <w:r>
        <w:rPr>
          <w:rFonts w:ascii="宋体" w:hAnsi="宋体" w:cs="宋体" w:eastAsia="宋体" w:hint="default"/>
          <w:b/>
          <w:bCs/>
          <w:w w:val="99"/>
          <w:sz w:val="28"/>
          <w:szCs w:val="28"/>
        </w:rPr>
        <w:t> </w:t>
      </w:r>
      <w:r>
        <w:rPr>
          <w:rFonts w:ascii="宋体" w:hAnsi="宋体" w:cs="宋体" w:eastAsia="宋体" w:hint="default"/>
          <w:b/>
          <w:bCs/>
          <w:spacing w:val="2"/>
          <w:sz w:val="28"/>
          <w:szCs w:val="28"/>
        </w:rPr>
        <w:t>培育，存在一定的母公司经营风险。公司将积极通过化工产品贸易等手段，培</w:t>
      </w:r>
      <w:r>
        <w:rPr>
          <w:rFonts w:ascii="宋体" w:hAnsi="宋体" w:cs="宋体" w:eastAsia="宋体" w:hint="default"/>
          <w:b/>
          <w:bCs/>
          <w:w w:val="99"/>
          <w:sz w:val="28"/>
          <w:szCs w:val="28"/>
        </w:rPr>
        <w:t> </w:t>
      </w:r>
      <w:r>
        <w:rPr>
          <w:rFonts w:ascii="宋体" w:hAnsi="宋体" w:cs="宋体" w:eastAsia="宋体" w:hint="default"/>
          <w:b/>
          <w:bCs/>
          <w:spacing w:val="2"/>
          <w:sz w:val="28"/>
          <w:szCs w:val="28"/>
        </w:rPr>
        <w:t>育母公司经营能力，并寻求通过资本运作手段，改善母公司资金困境，培育母</w:t>
      </w:r>
      <w:r>
        <w:rPr>
          <w:rFonts w:ascii="宋体" w:hAnsi="宋体" w:cs="宋体" w:eastAsia="宋体" w:hint="default"/>
          <w:b/>
          <w:bCs/>
          <w:w w:val="99"/>
          <w:sz w:val="28"/>
          <w:szCs w:val="28"/>
        </w:rPr>
        <w:t> </w:t>
      </w:r>
      <w:r>
        <w:rPr>
          <w:rFonts w:ascii="宋体" w:hAnsi="宋体" w:cs="宋体" w:eastAsia="宋体" w:hint="default"/>
          <w:b/>
          <w:bCs/>
          <w:sz w:val="28"/>
          <w:szCs w:val="28"/>
        </w:rPr>
        <w:t>公司主营业务。</w:t>
      </w:r>
      <w:r>
        <w:rPr>
          <w:rFonts w:ascii="宋体" w:hAnsi="宋体" w:cs="宋体" w:eastAsia="宋体" w:hint="default"/>
          <w:sz w:val="28"/>
          <w:szCs w:val="28"/>
        </w:rPr>
      </w:r>
    </w:p>
    <w:p>
      <w:pPr>
        <w:spacing w:line="403" w:lineRule="auto" w:before="169"/>
        <w:ind w:left="152" w:right="15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、客户集中度过高的风险。由于国家电网和南方电网加强对下属子公司电</w:t>
      </w:r>
      <w:r>
        <w:rPr>
          <w:rFonts w:ascii="宋体" w:hAnsi="宋体" w:cs="宋体" w:eastAsia="宋体" w:hint="default"/>
          <w:b/>
          <w:bCs/>
          <w:w w:val="99"/>
          <w:sz w:val="28"/>
          <w:szCs w:val="28"/>
        </w:rPr>
        <w:t> </w:t>
      </w:r>
      <w:r>
        <w:rPr>
          <w:rFonts w:ascii="宋体" w:hAnsi="宋体" w:cs="宋体" w:eastAsia="宋体" w:hint="default"/>
          <w:b/>
          <w:bCs/>
          <w:spacing w:val="2"/>
          <w:sz w:val="28"/>
          <w:szCs w:val="28"/>
        </w:rPr>
        <w:t>能表采购的集中控制，导致国内智能电表行业市场集中度越来越高，可能导致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公司经营业绩受单次集中采购招标结果影响的风险。为此公司将积极研究客户</w:t>
      </w:r>
      <w:r>
        <w:rPr>
          <w:rFonts w:ascii="宋体" w:hAnsi="宋体" w:cs="宋体" w:eastAsia="宋体" w:hint="default"/>
          <w:b/>
          <w:bCs/>
          <w:w w:val="99"/>
          <w:sz w:val="28"/>
          <w:szCs w:val="28"/>
        </w:rPr>
        <w:t> </w:t>
      </w:r>
      <w:r>
        <w:rPr>
          <w:rFonts w:ascii="宋体" w:hAnsi="宋体" w:cs="宋体" w:eastAsia="宋体" w:hint="default"/>
          <w:b/>
          <w:bCs/>
          <w:spacing w:val="2"/>
          <w:sz w:val="28"/>
          <w:szCs w:val="28"/>
        </w:rPr>
        <w:t>需求，努力做好国家电网和南方电网集中采购的投标工作，同时积极努力开拓</w:t>
      </w:r>
      <w:r>
        <w:rPr>
          <w:rFonts w:ascii="宋体" w:hAnsi="宋体" w:cs="宋体" w:eastAsia="宋体" w:hint="default"/>
          <w:b/>
          <w:bCs/>
          <w:w w:val="99"/>
          <w:sz w:val="28"/>
          <w:szCs w:val="28"/>
        </w:rPr>
        <w:t> </w:t>
      </w:r>
      <w:r>
        <w:rPr>
          <w:rFonts w:ascii="宋体" w:hAnsi="宋体" w:cs="宋体" w:eastAsia="宋体" w:hint="default"/>
          <w:b/>
          <w:bCs/>
          <w:sz w:val="28"/>
          <w:szCs w:val="28"/>
        </w:rPr>
        <w:t>国际智能电表市场，化解客户集中度过高的风险。</w:t>
      </w:r>
      <w:r>
        <w:rPr>
          <w:rFonts w:ascii="宋体" w:hAnsi="宋体" w:cs="宋体" w:eastAsia="宋体" w:hint="default"/>
          <w:sz w:val="28"/>
          <w:szCs w:val="28"/>
        </w:rPr>
      </w:r>
    </w:p>
    <w:p>
      <w:pPr>
        <w:spacing w:line="400" w:lineRule="auto" w:before="168"/>
        <w:ind w:left="152" w:right="15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、智能电表需求下降的风险。随着国家电网和南方电网集中采购招标的推</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进，以及国家智能电网建设逐步深入，国内智能电表的市场需求面临饱和乃至</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下降的风险。为此公司公司将积极开拓国际智能电表市场，同时进军智能电网</w:t>
      </w:r>
      <w:r>
        <w:rPr>
          <w:rFonts w:ascii="宋体" w:hAnsi="宋体" w:cs="宋体" w:eastAsia="宋体" w:hint="default"/>
          <w:b/>
          <w:bCs/>
          <w:w w:val="99"/>
          <w:sz w:val="28"/>
          <w:szCs w:val="28"/>
        </w:rPr>
        <w:t> </w:t>
      </w:r>
      <w:r>
        <w:rPr>
          <w:rFonts w:ascii="宋体" w:hAnsi="宋体" w:cs="宋体" w:eastAsia="宋体" w:hint="default"/>
          <w:b/>
          <w:bCs/>
          <w:sz w:val="28"/>
          <w:szCs w:val="28"/>
        </w:rPr>
        <w:t>的其他产品，以化解智能电表需求下降的风险。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8397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020004pt;margin-top:269.209991pt;width:362.85pt;height:20.8pt;mso-position-horizontal-relative:page;mso-position-vertical-relative:page;z-index:-839752"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left="1" w:right="0"/>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5"/>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华智控股</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000607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华智控股</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Huazhi Holding (Zhejiang) Co.,</w:t>
            </w:r>
            <w:r>
              <w:rPr>
                <w:rFonts w:ascii="Times New Roman"/>
                <w:spacing w:val="-12"/>
                <w:sz w:val="18"/>
              </w:rPr>
              <w:t> </w:t>
            </w:r>
            <w:r>
              <w:rPr>
                <w:rFonts w:ascii="Times New Roman"/>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Huazhi</w:t>
            </w:r>
            <w:r>
              <w:rPr>
                <w:rFonts w:ascii="Times New Roman"/>
                <w:spacing w:val="-2"/>
                <w:sz w:val="18"/>
              </w:rPr>
              <w:t> </w:t>
            </w:r>
            <w:r>
              <w:rPr>
                <w:rFonts w:ascii="Times New Roman"/>
                <w:sz w:val="18"/>
              </w:rPr>
              <w:t>Holding</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金美星</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杭州市余杭区五常街道五常大道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310023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浙江省杭州市余杭区五常大道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 </w:t>
            </w:r>
            <w:r>
              <w:rPr>
                <w:rFonts w:ascii="宋体" w:hAnsi="宋体" w:cs="宋体" w:eastAsia="宋体" w:hint="default"/>
                <w:sz w:val="18"/>
                <w:szCs w:val="18"/>
              </w:rPr>
              <w:t>号华立科技园</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310023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http://www.000607.cn/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000607@holley.cn</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898"/>
        <w:gridCol w:w="2482"/>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8"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浙江省杭州市余杭区五常大道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 </w:t>
            </w:r>
            <w:r>
              <w:rPr>
                <w:rFonts w:ascii="宋体" w:hAnsi="宋体" w:cs="宋体" w:eastAsia="宋体" w:hint="default"/>
                <w:sz w:val="18"/>
                <w:szCs w:val="18"/>
              </w:rPr>
              <w:t>号华立科技园</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B-704</w:t>
            </w:r>
          </w:p>
        </w:tc>
        <w:tc>
          <w:tcPr>
            <w:tcW w:w="2482" w:type="dxa"/>
            <w:vMerge w:val="restart"/>
            <w:tcBorders>
              <w:top w:val="single" w:sz="4" w:space="0" w:color="000000"/>
              <w:left w:val="single" w:sz="4" w:space="0" w:color="000000"/>
              <w:right w:val="single" w:sz="4" w:space="0" w:color="000000"/>
            </w:tcBorders>
          </w:tcPr>
          <w:p>
            <w:pP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98" w:type="dxa"/>
            <w:vMerge/>
            <w:tcBorders>
              <w:left w:val="single" w:sz="9" w:space="0" w:color="D2D2D2"/>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898" w:type="dxa"/>
            <w:vMerge/>
            <w:tcBorders>
              <w:left w:val="single" w:sz="9" w:space="0" w:color="D2D2D2"/>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0571-89300698</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0571-89300130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bo.xiong@holley.cn</w:t>
              </w:r>
            </w:hyperlink>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0" w:right="156" w:firstLine="0"/>
        <w:jc w:val="right"/>
        <w:rPr>
          <w:rFonts w:ascii="宋体" w:hAnsi="宋体" w:cs="宋体" w:eastAsia="宋体" w:hint="default"/>
          <w:sz w:val="18"/>
          <w:szCs w:val="18"/>
        </w:rPr>
      </w:pPr>
      <w:r>
        <w:rPr/>
        <w:pict>
          <v:shape style="position:absolute;margin-left:57pt;margin-top:-176.838257pt;width:478.55pt;height:225.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重庆市工商行政管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渝直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20282349-4-1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510215202823494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浙江省杭州市工商 行政管理局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500000000005123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330125202823494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月，公司主营业务从热工仪表变更为电工仪表；</w:t>
                        </w:r>
                        <w:r>
                          <w:rPr>
                            <w:rFonts w:ascii="Times New Roman" w:hAnsi="Times New Roman" w:cs="Times New Roman" w:eastAsia="Times New Roman" w:hint="default"/>
                            <w:spacing w:val="-3"/>
                            <w:sz w:val="18"/>
                            <w:szCs w:val="18"/>
                          </w:rPr>
                          <w:t>2005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月，公司主营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业务从电工仪表变更为医药；</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月，公司主营业务从医药变更为仪表。</w:t>
                        </w:r>
                      </w:p>
                    </w:tc>
                  </w:tr>
                  <w:tr>
                    <w:trPr>
                      <w:trHeight w:val="629"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97"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上市起始日～</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月，公司控股股东为中国四联仪器仪表集团有限公司；公 司于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月和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月分别进行了股权转让和重大资产重组，华方医药科技</w:t>
                        </w:r>
                      </w:p>
                      <w:p>
                        <w:pPr>
                          <w:pStyle w:val="TableParagraph"/>
                          <w:spacing w:line="309" w:lineRule="auto" w:before="15"/>
                          <w:ind w:left="16" w:right="42"/>
                          <w:jc w:val="left"/>
                          <w:rPr>
                            <w:rFonts w:ascii="宋体" w:hAnsi="宋体" w:cs="宋体" w:eastAsia="宋体" w:hint="default"/>
                            <w:sz w:val="18"/>
                            <w:szCs w:val="18"/>
                          </w:rPr>
                        </w:pPr>
                        <w:r>
                          <w:rPr>
                            <w:rFonts w:ascii="宋体" w:hAnsi="宋体" w:cs="宋体" w:eastAsia="宋体" w:hint="default"/>
                            <w:spacing w:val="-6"/>
                            <w:sz w:val="18"/>
                            <w:szCs w:val="18"/>
                          </w:rPr>
                          <w:t>有限公司（原名华立产业集团有限公司）成为公司控股股东；</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6"/>
                            <w:sz w:val="18"/>
                            <w:szCs w:val="18"/>
                          </w:rPr>
                          <w:t> </w:t>
                        </w:r>
                        <w:r>
                          <w:rPr>
                            <w:rFonts w:ascii="宋体" w:hAnsi="宋体" w:cs="宋体" w:eastAsia="宋体" w:hint="default"/>
                            <w:sz w:val="18"/>
                            <w:szCs w:val="18"/>
                          </w:rPr>
                          <w:t>华方医药科技有限公司与华立集团股份有限公司签订股权转让合同，华立集团股 份有限公司成为公司控股股东。</w:t>
                        </w:r>
                      </w:p>
                    </w:tc>
                  </w:tr>
                  <w:tr>
                    <w:trPr>
                      <w:trHeight w:val="391"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629"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重庆市北部新区财富大道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号财富中心财富园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龙文虎，李青龙</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132.12001pt;margin-top:326.929993pt;width:93.3pt;height:21.95pt;mso-position-horizontal-relative:page;mso-position-vertical-relative:page;z-index:-839704" type="#_x0000_t202" filled="false" stroked="false">
            <v:textbox inset="0,0,0,0">
              <w:txbxContent>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156.259995pt;margin-top:326.389984pt;width:70.350pt;height:27.9pt;mso-position-horizontal-relative:page;mso-position-vertical-relative:page;z-index:-839680" coordorigin="3125,6528" coordsize="1407,558">
            <v:group style="position:absolute;left:3136;top:6539;width:2;height:392" coordorigin="3136,6539" coordsize="2,392">
              <v:shape style="position:absolute;left:3136;top:6539;width:2;height:392" coordorigin="3136,6539" coordsize="0,392" path="m3136,6539l3136,6930e" filled="false" stroked="true" strokeweight="1.08pt" strokecolor="#ffffff">
                <v:path arrowok="t"/>
              </v:shape>
            </v:group>
            <v:group style="position:absolute;left:3125;top:6930;width:1407;height:156" coordorigin="3125,6930" coordsize="1407,156">
              <v:shape style="position:absolute;left:3125;top:6930;width:1407;height:156" coordorigin="3125,6930" coordsize="1407,156" path="m3125,7086l4532,7086,4532,6930,3125,6930,3125,7086xe" filled="true" fillcolor="#ffffff" stroked="false">
                <v:path arrowok="t"/>
                <v:fill type="solid"/>
              </v:shape>
            </v:group>
            <v:group style="position:absolute;left:3147;top:6539;width:1362;height:392" coordorigin="3147,6539" coordsize="1362,392">
              <v:shape style="position:absolute;left:3147;top:6539;width:1362;height:392" coordorigin="3147,6539" coordsize="1362,392" path="m3147,6930l4508,6930,4508,6539,3147,6539,3147,693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882" w:right="0"/>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before="0"/>
        <w:ind w:left="392"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256"/>
        <w:gridCol w:w="210"/>
        <w:gridCol w:w="1209"/>
        <w:gridCol w:w="1387"/>
        <w:gridCol w:w="1448"/>
        <w:gridCol w:w="926"/>
        <w:gridCol w:w="1342"/>
        <w:gridCol w:w="1418"/>
      </w:tblGrid>
      <w:tr>
        <w:trPr>
          <w:trHeight w:val="163" w:hRule="exact"/>
        </w:trPr>
        <w:tc>
          <w:tcPr>
            <w:tcW w:w="225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5" w:right="50"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 年增减</w:t>
            </w:r>
            <w:r>
              <w:rPr>
                <w:rFonts w:ascii="Times New Roman" w:hAnsi="Times New Roman" w:cs="Times New Roman" w:eastAsia="Times New Roman" w:hint="default"/>
                <w:sz w:val="18"/>
                <w:szCs w:val="18"/>
              </w:rPr>
              <w:t>(%)</w:t>
            </w:r>
          </w:p>
        </w:tc>
        <w:tc>
          <w:tcPr>
            <w:tcW w:w="27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26" w:type="dxa"/>
            <w:vMerge/>
            <w:tcBorders>
              <w:left w:val="single" w:sz="4" w:space="0" w:color="000000"/>
              <w:right w:val="single" w:sz="4" w:space="0" w:color="000000"/>
            </w:tcBorders>
            <w:shd w:val="clear" w:color="auto" w:fill="D2D2D2"/>
          </w:tcPr>
          <w:p>
            <w:pPr/>
          </w:p>
        </w:tc>
        <w:tc>
          <w:tcPr>
            <w:tcW w:w="276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256" w:type="dxa"/>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2761"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27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18" w:right="0"/>
              <w:jc w:val="left"/>
              <w:rPr>
                <w:rFonts w:ascii="Times New Roman" w:hAnsi="Times New Roman" w:cs="Times New Roman" w:eastAsia="Times New Roman" w:hint="default"/>
                <w:sz w:val="18"/>
                <w:szCs w:val="18"/>
              </w:rPr>
            </w:pPr>
            <w:r>
              <w:rPr>
                <w:rFonts w:ascii="Times New Roman"/>
                <w:sz w:val="18"/>
              </w:rPr>
              <w:t>1,767,888,581.05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1,691,170,320.72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1,757,044,980.43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1,194,860,445.99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1,227,058,363.16</w:t>
            </w:r>
          </w:p>
        </w:tc>
      </w:tr>
      <w:tr>
        <w:trPr>
          <w:trHeight w:val="71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23,420,537.27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24,547,725.96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32,291,915.69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-166,308,328.16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-159,147,072.52</w:t>
            </w:r>
          </w:p>
        </w:tc>
      </w:tr>
      <w:tr>
        <w:trPr>
          <w:trHeight w:val="715"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tc>
        <w:tc>
          <w:tcPr>
            <w:tcW w:w="210" w:type="dxa"/>
            <w:tcBorders>
              <w:top w:val="single" w:sz="4" w:space="0" w:color="000000"/>
              <w:left w:val="single" w:sz="9" w:space="0" w:color="D2D2D2"/>
              <w:bottom w:val="single" w:sz="4" w:space="0" w:color="000000"/>
              <w:right w:val="nil" w:sz="6" w:space="0" w:color="auto"/>
            </w:tcBorders>
          </w:tcPr>
          <w:p>
            <w:pPr/>
          </w:p>
        </w:tc>
        <w:tc>
          <w:tcPr>
            <w:tcW w:w="1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14,704,579.76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7,045,996.40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7,045,996.40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-164,304,196.33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-157,197,885.07</w:t>
            </w:r>
          </w:p>
        </w:tc>
      </w:tr>
      <w:tr>
        <w:trPr>
          <w:trHeight w:val="71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49,230,250.55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151,126,446.91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143,204,505.03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105,193,292.98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110,202,225.53</w:t>
            </w:r>
          </w:p>
        </w:tc>
      </w:tr>
      <w:tr>
        <w:trPr>
          <w:trHeight w:val="404"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913" w:right="0"/>
              <w:jc w:val="left"/>
              <w:rPr>
                <w:rFonts w:ascii="Times New Roman" w:hAnsi="Times New Roman" w:cs="Times New Roman" w:eastAsia="Times New Roman" w:hint="default"/>
                <w:sz w:val="18"/>
                <w:szCs w:val="18"/>
              </w:rPr>
            </w:pPr>
            <w:r>
              <w:rPr>
                <w:rFonts w:ascii="Times New Roman"/>
                <w:sz w:val="18"/>
              </w:rPr>
              <w:t>6.07%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7.49%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-37.28%</w:t>
            </w:r>
          </w:p>
        </w:tc>
      </w:tr>
      <w:tr>
        <w:trPr>
          <w:trHeight w:val="317" w:hRule="exact"/>
        </w:trPr>
        <w:tc>
          <w:tcPr>
            <w:tcW w:w="2256" w:type="dxa"/>
            <w:vMerge w:val="restart"/>
            <w:tcBorders>
              <w:top w:val="single" w:sz="4" w:space="0" w:color="000000"/>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本年末比 上年末增 减</w:t>
            </w:r>
            <w:r>
              <w:rPr>
                <w:rFonts w:ascii="Times New Roman" w:hAnsi="Times New Roman" w:cs="Times New Roman" w:eastAsia="Times New Roman" w:hint="default"/>
                <w:sz w:val="18"/>
                <w:szCs w:val="18"/>
              </w:rPr>
              <w:t>(%)</w:t>
            </w:r>
          </w:p>
        </w:tc>
        <w:tc>
          <w:tcPr>
            <w:tcW w:w="27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926" w:type="dxa"/>
            <w:vMerge/>
            <w:tcBorders>
              <w:left w:val="single" w:sz="4" w:space="0" w:color="000000"/>
              <w:right w:val="single" w:sz="4" w:space="0" w:color="000000"/>
            </w:tcBorders>
            <w:shd w:val="clear" w:color="auto" w:fill="D2D2D2"/>
          </w:tcPr>
          <w:p>
            <w:pPr/>
          </w:p>
        </w:tc>
        <w:tc>
          <w:tcPr>
            <w:tcW w:w="276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2256" w:type="dxa"/>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2761"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2761"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6" w:hRule="exact"/>
        </w:trPr>
        <w:tc>
          <w:tcPr>
            <w:tcW w:w="2256" w:type="dxa"/>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2761"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56" w:type="dxa"/>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2,015,237,592.38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1,710,571,032.82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1,826,695,699.68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1,611,256,634.65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1,661,258,236.25</w:t>
            </w:r>
          </w:p>
        </w:tc>
      </w:tr>
      <w:tr>
        <w:trPr>
          <w:trHeight w:val="1028"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2"/>
              <w:jc w:val="both"/>
              <w:rPr>
                <w:rFonts w:ascii="宋体" w:hAnsi="宋体" w:cs="宋体" w:eastAsia="宋体" w:hint="default"/>
                <w:sz w:val="18"/>
                <w:szCs w:val="18"/>
              </w:rPr>
            </w:pPr>
            <w:r>
              <w:rPr>
                <w:rFonts w:ascii="宋体" w:hAnsi="宋体" w:cs="宋体" w:eastAsia="宋体" w:hint="default"/>
                <w:sz w:val="18"/>
                <w:szCs w:val="18"/>
              </w:rPr>
              <w:t>归属于上市公司股东的净资 产（归属于上市公司股东的 </w:t>
            </w:r>
            <w:r>
              <w:rPr>
                <w:rFonts w:ascii="宋体" w:hAnsi="宋体" w:cs="宋体" w:eastAsia="宋体" w:hint="default"/>
                <w:spacing w:val="-11"/>
                <w:sz w:val="18"/>
                <w:szCs w:val="18"/>
              </w:rPr>
              <w:t>所有者权益）（元）</w:t>
            </w:r>
          </w:p>
        </w:tc>
        <w:tc>
          <w:tcPr>
            <w:tcW w:w="14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360,937,035.42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339,289,041.61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376,069,874.88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309,981,946.71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333,171,081.66</w:t>
            </w:r>
          </w:p>
        </w:tc>
      </w:tr>
    </w:tbl>
    <w:p>
      <w:pPr>
        <w:spacing w:line="240" w:lineRule="auto" w:before="1"/>
        <w:rPr>
          <w:rFonts w:ascii="宋体" w:hAnsi="宋体" w:cs="宋体" w:eastAsia="宋体" w:hint="default"/>
          <w:sz w:val="18"/>
          <w:szCs w:val="18"/>
        </w:rPr>
      </w:pPr>
    </w:p>
    <w:p>
      <w:pPr>
        <w:pStyle w:val="Heading3"/>
        <w:spacing w:line="240" w:lineRule="auto"/>
        <w:ind w:left="392"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3273"/>
        <w:gridCol w:w="1818"/>
        <w:gridCol w:w="1560"/>
        <w:gridCol w:w="1561"/>
        <w:gridCol w:w="1346"/>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8,604,050.36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298,689.75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-1,139,939.30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6,950,570.78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5,289,481.97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9,064,888.40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740" w:right="7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807"/>
        <w:gridCol w:w="1560"/>
        <w:gridCol w:w="1561"/>
        <w:gridCol w:w="1346"/>
      </w:tblGrid>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396,425.49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2,208,185.92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7,744,189.73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54,944.38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80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989,800.00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2,504,680.03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1,676,742.61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884,167.05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0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16,823,061.86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-10,101,838.03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5,173,478.13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3,419,448.94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-20,167.87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6,774,476.94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4,156,597.69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731,577.82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8,715,957.51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25,245,919.29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-1,949,187.45</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671"/>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222"/>
        <w:jc w:val="left"/>
        <w:rPr>
          <w:b w:val="0"/>
          <w:bCs w:val="0"/>
        </w:rPr>
      </w:pPr>
      <w:r>
        <w:rPr/>
        <w:t>一、概述</w:t>
      </w:r>
      <w:r>
        <w:rPr>
          <w:b w:val="0"/>
          <w:bCs w:val="0"/>
        </w:rPr>
      </w:r>
    </w:p>
    <w:p>
      <w:pPr>
        <w:spacing w:line="240" w:lineRule="auto" w:before="9"/>
        <w:rPr>
          <w:rFonts w:ascii="宋体" w:hAnsi="宋体" w:cs="宋体" w:eastAsia="宋体" w:hint="default"/>
          <w:b/>
          <w:bCs/>
          <w:sz w:val="25"/>
          <w:szCs w:val="25"/>
        </w:rPr>
      </w:pPr>
    </w:p>
    <w:p>
      <w:pPr>
        <w:pStyle w:val="BodyText"/>
        <w:spacing w:line="288" w:lineRule="auto" w:before="0"/>
        <w:ind w:right="222"/>
        <w:jc w:val="left"/>
      </w:pPr>
      <w:r>
        <w:rPr/>
        <w:t>报告期内，公司继续努力加强经营管理，提升主营业务经营业绩，同时辅以积极的资产 </w:t>
      </w:r>
      <w:r>
        <w:rPr>
          <w:spacing w:val="-2"/>
        </w:rPr>
        <w:t>结构调整手段，使公司经营逐步恢复正常。经深圳证券交易所审核批准，自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日起</w:t>
      </w:r>
      <w:r>
        <w:rPr>
          <w:spacing w:val="-113"/>
        </w:rPr>
        <w:t> </w:t>
      </w:r>
      <w:r>
        <w:rPr/>
        <w:t>撤销</w:t>
      </w:r>
      <w:r>
        <w:rPr>
          <w:rFonts w:ascii="Times New Roman" w:hAnsi="Times New Roman" w:cs="Times New Roman" w:eastAsia="Times New Roman" w:hint="default"/>
        </w:rPr>
        <w:t>“</w:t>
      </w:r>
      <w:r>
        <w:rPr/>
        <w:t>退市风险提示</w:t>
      </w:r>
      <w:r>
        <w:rPr>
          <w:rFonts w:ascii="Times New Roman" w:hAnsi="Times New Roman" w:cs="Times New Roman" w:eastAsia="Times New Roman" w:hint="default"/>
        </w:rPr>
        <w:t>”</w:t>
      </w:r>
      <w:r>
        <w:rPr/>
        <w:t>及其他特别处理，公司股票简称由</w:t>
      </w:r>
      <w:r>
        <w:rPr>
          <w:rFonts w:ascii="Times New Roman" w:hAnsi="Times New Roman" w:cs="Times New Roman" w:eastAsia="Times New Roman" w:hint="default"/>
        </w:rPr>
        <w:t>“*ST</w:t>
      </w:r>
      <w:r>
        <w:rPr>
          <w:rFonts w:ascii="Times New Roman" w:hAnsi="Times New Roman" w:cs="Times New Roman" w:eastAsia="Times New Roman" w:hint="default"/>
          <w:spacing w:val="35"/>
        </w:rPr>
        <w:t> </w:t>
      </w:r>
      <w:r>
        <w:rPr/>
        <w:t>华控</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华智控股</w:t>
      </w:r>
      <w:r>
        <w:rPr>
          <w:rFonts w:ascii="Times New Roman" w:hAnsi="Times New Roman" w:cs="Times New Roman" w:eastAsia="Times New Roman" w:hint="default"/>
        </w:rPr>
        <w:t>”</w:t>
      </w:r>
      <w:r>
        <w:rPr/>
        <w:t>，证券 代码仍为</w:t>
      </w:r>
      <w:r>
        <w:rPr>
          <w:rFonts w:ascii="Times New Roman" w:hAnsi="Times New Roman" w:cs="Times New Roman" w:eastAsia="Times New Roman" w:hint="default"/>
        </w:rPr>
        <w:t>“000607”</w:t>
      </w:r>
      <w:r>
        <w:rPr/>
        <w:t>，公司股票日涨跌幅限制恢复为</w:t>
      </w:r>
      <w:r>
        <w:rPr>
          <w:rFonts w:ascii="Times New Roman" w:hAnsi="Times New Roman" w:cs="Times New Roman" w:eastAsia="Times New Roman" w:hint="default"/>
        </w:rPr>
        <w:t>10%</w:t>
      </w:r>
      <w:r>
        <w:rPr/>
        <w:t>。</w:t>
      </w:r>
    </w:p>
    <w:p>
      <w:pPr>
        <w:pStyle w:val="BodyText"/>
        <w:spacing w:line="297" w:lineRule="auto" w:before="4"/>
        <w:ind w:right="232"/>
        <w:jc w:val="both"/>
      </w:pPr>
      <w:r>
        <w:rPr>
          <w:rFonts w:ascii="宋体" w:hAnsi="宋体" w:cs="宋体" w:eastAsia="宋体" w:hint="default"/>
        </w:rPr>
        <w:t>2012</w:t>
      </w:r>
      <w:r>
        <w:rPr/>
        <w:t>年，公司主营业务电能表产业继续取得较好发展。公司子公司华立仪表集团股份有 限公司在国家电网公司及南方电网公司的电能表集中规模招标采购项目中多次中标，累计中 </w:t>
      </w:r>
      <w:r>
        <w:rPr>
          <w:spacing w:val="-2"/>
        </w:rPr>
        <w:t>标金额</w:t>
      </w:r>
      <w:r>
        <w:rPr>
          <w:rFonts w:ascii="宋体" w:hAnsi="宋体" w:cs="宋体" w:eastAsia="宋体" w:hint="default"/>
          <w:spacing w:val="-2"/>
        </w:rPr>
        <w:t>11.43</w:t>
      </w:r>
      <w:r>
        <w:rPr>
          <w:spacing w:val="-2"/>
        </w:rPr>
        <w:t>亿元，成为国南网电能表项目的主要供应商之一。其中在国家电网统招中总中标</w:t>
      </w:r>
      <w:r>
        <w:rPr>
          <w:spacing w:val="-117"/>
        </w:rPr>
        <w:t> </w:t>
      </w:r>
      <w:r>
        <w:rPr>
          <w:spacing w:val="-117"/>
        </w:rPr>
      </w:r>
      <w:r>
        <w:rPr/>
        <w:t>金额排名第四，在南方电网统招中总中标金额排名第一。</w:t>
      </w:r>
    </w:p>
    <w:p>
      <w:pPr>
        <w:pStyle w:val="BodyText"/>
        <w:spacing w:line="297" w:lineRule="auto" w:before="17"/>
        <w:ind w:right="270"/>
        <w:jc w:val="both"/>
      </w:pPr>
      <w:r>
        <w:rPr/>
        <w:t>报告期内，公司各级子公司经营亮点频频，“战略协同，自主管理”的子公司管理策略 取得成效。华立科技系统战略持续推进，厚达公司在自动化检定流水线领域力拔头筹，泰国 公司营业收入和利润均创历史新高，重庆泰捷也取得较好的经营业绩。子公司盈利能力的提 升进一步夯实了公司后续发展的基础。</w:t>
      </w:r>
    </w:p>
    <w:p>
      <w:pPr>
        <w:pStyle w:val="BodyText"/>
        <w:spacing w:line="297" w:lineRule="auto" w:before="17"/>
        <w:ind w:right="270"/>
        <w:jc w:val="both"/>
      </w:pPr>
      <w:r>
        <w:rPr/>
        <w:t>报告期内，为减少经营风险和其他损失，公司继续剥离不良资产，抓紧对原重庆华立药 业遗留的不良资产的处置工作。先后完成了重庆美联制药有限公司的股权及债权转让、重庆 总商会大厦房产转让、重庆光宇大厦房产转让等工作，并正在进行洪雅美联曼地亚红豆杉种 植有限公司的股权及债权转让、重庆北碚同兴工业园区厂房及土地转让等工作。</w:t>
      </w:r>
    </w:p>
    <w:p>
      <w:pPr>
        <w:pStyle w:val="BodyText"/>
        <w:spacing w:line="297" w:lineRule="auto" w:before="17"/>
        <w:ind w:right="226"/>
        <w:jc w:val="left"/>
      </w:pPr>
      <w:r>
        <w:rPr/>
        <w:t>报告期内，公司持续推进“系统战略”，公司子公司华立仪表集团股份有限公司收购了 公司控股股东华立集团股份有限公司持有的浙江华立科技有限公司</w:t>
      </w:r>
      <w:r>
        <w:rPr>
          <w:rFonts w:ascii="宋体" w:hAnsi="宋体" w:cs="宋体" w:eastAsia="宋体" w:hint="default"/>
        </w:rPr>
        <w:t>100%</w:t>
      </w:r>
      <w:r>
        <w:rPr/>
        <w:t>股权，在国家电网系 统产品集中招标的供应商中，公司名列第二名；为推动“海外战略”，公司子公司华立仪表 集团股份有限公司投资组建了印尼能源公司和乌兹互感器公司；为实现向“智能电网需求侧 整体解决方案提供商”的转型，公司子公司华立仪表集团股份有限公司与美国</w:t>
      </w:r>
      <w:r>
        <w:rPr>
          <w:rFonts w:ascii="宋体" w:hAnsi="宋体" w:cs="宋体" w:eastAsia="宋体" w:hint="default"/>
        </w:rPr>
        <w:t>Echelon </w:t>
      </w:r>
      <w:r>
        <w:rPr>
          <w:rFonts w:ascii="宋体" w:hAnsi="宋体" w:cs="宋体" w:eastAsia="宋体" w:hint="default"/>
          <w:spacing w:val="-2"/>
        </w:rPr>
        <w:t>Corporation</w:t>
      </w:r>
      <w:r>
        <w:rPr>
          <w:spacing w:val="-2"/>
        </w:rPr>
        <w:t>（简称：埃施朗公司）共同出资组建了浙江埃施朗华科技有限公司。为改善公司</w:t>
      </w:r>
      <w:r>
        <w:rPr>
          <w:spacing w:val="-110"/>
        </w:rPr>
        <w:t> </w:t>
      </w:r>
      <w:r>
        <w:rPr>
          <w:spacing w:val="-110"/>
        </w:rPr>
      </w:r>
      <w:r>
        <w:rPr/>
        <w:t>母公司的经营和现金流状况，公司组建了贸易部，试水“化工产品”的国内贸易业务。</w:t>
      </w:r>
    </w:p>
    <w:p>
      <w:pPr>
        <w:spacing w:line="240" w:lineRule="auto" w:before="6"/>
        <w:rPr>
          <w:rFonts w:ascii="宋体" w:hAnsi="宋体" w:cs="宋体" w:eastAsia="宋体" w:hint="default"/>
          <w:sz w:val="21"/>
          <w:szCs w:val="21"/>
        </w:rPr>
      </w:pPr>
    </w:p>
    <w:p>
      <w:pPr>
        <w:pStyle w:val="Heading3"/>
        <w:spacing w:line="240" w:lineRule="auto" w:before="0"/>
        <w:ind w:right="222"/>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52" w:right="2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97" w:lineRule="auto" w:before="0"/>
        <w:ind w:right="96"/>
        <w:jc w:val="left"/>
      </w:pPr>
      <w:r>
        <w:rPr>
          <w:rFonts w:ascii="宋体" w:hAnsi="宋体" w:cs="宋体" w:eastAsia="宋体" w:hint="default"/>
        </w:rPr>
        <w:t>2012</w:t>
      </w:r>
      <w:r>
        <w:rPr/>
        <w:t>年，公司继续稳健改善经营，完成董事会下达的各项经营指标。全年实现主营业务 </w:t>
      </w:r>
      <w:r>
        <w:rPr>
          <w:spacing w:val="-5"/>
        </w:rPr>
        <w:t>收入</w:t>
      </w:r>
      <w:r>
        <w:rPr>
          <w:rFonts w:ascii="宋体" w:hAnsi="宋体" w:cs="宋体" w:eastAsia="宋体" w:hint="default"/>
          <w:spacing w:val="-5"/>
        </w:rPr>
        <w:t>176,788.86</w:t>
      </w:r>
      <w:r>
        <w:rPr>
          <w:spacing w:val="-5"/>
        </w:rPr>
        <w:t>万元，比去年同期略有增长；主营业务毛利率同比上升</w:t>
      </w:r>
      <w:r>
        <w:rPr>
          <w:rFonts w:ascii="宋体" w:hAnsi="宋体" w:cs="宋体" w:eastAsia="宋体" w:hint="default"/>
          <w:spacing w:val="-5"/>
        </w:rPr>
        <w:t>4.30%</w:t>
      </w:r>
      <w:r>
        <w:rPr>
          <w:spacing w:val="-5"/>
        </w:rPr>
        <w:t>，且波动性较小；</w:t>
      </w:r>
      <w:r>
        <w:rPr>
          <w:spacing w:val="-79"/>
        </w:rPr>
        <w:t> </w:t>
      </w:r>
      <w:r>
        <w:rPr>
          <w:spacing w:val="-79"/>
        </w:rPr>
      </w:r>
      <w:r>
        <w:rPr/>
        <w:t>国内市场保持稳健增长，但由于海外市场增长未达预期目标，导致整体毛利额增长有限。</w:t>
      </w:r>
    </w:p>
    <w:p>
      <w:pPr>
        <w:spacing w:after="0" w:line="297" w:lineRule="auto"/>
        <w:jc w:val="left"/>
        <w:sectPr>
          <w:pgSz w:w="11910" w:h="16840"/>
          <w:pgMar w:header="745" w:footer="979" w:top="1060" w:bottom="1160" w:left="980" w:right="900"/>
        </w:sectPr>
      </w:pPr>
    </w:p>
    <w:p>
      <w:pPr>
        <w:spacing w:line="240" w:lineRule="auto" w:before="8"/>
        <w:rPr>
          <w:rFonts w:ascii="宋体" w:hAnsi="宋体" w:cs="宋体" w:eastAsia="宋体" w:hint="default"/>
          <w:sz w:val="26"/>
          <w:szCs w:val="26"/>
        </w:rPr>
      </w:pPr>
    </w:p>
    <w:p>
      <w:pPr>
        <w:pStyle w:val="BodyText"/>
        <w:spacing w:line="297" w:lineRule="auto" w:before="26"/>
        <w:ind w:right="231"/>
        <w:jc w:val="both"/>
      </w:pPr>
      <w:r>
        <w:rPr/>
        <w:t>在国内市场方面，伴随着国家电网和南方电网电能表产品集中统一招标的全面推开，国 </w:t>
      </w:r>
      <w:r>
        <w:rPr>
          <w:spacing w:val="-2"/>
        </w:rPr>
        <w:t>南网统招数量在国内电能表市场所占经营比例已超过</w:t>
      </w:r>
      <w:r>
        <w:rPr>
          <w:rFonts w:ascii="宋体" w:hAnsi="宋体" w:cs="宋体" w:eastAsia="宋体" w:hint="default"/>
          <w:spacing w:val="-2"/>
        </w:rPr>
        <w:t>60%</w:t>
      </w:r>
      <w:r>
        <w:rPr>
          <w:spacing w:val="-2"/>
        </w:rPr>
        <w:t>以上。为此，公司妥善应对这一市场</w:t>
      </w:r>
      <w:r>
        <w:rPr>
          <w:spacing w:val="-117"/>
        </w:rPr>
        <w:t> </w:t>
      </w:r>
      <w:r>
        <w:rPr>
          <w:spacing w:val="-117"/>
        </w:rPr>
      </w:r>
      <w:r>
        <w:rPr/>
        <w:t>变化，在国家电网和南方电网集中统一招标中取得优良业绩：</w:t>
      </w:r>
      <w:r>
        <w:rPr>
          <w:rFonts w:ascii="宋体" w:hAnsi="宋体" w:cs="宋体" w:eastAsia="宋体" w:hint="default"/>
        </w:rPr>
        <w:t>2012</w:t>
      </w:r>
      <w:r>
        <w:rPr/>
        <w:t>年公司参加国家电网电能 表招标，中标</w:t>
      </w:r>
      <w:r>
        <w:rPr>
          <w:rFonts w:ascii="宋体" w:hAnsi="宋体" w:cs="宋体" w:eastAsia="宋体" w:hint="default"/>
        </w:rPr>
        <w:t>9.85</w:t>
      </w:r>
      <w:r>
        <w:rPr/>
        <w:t>亿元，在国家电网电能表供应商中排名第四，其中系统产品排名第二；在 南方电网电能表供应商中排名第一。除此之外，公司努力发挥自主销售的优势，自购市场接 单量超出预期。</w:t>
      </w:r>
    </w:p>
    <w:p>
      <w:pPr>
        <w:pStyle w:val="BodyText"/>
        <w:spacing w:line="297" w:lineRule="auto"/>
        <w:ind w:right="96"/>
        <w:jc w:val="left"/>
      </w:pPr>
      <w:r>
        <w:rPr/>
        <w:t>在海外市场方面，受制于全球性经济不景气的影响，公司海外战略推进未达预期。重点 </w:t>
      </w:r>
      <w:r>
        <w:rPr>
          <w:spacing w:val="-2"/>
        </w:rPr>
        <w:t>项目伊朗项目进展情况严重落后于预期，新市场拓展工作进展缓慢；除泰国公司一枝独秀外，</w:t>
      </w:r>
      <w:r>
        <w:rPr/>
        <w:t> 其他海外新基地、新增长点拓展乏力。</w:t>
      </w:r>
    </w:p>
    <w:p>
      <w:pPr>
        <w:pStyle w:val="BodyText"/>
        <w:spacing w:line="297" w:lineRule="auto" w:before="17"/>
        <w:ind w:right="269"/>
        <w:jc w:val="both"/>
      </w:pPr>
      <w:r>
        <w:rPr/>
        <w:t>报告期内，由于电能表市场格局的变化，公司积极开拓海外市场和自购市场，导致</w:t>
      </w:r>
      <w:r>
        <w:rPr>
          <w:rFonts w:ascii="宋体" w:hAnsi="宋体" w:cs="宋体" w:eastAsia="宋体" w:hint="default"/>
        </w:rPr>
        <w:t>2012 </w:t>
      </w:r>
      <w:r>
        <w:rPr/>
        <w:t>年公司销售费用比</w:t>
      </w:r>
      <w:r>
        <w:rPr>
          <w:rFonts w:ascii="宋体" w:hAnsi="宋体" w:cs="宋体" w:eastAsia="宋体" w:hint="default"/>
        </w:rPr>
        <w:t>2011</w:t>
      </w:r>
      <w:r>
        <w:rPr/>
        <w:t>年有所增加；但由于公司加强新产品的研发和市场推广力度，整体毛 利率有所增长。</w:t>
      </w:r>
    </w:p>
    <w:p>
      <w:pPr>
        <w:pStyle w:val="BodyText"/>
        <w:spacing w:line="297" w:lineRule="auto"/>
        <w:ind w:right="229"/>
        <w:jc w:val="both"/>
      </w:pPr>
      <w:r>
        <w:rPr>
          <w:rFonts w:ascii="宋体" w:hAnsi="宋体" w:cs="宋体" w:eastAsia="宋体" w:hint="default"/>
          <w:spacing w:val="-2"/>
        </w:rPr>
        <w:t>2012</w:t>
      </w:r>
      <w:r>
        <w:rPr>
          <w:spacing w:val="-2"/>
        </w:rPr>
        <w:t>年，公司直接研发投入持续保持增长，近三年每年均以复合增长率</w:t>
      </w:r>
      <w:r>
        <w:rPr>
          <w:rFonts w:ascii="宋体" w:hAnsi="宋体" w:cs="宋体" w:eastAsia="宋体" w:hint="default"/>
          <w:spacing w:val="-2"/>
        </w:rPr>
        <w:t>20%</w:t>
      </w:r>
      <w:r>
        <w:rPr>
          <w:spacing w:val="-2"/>
        </w:rPr>
        <w:t>以上的速度在</w:t>
      </w:r>
      <w:r>
        <w:rPr/>
        <w:t> 增长。</w:t>
      </w:r>
      <w:r>
        <w:rPr>
          <w:rFonts w:ascii="宋体" w:hAnsi="宋体" w:cs="宋体" w:eastAsia="宋体" w:hint="default"/>
        </w:rPr>
        <w:t>2012</w:t>
      </w:r>
      <w:r>
        <w:rPr/>
        <w:t>年共申报了</w:t>
      </w:r>
      <w:r>
        <w:rPr>
          <w:rFonts w:ascii="宋体" w:hAnsi="宋体" w:cs="宋体" w:eastAsia="宋体" w:hint="default"/>
        </w:rPr>
        <w:t>92</w:t>
      </w:r>
      <w:r>
        <w:rPr/>
        <w:t>项知识产权，其中发明专利</w:t>
      </w:r>
      <w:r>
        <w:rPr>
          <w:rFonts w:ascii="宋体" w:hAnsi="宋体" w:cs="宋体" w:eastAsia="宋体" w:hint="default"/>
        </w:rPr>
        <w:t>16</w:t>
      </w:r>
      <w:r>
        <w:rPr/>
        <w:t>项，比去年有所增长，累计申报知识 </w:t>
      </w:r>
      <w:r>
        <w:rPr>
          <w:spacing w:val="-2"/>
        </w:rPr>
        <w:t>产权为</w:t>
      </w:r>
      <w:r>
        <w:rPr>
          <w:rFonts w:ascii="宋体" w:hAnsi="宋体" w:cs="宋体" w:eastAsia="宋体" w:hint="default"/>
          <w:spacing w:val="-2"/>
        </w:rPr>
        <w:t>269</w:t>
      </w:r>
      <w:r>
        <w:rPr>
          <w:spacing w:val="-2"/>
        </w:rPr>
        <w:t>项；同时在</w:t>
      </w:r>
      <w:r>
        <w:rPr>
          <w:rFonts w:ascii="宋体" w:hAnsi="宋体" w:cs="宋体" w:eastAsia="宋体" w:hint="default"/>
          <w:spacing w:val="-2"/>
        </w:rPr>
        <w:t>2012</w:t>
      </w:r>
      <w:r>
        <w:rPr>
          <w:spacing w:val="-2"/>
        </w:rPr>
        <w:t>年中共参与</w:t>
      </w:r>
      <w:r>
        <w:rPr>
          <w:rFonts w:ascii="宋体" w:hAnsi="宋体" w:cs="宋体" w:eastAsia="宋体" w:hint="default"/>
          <w:spacing w:val="-2"/>
        </w:rPr>
        <w:t>31</w:t>
      </w:r>
      <w:r>
        <w:rPr>
          <w:spacing w:val="-2"/>
        </w:rPr>
        <w:t>项标准的制定和修订。从</w:t>
      </w:r>
      <w:r>
        <w:rPr>
          <w:rFonts w:ascii="宋体" w:hAnsi="宋体" w:cs="宋体" w:eastAsia="宋体" w:hint="default"/>
          <w:spacing w:val="-2"/>
        </w:rPr>
        <w:t>2011</w:t>
      </w:r>
      <w:r>
        <w:rPr>
          <w:spacing w:val="-2"/>
        </w:rPr>
        <w:t>年开始推行的公司级项</w:t>
      </w:r>
      <w:r>
        <w:rPr>
          <w:spacing w:val="-109"/>
        </w:rPr>
        <w:t> </w:t>
      </w:r>
      <w:r>
        <w:rPr>
          <w:spacing w:val="-3"/>
        </w:rPr>
        <w:t>目，顺利结项并持续推进；</w:t>
      </w:r>
      <w:r>
        <w:rPr>
          <w:rFonts w:ascii="宋体" w:hAnsi="宋体" w:cs="宋体" w:eastAsia="宋体" w:hint="default"/>
          <w:spacing w:val="-3"/>
        </w:rPr>
        <w:t>PLM</w:t>
      </w:r>
      <w:r>
        <w:rPr>
          <w:rFonts w:ascii="宋体" w:hAnsi="宋体" w:cs="宋体" w:eastAsia="宋体" w:hint="default"/>
          <w:spacing w:val="-34"/>
        </w:rPr>
        <w:t> </w:t>
      </w:r>
      <w:r>
        <w:rPr/>
        <w:t>项目计划已正式启动，计划</w:t>
      </w:r>
      <w:r>
        <w:rPr>
          <w:rFonts w:ascii="宋体" w:hAnsi="宋体" w:cs="宋体" w:eastAsia="宋体" w:hint="default"/>
        </w:rPr>
        <w:t>2013</w:t>
      </w:r>
      <w:r>
        <w:rPr/>
        <w:t>年</w:t>
      </w:r>
      <w:r>
        <w:rPr>
          <w:rFonts w:ascii="宋体" w:hAnsi="宋体" w:cs="宋体" w:eastAsia="宋体" w:hint="default"/>
        </w:rPr>
        <w:t>6</w:t>
      </w:r>
      <w:r>
        <w:rPr/>
        <w:t>月结束，目的是提升研发 效率，减少过程中的错误，提升研发管理能力。</w:t>
      </w:r>
    </w:p>
    <w:p>
      <w:pPr>
        <w:spacing w:line="240" w:lineRule="auto" w:before="4"/>
        <w:rPr>
          <w:rFonts w:ascii="宋体" w:hAnsi="宋体" w:cs="宋体" w:eastAsia="宋体" w:hint="default"/>
          <w:sz w:val="23"/>
          <w:szCs w:val="23"/>
        </w:rPr>
      </w:pPr>
    </w:p>
    <w:p>
      <w:pPr>
        <w:spacing w:before="0"/>
        <w:ind w:left="152" w:right="222" w:firstLine="0"/>
        <w:jc w:val="left"/>
        <w:rPr>
          <w:rFonts w:ascii="宋体" w:hAnsi="宋体" w:cs="宋体" w:eastAsia="宋体" w:hint="default"/>
          <w:sz w:val="21"/>
          <w:szCs w:val="21"/>
        </w:rPr>
      </w:pPr>
      <w:r>
        <w:rPr>
          <w:rFonts w:ascii="宋体" w:hAnsi="宋体" w:cs="宋体" w:eastAsia="宋体" w:hint="default"/>
          <w:b/>
          <w:bCs/>
          <w:sz w:val="21"/>
          <w:szCs w:val="21"/>
        </w:rPr>
        <w:t>公司回顾总结前期披露的发展战略和经营计划在报告期内的进展情况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p>
      <w:pPr>
        <w:pStyle w:val="BodyText"/>
        <w:spacing w:line="297" w:lineRule="auto" w:before="0"/>
        <w:ind w:right="269"/>
        <w:jc w:val="both"/>
      </w:pPr>
      <w:r>
        <w:rPr/>
        <w:t>报告期内，公司全面推动“行动学习小组”，子公司华立仪表集团股份有限公司在应收 款管理、生产效率提升、采购降本、质量提升、库存控制等方面取得了较好的成绩。</w:t>
      </w:r>
      <w:r>
        <w:rPr>
          <w:rFonts w:ascii="宋体" w:hAnsi="宋体" w:cs="宋体" w:eastAsia="宋体" w:hint="default"/>
        </w:rPr>
        <w:t>2012</w:t>
      </w:r>
      <w:r>
        <w:rPr/>
        <w:t>年 全年公司在长期应收账款管理方面取得很大突破，截止报告期末，两年以上应收账款同比下 降</w:t>
      </w:r>
      <w:r>
        <w:rPr>
          <w:rFonts w:ascii="宋体" w:hAnsi="宋体" w:cs="宋体" w:eastAsia="宋体" w:hint="default"/>
        </w:rPr>
        <w:t>41.37%</w:t>
      </w:r>
      <w:r>
        <w:rPr/>
        <w:t>。制造部通过行动学习，整体生产效率提升约</w:t>
      </w:r>
      <w:r>
        <w:rPr>
          <w:rFonts w:ascii="宋体" w:hAnsi="宋体" w:cs="宋体" w:eastAsia="宋体" w:hint="default"/>
        </w:rPr>
        <w:t>6%</w:t>
      </w:r>
      <w:r>
        <w:rPr/>
        <w:t>，从而杭州生产基地在当量下降的 前提下，生产制造成本保持不变。采购部门在实际采购金额下降的情况下实现降本目标，为 今年毛利率增长和完成经营目标做出很大贡献。得益于自动化生产的提高（</w:t>
      </w:r>
      <w:r>
        <w:rPr>
          <w:rFonts w:ascii="宋体" w:hAnsi="宋体" w:cs="宋体" w:eastAsia="宋体" w:hint="default"/>
        </w:rPr>
        <w:t>AOI</w:t>
      </w:r>
      <w:r>
        <w:rPr/>
        <w:t>、</w:t>
      </w:r>
      <w:r>
        <w:rPr>
          <w:rFonts w:ascii="宋体" w:hAnsi="宋体" w:cs="宋体" w:eastAsia="宋体" w:hint="default"/>
        </w:rPr>
        <w:t>FCT</w:t>
      </w:r>
      <w:r>
        <w:rPr/>
        <w:t>、制程 系统）以及各个质量项目提升，公司电能表及系统终端产品质量持续提升，抽检合格率提升 明显。</w:t>
      </w:r>
    </w:p>
    <w:p>
      <w:pPr>
        <w:pStyle w:val="BodyText"/>
        <w:spacing w:line="297" w:lineRule="auto"/>
        <w:ind w:right="96"/>
        <w:jc w:val="left"/>
      </w:pPr>
      <w:r>
        <w:rPr/>
        <w:t>报告期内，公司子公司华立仪表集团股份有限公司“战略协同，自主管理”的子公司管 理策略取得成效。华立科技公司系统战略持续推进，国网招标系统产品名列第二，业绩创新 高；泰国公司十年磨一剑，营业收入、利润都创历史新高；厚达公司占据自动检定流水线市 场</w:t>
      </w:r>
      <w:r>
        <w:rPr>
          <w:rFonts w:ascii="宋体" w:hAnsi="宋体" w:cs="宋体" w:eastAsia="宋体" w:hint="default"/>
        </w:rPr>
        <w:t>37%</w:t>
      </w:r>
      <w:r>
        <w:rPr/>
        <w:t>占有率，为细分市场第一名，</w:t>
      </w:r>
      <w:r>
        <w:rPr>
          <w:rFonts w:ascii="宋体" w:hAnsi="宋体" w:cs="宋体" w:eastAsia="宋体" w:hint="default"/>
        </w:rPr>
        <w:t>2012</w:t>
      </w:r>
      <w:r>
        <w:rPr/>
        <w:t>年获得理想招标额，当年盈利良好；重庆泰捷公司发 挥协同战略，也取得最好业绩；利源公司营业收入连续两年</w:t>
      </w:r>
      <w:r>
        <w:rPr>
          <w:rFonts w:ascii="宋体" w:hAnsi="宋体" w:cs="宋体" w:eastAsia="宋体" w:hint="default"/>
        </w:rPr>
        <w:t>50%</w:t>
      </w:r>
      <w:r>
        <w:rPr/>
        <w:t>增长，开始步入盈利期；但是 </w:t>
      </w:r>
      <w:r>
        <w:rPr>
          <w:spacing w:val="-2"/>
        </w:rPr>
        <w:t>子公司里仍然存在埃施朗华合资公司、印尼公司经营亏损。母子公司盈利仍然呈现前低后高，</w:t>
      </w:r>
      <w:r>
        <w:rPr/>
        <w:t> 整体盈利能力逐步稳定，下半年利润总额超过预期。</w:t>
      </w:r>
    </w:p>
    <w:p>
      <w:pPr>
        <w:pStyle w:val="BodyText"/>
        <w:spacing w:line="240" w:lineRule="auto" w:before="17"/>
        <w:ind w:left="633" w:right="222" w:firstLine="0"/>
        <w:jc w:val="left"/>
      </w:pPr>
      <w:r>
        <w:rPr/>
        <w:t>报告期内，公司高度重视技术创新及管理创新，子公司华立仪表集团股份有限公司获得</w:t>
      </w:r>
    </w:p>
    <w:p>
      <w:pPr>
        <w:spacing w:after="0" w:line="240" w:lineRule="auto"/>
        <w:jc w:val="left"/>
        <w:sectPr>
          <w:pgSz w:w="11910" w:h="16840"/>
          <w:pgMar w:header="745" w:footer="979" w:top="1060" w:bottom="1160" w:left="980" w:right="900"/>
        </w:sectPr>
      </w:pPr>
    </w:p>
    <w:p>
      <w:pPr>
        <w:spacing w:line="240" w:lineRule="auto" w:before="8"/>
        <w:rPr>
          <w:rFonts w:ascii="宋体" w:hAnsi="宋体" w:cs="宋体" w:eastAsia="宋体" w:hint="default"/>
          <w:sz w:val="26"/>
          <w:szCs w:val="26"/>
        </w:rPr>
      </w:pPr>
    </w:p>
    <w:p>
      <w:pPr>
        <w:pStyle w:val="BodyText"/>
        <w:spacing w:line="297" w:lineRule="auto" w:before="26"/>
        <w:ind w:right="152" w:firstLine="0"/>
        <w:jc w:val="both"/>
      </w:pPr>
      <w:r>
        <w:rPr/>
        <w:t>中国质量诚信企业（电能表行业唯一）、浙江省质量管理创新项目奖（全省共五家）、国家 火炬计划重点高新技术企业、浙江省科学技术奖二等奖；子公司华立仪表集团股份有限公司 </w:t>
      </w:r>
      <w:r>
        <w:rPr>
          <w:spacing w:val="-2"/>
        </w:rPr>
        <w:t>研发的“基于物联网技术的</w:t>
      </w:r>
      <w:r>
        <w:rPr>
          <w:rFonts w:ascii="宋体" w:hAnsi="宋体" w:cs="宋体" w:eastAsia="宋体" w:hint="default"/>
          <w:spacing w:val="-2"/>
        </w:rPr>
        <w:t>AMI</w:t>
      </w:r>
      <w:r>
        <w:rPr>
          <w:spacing w:val="-2"/>
        </w:rPr>
        <w:t>智能用电系统”项目被杭州市科技委员会列入杭州市重大科技</w:t>
      </w:r>
      <w:r>
        <w:rPr/>
        <w:t> </w:t>
      </w:r>
      <w:r>
        <w:rPr>
          <w:spacing w:val="-2"/>
        </w:rPr>
        <w:t>创新项目计划、“基于</w:t>
      </w:r>
      <w:r>
        <w:rPr>
          <w:rFonts w:ascii="宋体" w:hAnsi="宋体" w:cs="宋体" w:eastAsia="宋体" w:hint="default"/>
          <w:spacing w:val="-2"/>
        </w:rPr>
        <w:t>MID</w:t>
      </w:r>
      <w:r>
        <w:rPr>
          <w:spacing w:val="-2"/>
        </w:rPr>
        <w:t>指令的智能电能表”项目通过浙江省经济和信息化委员会新产品鉴</w:t>
      </w:r>
      <w:r>
        <w:rPr/>
        <w:t> 定及获得浙江省工业新产品荣誉；卓越绩效奖在余杭区现场评审中名列第一。</w:t>
      </w:r>
    </w:p>
    <w:p>
      <w:pPr>
        <w:spacing w:before="65"/>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97" w:lineRule="auto" w:before="0"/>
        <w:ind w:right="152"/>
        <w:jc w:val="both"/>
      </w:pPr>
      <w:r>
        <w:rPr/>
        <w:t>报告期内，公司主营业务电能表产业继续维持稳定增长。公司子公司华立仪表集团股份 有限公司在国家电网公司及南方电网公司的电能表集中规模招标采购项目中多次中标，累计 </w:t>
      </w:r>
      <w:r>
        <w:rPr>
          <w:spacing w:val="-2"/>
        </w:rPr>
        <w:t>中标金额</w:t>
      </w:r>
      <w:r>
        <w:rPr>
          <w:rFonts w:ascii="宋体" w:hAnsi="宋体" w:cs="宋体" w:eastAsia="宋体" w:hint="default"/>
          <w:spacing w:val="-2"/>
        </w:rPr>
        <w:t>11.43</w:t>
      </w:r>
      <w:r>
        <w:rPr>
          <w:spacing w:val="-2"/>
        </w:rPr>
        <w:t>亿元，成为国南网电能表项目的主要供应商之一。其中在国家电网统招中总中</w:t>
      </w:r>
      <w:r>
        <w:rPr>
          <w:spacing w:val="-116"/>
        </w:rPr>
        <w:t> </w:t>
      </w:r>
      <w:r>
        <w:rPr>
          <w:spacing w:val="-116"/>
        </w:rPr>
      </w:r>
      <w:r>
        <w:rPr/>
        <w:t>标金额排名第四，在南方电网统招中总中标金额排名第一。由于公司注重产品结构的调整， 因此公司虽然</w:t>
      </w:r>
      <w:r>
        <w:rPr>
          <w:rFonts w:ascii="宋体" w:hAnsi="宋体" w:cs="宋体" w:eastAsia="宋体" w:hint="default"/>
        </w:rPr>
        <w:t>2012</w:t>
      </w:r>
      <w:r>
        <w:rPr/>
        <w:t>年销售电能表产品数量有所下降，但是实际销售收入维持稳定。</w:t>
      </w:r>
    </w:p>
    <w:p>
      <w:pPr>
        <w:spacing w:before="68"/>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1,068.28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-7.39%</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公司重大的在手订单情况</w:t>
      </w:r>
    </w:p>
    <w:p>
      <w:pPr>
        <w:spacing w:line="338" w:lineRule="auto" w:before="41"/>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3"/>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292,355,182.78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79,553,493.06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Provincial Electricity</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Authority</w:t>
            </w:r>
            <w:r>
              <w:rPr>
                <w:rFonts w:ascii="宋体" w:hAnsi="宋体" w:cs="宋体" w:eastAsia="宋体" w:hint="default"/>
                <w:sz w:val="18"/>
                <w:szCs w:val="18"/>
              </w:rPr>
              <w:t>（泰国）</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65,781,554.21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乌中合资电子仪表有限公司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50,952,444.58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58,538,830.93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37,528,860.00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292,355,182.78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34"/>
        <w:gridCol w:w="1659"/>
        <w:gridCol w:w="1075"/>
        <w:gridCol w:w="1618"/>
        <w:gridCol w:w="1117"/>
        <w:gridCol w:w="1368"/>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6"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79"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01"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03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1,108,267,502.24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1,234,530,348.59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紫杉醇及其相关产品 销售</w:t>
            </w:r>
          </w:p>
        </w:tc>
        <w:tc>
          <w:tcPr>
            <w:tcW w:w="103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921,148.53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143,472.26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化工品</w:t>
            </w:r>
          </w:p>
        </w:tc>
        <w:tc>
          <w:tcPr>
            <w:tcW w:w="103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37,527,985.80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6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360"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1"/>
          <w:sz w:val="18"/>
          <w:szCs w:val="18"/>
        </w:rPr>
        <w:t>本期电力仪器仪表行业，原材料占总成本的</w:t>
      </w:r>
      <w:r>
        <w:rPr>
          <w:rFonts w:ascii="Times New Roman" w:hAnsi="Times New Roman" w:cs="Times New Roman" w:eastAsia="Times New Roman" w:hint="default"/>
          <w:spacing w:val="-1"/>
          <w:sz w:val="18"/>
          <w:szCs w:val="18"/>
        </w:rPr>
        <w:t>90.3%</w:t>
      </w:r>
      <w:r>
        <w:rPr>
          <w:rFonts w:ascii="宋体" w:hAnsi="宋体" w:cs="宋体" w:eastAsia="宋体" w:hint="default"/>
          <w:spacing w:val="-1"/>
          <w:sz w:val="18"/>
          <w:szCs w:val="18"/>
        </w:rPr>
        <w:t>，人力成本占总成本的</w:t>
      </w:r>
      <w:r>
        <w:rPr>
          <w:rFonts w:ascii="Times New Roman" w:hAnsi="Times New Roman" w:cs="Times New Roman" w:eastAsia="Times New Roman" w:hint="default"/>
          <w:spacing w:val="-1"/>
          <w:sz w:val="18"/>
          <w:szCs w:val="18"/>
        </w:rPr>
        <w:t>2.49%</w:t>
      </w:r>
      <w:r>
        <w:rPr>
          <w:rFonts w:ascii="宋体" w:hAnsi="宋体" w:cs="宋体" w:eastAsia="宋体" w:hint="default"/>
          <w:spacing w:val="-1"/>
          <w:sz w:val="18"/>
          <w:szCs w:val="18"/>
        </w:rPr>
        <w:t>，折旧占</w:t>
      </w:r>
      <w:r>
        <w:rPr>
          <w:rFonts w:ascii="Times New Roman" w:hAnsi="Times New Roman" w:cs="Times New Roman" w:eastAsia="Times New Roman" w:hint="default"/>
          <w:spacing w:val="-1"/>
          <w:sz w:val="18"/>
          <w:szCs w:val="18"/>
        </w:rPr>
        <w:t>0.77%</w:t>
      </w:r>
      <w:r>
        <w:rPr>
          <w:rFonts w:ascii="宋体" w:hAnsi="宋体" w:cs="宋体" w:eastAsia="宋体" w:hint="default"/>
          <w:spacing w:val="-1"/>
          <w:sz w:val="18"/>
          <w:szCs w:val="18"/>
        </w:rPr>
        <w:t>；去年同期原材料占总成本的</w:t>
      </w:r>
    </w:p>
    <w:p>
      <w:pPr>
        <w:spacing w:line="212"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91.8%</w:t>
      </w:r>
      <w:r>
        <w:rPr>
          <w:rFonts w:ascii="宋体" w:hAnsi="宋体" w:cs="宋体" w:eastAsia="宋体" w:hint="default"/>
          <w:sz w:val="18"/>
          <w:szCs w:val="18"/>
        </w:rPr>
        <w:t>，人力成本占比的</w:t>
      </w:r>
      <w:r>
        <w:rPr>
          <w:rFonts w:ascii="Times New Roman" w:hAnsi="Times New Roman" w:cs="Times New Roman" w:eastAsia="Times New Roman" w:hint="default"/>
          <w:sz w:val="18"/>
          <w:szCs w:val="18"/>
        </w:rPr>
        <w:t>1.81%</w:t>
      </w:r>
      <w:r>
        <w:rPr>
          <w:rFonts w:ascii="宋体" w:hAnsi="宋体" w:cs="宋体" w:eastAsia="宋体" w:hint="default"/>
          <w:sz w:val="18"/>
          <w:szCs w:val="18"/>
        </w:rPr>
        <w:t>，折旧占</w:t>
      </w:r>
      <w:r>
        <w:rPr>
          <w:rFonts w:ascii="Times New Roman" w:hAnsi="Times New Roman" w:cs="Times New Roman" w:eastAsia="Times New Roman" w:hint="default"/>
          <w:sz w:val="18"/>
          <w:szCs w:val="18"/>
        </w:rPr>
        <w:t>0.33%</w:t>
      </w:r>
      <w:r>
        <w:rPr>
          <w:rFonts w:ascii="宋体" w:hAnsi="宋体" w:cs="宋体" w:eastAsia="宋体" w:hint="default"/>
          <w:sz w:val="18"/>
          <w:szCs w:val="18"/>
        </w:rPr>
        <w:t>。</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271,462,491.20</w:t>
            </w:r>
          </w:p>
        </w:tc>
      </w:tr>
      <w:tr>
        <w:trPr>
          <w:trHeight w:val="401"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37.97%</w:t>
            </w:r>
          </w:p>
        </w:tc>
      </w:tr>
    </w:tbl>
    <w:p>
      <w:pPr>
        <w:spacing w:before="49"/>
        <w:ind w:left="152" w:right="0" w:firstLine="0"/>
        <w:jc w:val="left"/>
        <w:rPr>
          <w:rFonts w:ascii="宋体" w:hAnsi="宋体" w:cs="宋体" w:eastAsia="宋体" w:hint="default"/>
          <w:sz w:val="18"/>
          <w:szCs w:val="18"/>
        </w:rPr>
      </w:pPr>
      <w:r>
        <w:rPr/>
        <w:pict>
          <v:shape style="position:absolute;margin-left:263.570007pt;margin-top:-20.038269pt;width:270.2pt;height:19.6pt;mso-position-horizontal-relative:page;mso-position-vertical-relative:paragraph;z-index:-8396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38269pt;width:262.75pt;height:19.6pt;mso-position-horizontal-relative:page;mso-position-vertical-relative:paragraph;z-index:-839632"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89,589,141.28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杭州正冠电器有限公司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79,226,006.98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浙江永昌仪表有限公司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39,386,904.10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杭州金城仪表元件有限公司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36,823,828.81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南京南瑞集团公司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26,436,610.00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271,462,491.20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97" w:lineRule="auto" w:before="0"/>
        <w:ind w:right="190"/>
        <w:jc w:val="both"/>
      </w:pPr>
      <w:r>
        <w:rPr>
          <w:rFonts w:ascii="宋体" w:hAnsi="宋体" w:cs="宋体" w:eastAsia="宋体" w:hint="default"/>
        </w:rPr>
        <w:t>(1)</w:t>
      </w:r>
      <w:r>
        <w:rPr>
          <w:rFonts w:ascii="宋体" w:hAnsi="宋体" w:cs="宋体" w:eastAsia="宋体" w:hint="default"/>
          <w:spacing w:val="-1"/>
        </w:rPr>
        <w:t> </w:t>
      </w:r>
      <w:r>
        <w:rPr/>
        <w:t>营业税金及附加本期数较上年同期数增长</w:t>
      </w:r>
      <w:r>
        <w:rPr>
          <w:rFonts w:ascii="宋体" w:hAnsi="宋体" w:cs="宋体" w:eastAsia="宋体" w:hint="default"/>
        </w:rPr>
        <w:t>81.17%</w:t>
      </w:r>
      <w:r>
        <w:rPr/>
        <w:t>，主要系销项税与进项税未保持同 步，当期用于抵扣销项税的进项税额减少，应纳增值税增加，相应的附加税金增加。</w:t>
      </w:r>
    </w:p>
    <w:p>
      <w:pPr>
        <w:pStyle w:val="BodyText"/>
        <w:spacing w:line="297" w:lineRule="auto"/>
        <w:ind w:right="151"/>
        <w:jc w:val="both"/>
      </w:pPr>
      <w:r>
        <w:rPr>
          <w:rFonts w:ascii="宋体" w:hAnsi="宋体" w:cs="宋体" w:eastAsia="宋体" w:hint="default"/>
        </w:rPr>
        <w:t>(2)</w:t>
      </w:r>
      <w:r>
        <w:rPr>
          <w:rFonts w:ascii="宋体" w:hAnsi="宋体" w:cs="宋体" w:eastAsia="宋体" w:hint="default"/>
          <w:spacing w:val="34"/>
        </w:rPr>
        <w:t> </w:t>
      </w:r>
      <w:r>
        <w:rPr>
          <w:spacing w:val="-3"/>
        </w:rPr>
        <w:t>资产减值损失本期数较上年同期数增长</w:t>
      </w:r>
      <w:r>
        <w:rPr>
          <w:rFonts w:ascii="宋体" w:hAnsi="宋体" w:cs="宋体" w:eastAsia="宋体" w:hint="default"/>
          <w:spacing w:val="-3"/>
        </w:rPr>
        <w:t>277.11%</w:t>
      </w:r>
      <w:r>
        <w:rPr>
          <w:spacing w:val="-3"/>
        </w:rPr>
        <w:t>，主要系应收账款增加，坏账准备计</w:t>
      </w:r>
      <w:r>
        <w:rPr/>
        <w:t> 提增加。</w:t>
      </w:r>
    </w:p>
    <w:p>
      <w:pPr>
        <w:pStyle w:val="BodyText"/>
        <w:spacing w:line="297" w:lineRule="auto"/>
        <w:ind w:right="152"/>
        <w:jc w:val="both"/>
      </w:pPr>
      <w:r>
        <w:rPr>
          <w:rFonts w:ascii="宋体" w:hAnsi="宋体" w:cs="宋体" w:eastAsia="宋体" w:hint="default"/>
        </w:rPr>
        <w:t>(3)</w:t>
      </w:r>
      <w:r>
        <w:rPr>
          <w:rFonts w:ascii="宋体" w:hAnsi="宋体" w:cs="宋体" w:eastAsia="宋体" w:hint="default"/>
          <w:spacing w:val="34"/>
        </w:rPr>
        <w:t> </w:t>
      </w:r>
      <w:r>
        <w:rPr>
          <w:spacing w:val="-3"/>
        </w:rPr>
        <w:t>投资收益本期数较上年同期数降低</w:t>
      </w:r>
      <w:r>
        <w:rPr>
          <w:rFonts w:ascii="宋体" w:hAnsi="宋体" w:cs="宋体" w:eastAsia="宋体" w:hint="default"/>
          <w:spacing w:val="-3"/>
        </w:rPr>
        <w:t>248.16%</w:t>
      </w:r>
      <w:r>
        <w:rPr>
          <w:spacing w:val="-3"/>
        </w:rPr>
        <w:t>，主要系本期处置子公司重庆美联制药有</w:t>
      </w:r>
      <w:r>
        <w:rPr/>
        <w:t> 限公司产生损失，及挂牌转让子公司洪雅美联曼地亚红豆杉种植有限公司预计处置损失。</w:t>
      </w:r>
    </w:p>
    <w:p>
      <w:pPr>
        <w:pStyle w:val="BodyText"/>
        <w:spacing w:line="297" w:lineRule="auto"/>
        <w:ind w:right="151"/>
        <w:jc w:val="both"/>
      </w:pPr>
      <w:r>
        <w:rPr>
          <w:rFonts w:ascii="宋体" w:hAnsi="宋体" w:cs="宋体" w:eastAsia="宋体" w:hint="default"/>
        </w:rPr>
        <w:t>(4)</w:t>
      </w:r>
      <w:r>
        <w:rPr>
          <w:rFonts w:ascii="宋体" w:hAnsi="宋体" w:cs="宋体" w:eastAsia="宋体" w:hint="default"/>
          <w:spacing w:val="34"/>
        </w:rPr>
        <w:t> </w:t>
      </w:r>
      <w:r>
        <w:rPr>
          <w:spacing w:val="-3"/>
        </w:rPr>
        <w:t>营业外收入本期数较上年同期数增长</w:t>
      </w:r>
      <w:r>
        <w:rPr>
          <w:rFonts w:ascii="宋体" w:hAnsi="宋体" w:cs="宋体" w:eastAsia="宋体" w:hint="default"/>
          <w:spacing w:val="-3"/>
        </w:rPr>
        <w:t>276.02%</w:t>
      </w:r>
      <w:r>
        <w:rPr>
          <w:spacing w:val="-3"/>
        </w:rPr>
        <w:t>，主要系本期拆迁收回上坟山土地，及</w:t>
      </w:r>
      <w:r>
        <w:rPr/>
        <w:t> 出售位于重庆的土地及房产。</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p>
      <w:pPr>
        <w:pStyle w:val="BodyText"/>
        <w:spacing w:line="297" w:lineRule="auto" w:before="0"/>
        <w:ind w:right="191"/>
        <w:jc w:val="both"/>
      </w:pPr>
      <w:r>
        <w:rPr/>
        <w:t>公司致力成为中国领先的智能电网需求侧整体解决方案的提供商，围绕智能电表、智能 配电系统、电力计量及电力质量管理系统等开展了一系列的研发项目，本报告期研发支出总 额占净资产的</w:t>
      </w:r>
      <w:r>
        <w:rPr>
          <w:rFonts w:ascii="宋体" w:hAnsi="宋体" w:cs="宋体" w:eastAsia="宋体" w:hint="default"/>
        </w:rPr>
        <w:t>14.11%</w:t>
      </w:r>
      <w:r>
        <w:rPr/>
        <w:t>、占营业收入的</w:t>
      </w:r>
      <w:r>
        <w:rPr>
          <w:rFonts w:ascii="宋体" w:hAnsi="宋体" w:cs="宋体" w:eastAsia="宋体" w:hint="default"/>
        </w:rPr>
        <w:t>4.41%</w:t>
      </w:r>
      <w:r>
        <w:rPr/>
        <w:t>。</w:t>
      </w:r>
    </w:p>
    <w:p>
      <w:pPr>
        <w:spacing w:line="240" w:lineRule="auto" w:before="6"/>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1,834,356,395.19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1,782,717,803.32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1,785,126,144.64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1,639,513,298.29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49,230,250.55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143,204,505.03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60,235,200.23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86,775,116.50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85,715,183.95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51,135,259.02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-25,479,983.72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35,639,857.48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-171.49%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1,007,951,108.91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878,337,711.32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1,003,936,268.84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1,007,982,980.18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4,014,840.07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-129,645,268.86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27,786,186.51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47,571,627.63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4"/>
        <w:ind w:left="152" w:right="38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报告期内公司经营活动的现金流量与本年度净利润存在重大差异的原因说明</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2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before="0"/>
        <w:ind w:left="252" w:right="102"/>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02"/>
        <w:gridCol w:w="1561"/>
        <w:gridCol w:w="1416"/>
        <w:gridCol w:w="931"/>
        <w:gridCol w:w="1366"/>
        <w:gridCol w:w="1369"/>
        <w:gridCol w:w="1370"/>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毛利率</w:t>
            </w:r>
            <w:r>
              <w:rPr>
                <w:rFonts w:ascii="Times New Roman" w:hAnsi="Times New Roman" w:cs="Times New Roman" w:eastAsia="Times New Roman" w:hint="default"/>
                <w:spacing w:val="-1"/>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71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1,557,382,681.33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1,108,267,502.24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紫杉醇及其相关产品 销售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1,165,555.24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921,148.53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32.88%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38,241,075.25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37,527,985.80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1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1,557,382,681.33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1,108,267,502.24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紫杉醇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1,165,555.24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921,148.53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38,241,075.25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37,527,985.80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1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433,711,717.12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271,523,641.53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194,000,774.57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143,303,841.95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149,451,618.12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115,535,681.93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165,576,236.32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136,227,955.82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190,396,733.99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147,465,035.82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110,632,549.90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82,109,568.90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147,075,322.64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111,888,737.94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205,944,359.16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138,662,172.68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w:t>
            </w:r>
          </w:p>
        </w:tc>
      </w:tr>
    </w:tbl>
    <w:p>
      <w:pPr>
        <w:spacing w:before="49"/>
        <w:ind w:left="252" w:right="10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4"/>
        <w:ind w:left="2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before="0"/>
        <w:ind w:left="252" w:right="102"/>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2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368"/>
        <w:gridCol w:w="1610"/>
        <w:gridCol w:w="1111"/>
        <w:gridCol w:w="1442"/>
        <w:gridCol w:w="1122"/>
        <w:gridCol w:w="992"/>
        <w:gridCol w:w="1913"/>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721" w:type="dxa"/>
            <w:gridSpan w:val="2"/>
            <w:vMerge/>
            <w:tcBorders>
              <w:left w:val="single" w:sz="4" w:space="0" w:color="000000"/>
              <w:bottom w:val="single" w:sz="4" w:space="0" w:color="000000"/>
              <w:right w:val="single" w:sz="4" w:space="0" w:color="000000"/>
            </w:tcBorders>
            <w:shd w:val="clear" w:color="auto" w:fill="D2D2D2"/>
          </w:tcPr>
          <w:p>
            <w:pPr/>
          </w:p>
        </w:tc>
        <w:tc>
          <w:tcPr>
            <w:tcW w:w="2564"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07" w:right="9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06" w:right="109"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4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vMerge/>
            <w:tcBorders>
              <w:left w:val="single" w:sz="4" w:space="0" w:color="000000"/>
              <w:right w:val="single" w:sz="4" w:space="0" w:color="000000"/>
            </w:tcBorders>
            <w:shd w:val="clear" w:color="auto" w:fill="D2D2D2"/>
          </w:tcPr>
          <w:p>
            <w:pPr/>
          </w:p>
        </w:tc>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10" w:type="dxa"/>
            <w:vMerge/>
            <w:tcBorders>
              <w:left w:val="single" w:sz="4" w:space="0" w:color="000000"/>
              <w:bottom w:val="nil" w:sz="6" w:space="0" w:color="auto"/>
              <w:right w:val="single" w:sz="4" w:space="0" w:color="000000"/>
            </w:tcBorders>
            <w:shd w:val="clear" w:color="auto" w:fill="D2D2D2"/>
          </w:tcPr>
          <w:p>
            <w:pPr/>
          </w:p>
        </w:tc>
        <w:tc>
          <w:tcPr>
            <w:tcW w:w="1111" w:type="dxa"/>
            <w:vMerge/>
            <w:tcBorders>
              <w:left w:val="single" w:sz="4" w:space="0" w:color="000000"/>
              <w:right w:val="single" w:sz="4" w:space="0" w:color="000000"/>
            </w:tcBorders>
            <w:shd w:val="clear" w:color="auto" w:fill="D2D2D2"/>
          </w:tcPr>
          <w:p>
            <w:pPr/>
          </w:p>
        </w:tc>
        <w:tc>
          <w:tcPr>
            <w:tcW w:w="1442" w:type="dxa"/>
            <w:vMerge/>
            <w:tcBorders>
              <w:left w:val="single" w:sz="4" w:space="0" w:color="000000"/>
              <w:bottom w:val="nil" w:sz="6" w:space="0" w:color="auto"/>
              <w:right w:val="single" w:sz="4" w:space="0" w:color="000000"/>
            </w:tcBorders>
            <w:shd w:val="clear" w:color="auto" w:fill="D2D2D2"/>
          </w:tcPr>
          <w:p>
            <w:pPr/>
          </w:p>
        </w:tc>
        <w:tc>
          <w:tcPr>
            <w:tcW w:w="112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1" w:type="dxa"/>
            <w:vMerge/>
            <w:tcBorders>
              <w:left w:val="single" w:sz="4" w:space="0" w:color="000000"/>
              <w:bottom w:val="single" w:sz="4" w:space="0" w:color="000000"/>
              <w:right w:val="single" w:sz="4" w:space="0" w:color="000000"/>
            </w:tcBorders>
            <w:shd w:val="clear" w:color="auto" w:fill="D2D2D2"/>
          </w:tcPr>
          <w:p>
            <w:pPr/>
          </w:p>
        </w:tc>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435" w:right="0"/>
              <w:jc w:val="left"/>
              <w:rPr>
                <w:rFonts w:ascii="Times New Roman" w:hAnsi="Times New Roman" w:cs="Times New Roman" w:eastAsia="Times New Roman" w:hint="default"/>
                <w:sz w:val="18"/>
                <w:szCs w:val="18"/>
              </w:rPr>
            </w:pPr>
            <w:r>
              <w:rPr>
                <w:rFonts w:ascii="Times New Roman"/>
                <w:sz w:val="18"/>
              </w:rPr>
              <w:t>364,317,511.54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6" w:right="0"/>
              <w:jc w:val="left"/>
              <w:rPr>
                <w:rFonts w:ascii="Times New Roman" w:hAnsi="Times New Roman" w:cs="Times New Roman" w:eastAsia="Times New Roman" w:hint="default"/>
                <w:sz w:val="18"/>
                <w:szCs w:val="18"/>
              </w:rPr>
            </w:pPr>
            <w:r>
              <w:rPr>
                <w:rFonts w:ascii="Times New Roman"/>
                <w:sz w:val="18"/>
              </w:rPr>
              <w:t>18.08%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2" w:right="0"/>
              <w:jc w:val="left"/>
              <w:rPr>
                <w:rFonts w:ascii="Times New Roman" w:hAnsi="Times New Roman" w:cs="Times New Roman" w:eastAsia="Times New Roman" w:hint="default"/>
                <w:sz w:val="18"/>
                <w:szCs w:val="18"/>
              </w:rPr>
            </w:pPr>
            <w:r>
              <w:rPr>
                <w:rFonts w:ascii="Times New Roman"/>
                <w:sz w:val="18"/>
              </w:rPr>
              <w:t>362,864,382.17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5" w:right="0"/>
              <w:jc w:val="left"/>
              <w:rPr>
                <w:rFonts w:ascii="Times New Roman" w:hAnsi="Times New Roman" w:cs="Times New Roman" w:eastAsia="Times New Roman" w:hint="default"/>
                <w:sz w:val="18"/>
                <w:szCs w:val="18"/>
              </w:rPr>
            </w:pPr>
            <w:r>
              <w:rPr>
                <w:rFonts w:ascii="Times New Roman"/>
                <w:sz w:val="18"/>
              </w:rPr>
              <w:t>19.86%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3" w:right="0"/>
              <w:jc w:val="left"/>
              <w:rPr>
                <w:rFonts w:ascii="Times New Roman" w:hAnsi="Times New Roman" w:cs="Times New Roman" w:eastAsia="Times New Roman" w:hint="default"/>
                <w:sz w:val="18"/>
                <w:szCs w:val="18"/>
              </w:rPr>
            </w:pPr>
            <w:r>
              <w:rPr>
                <w:rFonts w:ascii="Times New Roman"/>
                <w:sz w:val="18"/>
              </w:rPr>
              <w:t>-1.78%</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609"/>
        <w:gridCol w:w="1135"/>
        <w:gridCol w:w="1419"/>
        <w:gridCol w:w="1133"/>
        <w:gridCol w:w="994"/>
        <w:gridCol w:w="1913"/>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629,700,222.61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471,942,852.64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225,180,531.38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177,200,330.74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14,609,234.07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13,057,725.34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453,505,306.29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510,468,404.43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897,636.27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410,637.77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2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0"/>
        <w:gridCol w:w="1621"/>
        <w:gridCol w:w="1123"/>
        <w:gridCol w:w="1430"/>
        <w:gridCol w:w="1122"/>
        <w:gridCol w:w="992"/>
        <w:gridCol w:w="1913"/>
      </w:tblGrid>
      <w:tr>
        <w:trPr>
          <w:trHeight w:val="207" w:hRule="exact"/>
        </w:trPr>
        <w:tc>
          <w:tcPr>
            <w:tcW w:w="1370" w:type="dxa"/>
            <w:vMerge w:val="restart"/>
            <w:tcBorders>
              <w:top w:val="single" w:sz="4" w:space="0" w:color="000000"/>
              <w:left w:val="single" w:sz="4" w:space="0" w:color="000000"/>
              <w:right w:val="single" w:sz="4" w:space="0" w:color="000000"/>
            </w:tcBorders>
            <w:shd w:val="clear" w:color="auto" w:fill="D2D2D2"/>
          </w:tcPr>
          <w:p>
            <w:pPr/>
          </w:p>
        </w:tc>
        <w:tc>
          <w:tcPr>
            <w:tcW w:w="2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2744"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207" w:right="109"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206" w:right="109"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4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123"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12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621"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12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428,165,440.00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21.25%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428,000,000.00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23.43%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-2.18%</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ind w:right="222"/>
        <w:jc w:val="left"/>
        <w:rPr>
          <w:b w:val="0"/>
          <w:bCs w:val="0"/>
        </w:rPr>
      </w:pPr>
      <w:r>
        <w:rPr/>
        <w:t>五、核心竞争力分析</w:t>
      </w:r>
      <w:r>
        <w:rPr>
          <w:b w:val="0"/>
          <w:bCs w:val="0"/>
        </w:rPr>
      </w:r>
    </w:p>
    <w:p>
      <w:pPr>
        <w:spacing w:line="240" w:lineRule="auto" w:before="9"/>
        <w:rPr>
          <w:rFonts w:ascii="宋体" w:hAnsi="宋体" w:cs="宋体" w:eastAsia="宋体" w:hint="default"/>
          <w:b/>
          <w:bCs/>
          <w:sz w:val="25"/>
          <w:szCs w:val="25"/>
        </w:rPr>
      </w:pPr>
    </w:p>
    <w:p>
      <w:pPr>
        <w:pStyle w:val="BodyText"/>
        <w:spacing w:line="300" w:lineRule="auto" w:before="0"/>
        <w:ind w:right="254"/>
        <w:jc w:val="left"/>
      </w:pPr>
      <w:r>
        <w:rPr/>
        <w:t>报告期内，公司及控股子公司共申报了</w:t>
      </w:r>
      <w:r>
        <w:rPr>
          <w:rFonts w:ascii="宋体" w:hAnsi="宋体" w:cs="宋体" w:eastAsia="宋体" w:hint="default"/>
        </w:rPr>
        <w:t>92</w:t>
      </w:r>
      <w:r>
        <w:rPr/>
        <w:t>项知识产权，其中发明专利</w:t>
      </w:r>
      <w:r>
        <w:rPr>
          <w:rFonts w:ascii="宋体" w:hAnsi="宋体" w:cs="宋体" w:eastAsia="宋体" w:hint="default"/>
        </w:rPr>
        <w:t>16</w:t>
      </w:r>
      <w:r>
        <w:rPr/>
        <w:t>项，比去年有所 增长，累计申报知识产权为</w:t>
      </w:r>
      <w:r>
        <w:rPr>
          <w:rFonts w:ascii="宋体" w:hAnsi="宋体" w:cs="宋体" w:eastAsia="宋体" w:hint="default"/>
        </w:rPr>
        <w:t>269</w:t>
      </w:r>
      <w:r>
        <w:rPr/>
        <w:t>项。</w:t>
      </w:r>
    </w:p>
    <w:p>
      <w:pPr>
        <w:pStyle w:val="BodyText"/>
        <w:spacing w:line="297" w:lineRule="auto" w:before="15"/>
        <w:ind w:right="269"/>
        <w:jc w:val="both"/>
      </w:pPr>
      <w:r>
        <w:rPr/>
        <w:t>报告期内，公司及控股子公司共参与智能电网（主要是电能表及其相关领域）</w:t>
      </w:r>
      <w:r>
        <w:rPr>
          <w:rFonts w:ascii="宋体" w:hAnsi="宋体" w:cs="宋体" w:eastAsia="宋体" w:hint="default"/>
        </w:rPr>
        <w:t>31</w:t>
      </w:r>
      <w:r>
        <w:rPr/>
        <w:t>项标准 的制定和修订。从</w:t>
      </w:r>
      <w:r>
        <w:rPr>
          <w:rFonts w:ascii="宋体" w:hAnsi="宋体" w:cs="宋体" w:eastAsia="宋体" w:hint="default"/>
        </w:rPr>
        <w:t>2011</w:t>
      </w:r>
      <w:r>
        <w:rPr/>
        <w:t>年开始推行的公司级项目，顺利结项并持续推进；</w:t>
      </w:r>
      <w:r>
        <w:rPr>
          <w:rFonts w:ascii="宋体" w:hAnsi="宋体" w:cs="宋体" w:eastAsia="宋体" w:hint="default"/>
        </w:rPr>
        <w:t>PLM </w:t>
      </w:r>
      <w:r>
        <w:rPr/>
        <w:t>项目计划已正 式启动。</w:t>
      </w:r>
    </w:p>
    <w:p>
      <w:pPr>
        <w:pStyle w:val="BodyText"/>
        <w:spacing w:line="297" w:lineRule="auto"/>
        <w:ind w:right="96"/>
        <w:jc w:val="left"/>
      </w:pPr>
      <w:r>
        <w:rPr/>
        <w:t>报告期内，公司控股子公司华立仪表集团股份有限公司获得中国质量诚信企业（电能表 </w:t>
      </w:r>
      <w:r>
        <w:rPr>
          <w:spacing w:val="-3"/>
        </w:rPr>
        <w:t>行业唯一）、浙江省质量管理创新项目奖（全省共五家）、国家火炬计划重点高新技术企业、</w:t>
      </w:r>
      <w:r>
        <w:rPr>
          <w:spacing w:val="-82"/>
        </w:rPr>
        <w:t> </w:t>
      </w:r>
      <w:r>
        <w:rPr>
          <w:spacing w:val="-82"/>
        </w:rPr>
      </w:r>
      <w:r>
        <w:rPr/>
        <w:t>浙江省科学技术奖二等奖；公司控股子公司华立仪表集团股份有限公司研发的“基于物联网</w:t>
      </w:r>
      <w:r>
        <w:rPr/>
        <w:t> 技术的</w:t>
      </w:r>
      <w:r>
        <w:rPr>
          <w:rFonts w:ascii="宋体" w:hAnsi="宋体" w:cs="宋体" w:eastAsia="宋体" w:hint="default"/>
        </w:rPr>
        <w:t>AMI</w:t>
      </w:r>
      <w:r>
        <w:rPr/>
        <w:t>智能用电系统”项目被杭州市科技委员会列入杭州市重大科技创新项目计划，“基 于</w:t>
      </w:r>
      <w:r>
        <w:rPr>
          <w:rFonts w:ascii="宋体" w:hAnsi="宋体" w:cs="宋体" w:eastAsia="宋体" w:hint="default"/>
        </w:rPr>
        <w:t>MID</w:t>
      </w:r>
      <w:r>
        <w:rPr/>
        <w:t>指令的智能电能表”项目通过浙江省经济和信息化委员会新产品鉴定及获得浙江省工业 新产品荣誉。</w:t>
      </w:r>
    </w:p>
    <w:p>
      <w:pPr>
        <w:pStyle w:val="BodyText"/>
        <w:spacing w:line="297" w:lineRule="auto" w:before="20"/>
        <w:ind w:right="96"/>
        <w:jc w:val="left"/>
      </w:pPr>
      <w:r>
        <w:rPr/>
        <w:t>报告期内，虽然公司主营业务电能表的销售规模已重新回到国内同行业第一集团，但是 </w:t>
      </w:r>
      <w:r>
        <w:rPr>
          <w:spacing w:val="-2"/>
        </w:rPr>
        <w:t>在总资产和净资产方面公司与国内同行业竞争对手的差距仍然较大。同时公司在研发、营销、</w:t>
      </w:r>
      <w:r>
        <w:rPr/>
        <w:t> 成本控制、质量管理、服务意识、海外拓展以及新产业等方面，和国内同行业竞争对手的最 优水平相比仍然存在差距，需要多向竞争对手学习、吸取经验。</w:t>
      </w:r>
    </w:p>
    <w:p>
      <w:pPr>
        <w:spacing w:after="0" w:line="297" w:lineRule="auto"/>
        <w:jc w:val="left"/>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3"/>
        <w:spacing w:line="240" w:lineRule="auto"/>
        <w:ind w:left="392"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38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14,609,234.07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13,057,725.34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生产、加工：仪器仪表配件、五金冲压 件、塑料制品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浙江振兴仪器仪表责任有限公司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营销策划、咨询服务等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进出口业务等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乌中合资电子仪表有限公司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仪表元器件制造、销售等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w:t>
            </w:r>
          </w:p>
        </w:tc>
      </w:tr>
    </w:tbl>
    <w:p>
      <w:pPr>
        <w:spacing w:line="240" w:lineRule="auto" w:before="3"/>
        <w:rPr>
          <w:rFonts w:ascii="宋体" w:hAnsi="宋体" w:cs="宋体" w:eastAsia="宋体" w:hint="default"/>
          <w:b/>
          <w:bCs/>
          <w:sz w:val="19"/>
          <w:szCs w:val="19"/>
        </w:rPr>
      </w:pPr>
    </w:p>
    <w:p>
      <w:pPr>
        <w:spacing w:before="36"/>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3"/>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850"/>
        <w:gridCol w:w="1277"/>
        <w:gridCol w:w="850"/>
        <w:gridCol w:w="1402"/>
        <w:gridCol w:w="943"/>
        <w:gridCol w:w="941"/>
        <w:gridCol w:w="1251"/>
        <w:gridCol w:w="1135"/>
      </w:tblGrid>
      <w:tr>
        <w:trPr>
          <w:trHeight w:val="75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542" w:right="92" w:hanging="449"/>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5"/>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99"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277" w:type="dxa"/>
            <w:tcBorders>
              <w:top w:val="single" w:sz="9" w:space="0" w:color="D2D2D2"/>
              <w:left w:val="single" w:sz="4" w:space="0" w:color="000000"/>
              <w:bottom w:val="single" w:sz="4" w:space="0" w:color="000000"/>
              <w:right w:val="single" w:sz="4" w:space="0" w:color="000000"/>
            </w:tcBorders>
          </w:tcPr>
          <w:p>
            <w:pPr>
              <w:pStyle w:val="TableParagraph"/>
              <w:spacing w:line="316" w:lineRule="auto" w:before="43"/>
              <w:ind w:left="23" w:right="161"/>
              <w:jc w:val="both"/>
              <w:rPr>
                <w:rFonts w:ascii="宋体" w:hAnsi="宋体" w:cs="宋体" w:eastAsia="宋体" w:hint="default"/>
                <w:sz w:val="18"/>
                <w:szCs w:val="18"/>
              </w:rPr>
            </w:pPr>
            <w:r>
              <w:rPr>
                <w:rFonts w:ascii="宋体" w:hAnsi="宋体" w:cs="宋体" w:eastAsia="宋体" w:hint="default"/>
                <w:sz w:val="18"/>
                <w:szCs w:val="18"/>
              </w:rPr>
              <w:t>电力仪器仪表 及元器件的制 造销售等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18,155.28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2,028,602,797.56</w:t>
            </w:r>
          </w:p>
        </w:tc>
        <w:tc>
          <w:tcPr>
            <w:tcW w:w="94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750,740,93</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3.86</w:t>
            </w:r>
          </w:p>
        </w:tc>
        <w:tc>
          <w:tcPr>
            <w:tcW w:w="94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1,725,917,8</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47.56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112,790,276.17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90,504,810.83</w:t>
            </w:r>
          </w:p>
        </w:tc>
      </w:tr>
      <w:tr>
        <w:trPr>
          <w:trHeight w:val="321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浙江华立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电力自动化、信</w:t>
            </w:r>
            <w:r>
              <w:rPr>
                <w:rFonts w:ascii="宋体" w:hAnsi="宋体" w:cs="宋体" w:eastAsia="宋体" w:hint="default"/>
                <w:sz w:val="18"/>
                <w:szCs w:val="18"/>
              </w:rPr>
              <w:t> </w:t>
            </w:r>
            <w:r>
              <w:rPr>
                <w:rFonts w:ascii="宋体" w:hAnsi="宋体" w:cs="宋体" w:eastAsia="宋体" w:hint="default"/>
                <w:spacing w:val="-6"/>
                <w:sz w:val="18"/>
                <w:szCs w:val="18"/>
              </w:rPr>
              <w:t>息系统、电力电</w:t>
            </w:r>
            <w:r>
              <w:rPr>
                <w:rFonts w:ascii="宋体" w:hAnsi="宋体" w:cs="宋体" w:eastAsia="宋体" w:hint="default"/>
                <w:sz w:val="18"/>
                <w:szCs w:val="18"/>
              </w:rPr>
              <w:t> 子设备及电网 </w:t>
            </w:r>
            <w:r>
              <w:rPr>
                <w:rFonts w:ascii="宋体" w:hAnsi="宋体" w:cs="宋体" w:eastAsia="宋体" w:hint="default"/>
                <w:spacing w:val="-6"/>
                <w:sz w:val="18"/>
                <w:szCs w:val="18"/>
              </w:rPr>
              <w:t>终端设备、电力</w:t>
            </w:r>
            <w:r>
              <w:rPr>
                <w:rFonts w:ascii="宋体" w:hAnsi="宋体" w:cs="宋体" w:eastAsia="宋体" w:hint="default"/>
                <w:sz w:val="18"/>
                <w:szCs w:val="18"/>
              </w:rPr>
              <w:t> </w:t>
            </w:r>
            <w:r>
              <w:rPr>
                <w:rFonts w:ascii="宋体" w:hAnsi="宋体" w:cs="宋体" w:eastAsia="宋体" w:hint="default"/>
                <w:spacing w:val="-6"/>
                <w:sz w:val="18"/>
                <w:szCs w:val="18"/>
              </w:rPr>
              <w:t>通讯、高低压电</w:t>
            </w:r>
            <w:r>
              <w:rPr>
                <w:rFonts w:ascii="宋体" w:hAnsi="宋体" w:cs="宋体" w:eastAsia="宋体" w:hint="default"/>
                <w:sz w:val="18"/>
                <w:szCs w:val="18"/>
              </w:rPr>
              <w:t> </w:t>
            </w:r>
            <w:r>
              <w:rPr>
                <w:rFonts w:ascii="宋体" w:hAnsi="宋体" w:cs="宋体" w:eastAsia="宋体" w:hint="default"/>
                <w:spacing w:val="-6"/>
                <w:sz w:val="18"/>
                <w:szCs w:val="18"/>
              </w:rPr>
              <w:t>器、电力管理软</w:t>
            </w:r>
            <w:r>
              <w:rPr>
                <w:rFonts w:ascii="宋体" w:hAnsi="宋体" w:cs="宋体" w:eastAsia="宋体" w:hint="default"/>
                <w:sz w:val="18"/>
                <w:szCs w:val="18"/>
              </w:rPr>
              <w:t> 件的技术开发、 技术服务及销 </w:t>
            </w:r>
            <w:r>
              <w:rPr>
                <w:rFonts w:ascii="宋体" w:hAnsi="宋体" w:cs="宋体" w:eastAsia="宋体" w:hint="default"/>
                <w:spacing w:val="-6"/>
                <w:sz w:val="18"/>
                <w:szCs w:val="18"/>
              </w:rPr>
              <w:t>售、经营进出口</w:t>
            </w:r>
            <w:r>
              <w:rPr>
                <w:rFonts w:ascii="宋体" w:hAnsi="宋体" w:cs="宋体" w:eastAsia="宋体" w:hint="default"/>
                <w:sz w:val="18"/>
                <w:szCs w:val="18"/>
              </w:rPr>
              <w:t> 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200,310,269.76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57,631,919.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170,614,69</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4.73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9,117,770.51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11,159,260.64</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重庆泰捷 仪器仪表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制造、销售仪器</w:t>
            </w:r>
            <w:r>
              <w:rPr>
                <w:rFonts w:ascii="宋体" w:hAnsi="宋体" w:cs="宋体" w:eastAsia="宋体" w:hint="default"/>
                <w:sz w:val="18"/>
                <w:szCs w:val="18"/>
              </w:rPr>
              <w:t> 仪表及原材料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185,329,173.04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46,779,777.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404,307,01</w:t>
            </w:r>
          </w:p>
          <w:p>
            <w:pPr>
              <w:pStyle w:val="TableParagraph"/>
              <w:spacing w:line="240" w:lineRule="auto" w:before="103"/>
              <w:ind w:left="595" w:right="0"/>
              <w:jc w:val="left"/>
              <w:rPr>
                <w:rFonts w:ascii="Times New Roman" w:hAnsi="Times New Roman" w:cs="Times New Roman" w:eastAsia="Times New Roman" w:hint="default"/>
                <w:sz w:val="18"/>
                <w:szCs w:val="18"/>
              </w:rPr>
            </w:pPr>
            <w:r>
              <w:rPr>
                <w:rFonts w:ascii="Times New Roman"/>
                <w:sz w:val="18"/>
              </w:rPr>
              <w:t>2.01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8,678,641.64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9,518,558.37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740" w:right="580"/>
        </w:sectPr>
      </w:pPr>
    </w:p>
    <w:p>
      <w:pPr>
        <w:spacing w:line="240" w:lineRule="auto" w:before="10"/>
        <w:rPr>
          <w:rFonts w:ascii="宋体" w:hAnsi="宋体" w:cs="宋体" w:eastAsia="宋体" w:hint="default"/>
          <w:sz w:val="25"/>
          <w:szCs w:val="25"/>
        </w:rPr>
      </w:pPr>
    </w:p>
    <w:p>
      <w:pPr>
        <w:spacing w:line="360" w:lineRule="auto" w:before="44"/>
        <w:ind w:left="152" w:right="707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转让公司持有的重庆美联的 所有债权和</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股权，使公司</w:t>
            </w:r>
            <w:r>
              <w:rPr>
                <w:rFonts w:ascii="宋体" w:hAnsi="宋体" w:cs="宋体" w:eastAsia="宋体" w:hint="default"/>
                <w:sz w:val="18"/>
                <w:szCs w:val="18"/>
              </w:rPr>
              <w:t> 进一步集中资源，提升公司后 续盈利能力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转让给重庆新天泽实业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-1746.4 </w:t>
            </w:r>
            <w:r>
              <w:rPr>
                <w:rFonts w:ascii="宋体" w:hAnsi="宋体" w:cs="宋体" w:eastAsia="宋体" w:hint="default"/>
                <w:sz w:val="18"/>
                <w:szCs w:val="18"/>
              </w:rPr>
              <w:t>万元</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洪雅美联曼地亚红豆杉种植 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处置不良资产，使公司进一步 集中资源，提升公司后续盈利 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在浙江产权交易所 </w:t>
            </w:r>
            <w:hyperlink r:id="rId12">
              <w:r>
                <w:rPr>
                  <w:rFonts w:ascii="Times New Roman" w:hAnsi="Times New Roman" w:cs="Times New Roman" w:eastAsia="Times New Roman" w:hint="default"/>
                  <w:spacing w:val="-1"/>
                  <w:sz w:val="18"/>
                  <w:szCs w:val="18"/>
                </w:rPr>
                <w:t>http://www.zjpse.com/</w:t>
              </w:r>
              <w:r>
                <w:rPr>
                  <w:rFonts w:ascii="宋体" w:hAnsi="宋体" w:cs="宋体" w:eastAsia="宋体" w:hint="default"/>
                  <w:spacing w:val="-1"/>
                  <w:sz w:val="18"/>
                  <w:szCs w:val="18"/>
                </w:rPr>
                <w:t>挂牌转</w:t>
              </w:r>
            </w:hyperlink>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实现向</w:t>
            </w:r>
            <w:r>
              <w:rPr>
                <w:rFonts w:ascii="Times New Roman" w:hAnsi="Times New Roman" w:cs="Times New Roman" w:eastAsia="Times New Roman" w:hint="default"/>
                <w:sz w:val="18"/>
                <w:szCs w:val="18"/>
              </w:rPr>
              <w:t>“</w:t>
            </w:r>
            <w:r>
              <w:rPr>
                <w:rFonts w:ascii="宋体" w:hAnsi="宋体" w:cs="宋体" w:eastAsia="宋体" w:hint="default"/>
                <w:sz w:val="18"/>
                <w:szCs w:val="18"/>
              </w:rPr>
              <w:t>智能电网需求侧整体 解决方案提供商</w:t>
            </w:r>
            <w:r>
              <w:rPr>
                <w:rFonts w:ascii="Times New Roman" w:hAnsi="Times New Roman" w:cs="Times New Roman" w:eastAsia="Times New Roman" w:hint="default"/>
                <w:sz w:val="18"/>
                <w:szCs w:val="18"/>
              </w:rPr>
              <w:t>”</w:t>
            </w:r>
            <w:r>
              <w:rPr>
                <w:rFonts w:ascii="宋体" w:hAnsi="宋体" w:cs="宋体" w:eastAsia="宋体" w:hint="default"/>
                <w:sz w:val="18"/>
                <w:szCs w:val="18"/>
              </w:rPr>
              <w:t>的转型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出资组建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持续推进</w:t>
            </w:r>
            <w:r>
              <w:rPr>
                <w:rFonts w:ascii="Times New Roman" w:hAnsi="Times New Roman" w:cs="Times New Roman" w:eastAsia="Times New Roman" w:hint="default"/>
                <w:sz w:val="18"/>
                <w:szCs w:val="18"/>
              </w:rPr>
              <w:t>“</w:t>
            </w:r>
            <w:r>
              <w:rPr>
                <w:rFonts w:ascii="宋体" w:hAnsi="宋体" w:cs="宋体" w:eastAsia="宋体" w:hint="default"/>
                <w:sz w:val="18"/>
                <w:szCs w:val="18"/>
              </w:rPr>
              <w:t>系统战略</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在国家电网系统产品集中招 标的供应商中，公司名列第二 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乌兹别克斯坦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EQQ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推动</w:t>
            </w:r>
            <w:r>
              <w:rPr>
                <w:rFonts w:ascii="Times New Roman" w:hAnsi="Times New Roman" w:cs="Times New Roman" w:eastAsia="Times New Roman" w:hint="default"/>
                <w:sz w:val="18"/>
                <w:szCs w:val="18"/>
              </w:rPr>
              <w:t>“</w:t>
            </w:r>
            <w:r>
              <w:rPr>
                <w:rFonts w:ascii="宋体" w:hAnsi="宋体" w:cs="宋体" w:eastAsia="宋体" w:hint="default"/>
                <w:sz w:val="18"/>
                <w:szCs w:val="18"/>
              </w:rPr>
              <w:t>海外战略</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出资组建</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华立印尼能源有限公司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推动</w:t>
            </w:r>
            <w:r>
              <w:rPr>
                <w:rFonts w:ascii="Times New Roman" w:hAnsi="Times New Roman" w:cs="Times New Roman" w:eastAsia="Times New Roman" w:hint="default"/>
                <w:sz w:val="18"/>
                <w:szCs w:val="18"/>
              </w:rPr>
              <w:t>“</w:t>
            </w:r>
            <w:r>
              <w:rPr>
                <w:rFonts w:ascii="宋体" w:hAnsi="宋体" w:cs="宋体" w:eastAsia="宋体" w:hint="default"/>
                <w:sz w:val="18"/>
                <w:szCs w:val="18"/>
              </w:rPr>
              <w:t>海外战略</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出资组建</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606"/>
        <w:gridCol w:w="1584"/>
        <w:gridCol w:w="1594"/>
        <w:gridCol w:w="1583"/>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9" w:right="72"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七、公司未来发展的展望</w:t>
      </w:r>
      <w:r>
        <w:rPr>
          <w:b w:val="0"/>
          <w:bCs w:val="0"/>
        </w:rPr>
      </w:r>
    </w:p>
    <w:p>
      <w:pPr>
        <w:spacing w:line="240" w:lineRule="auto" w:before="9"/>
        <w:rPr>
          <w:rFonts w:ascii="宋体" w:hAnsi="宋体" w:cs="宋体" w:eastAsia="宋体" w:hint="default"/>
          <w:b/>
          <w:bCs/>
          <w:sz w:val="25"/>
          <w:szCs w:val="25"/>
        </w:rPr>
      </w:pPr>
    </w:p>
    <w:p>
      <w:pPr>
        <w:pStyle w:val="BodyText"/>
        <w:spacing w:line="297" w:lineRule="auto" w:before="0"/>
        <w:ind w:right="190"/>
        <w:jc w:val="both"/>
      </w:pPr>
      <w:r>
        <w:rPr/>
        <w:t>伴随国家智能电网建设的逐步实施，国家电网和南方电网已连续多年大规模集中招标采 购电能表。随着时间的推移，这种大规模集中招标采购电能表的需求将很可能逐步减少。公 司预计在</w:t>
      </w:r>
      <w:r>
        <w:rPr>
          <w:rFonts w:ascii="宋体" w:hAnsi="宋体" w:cs="宋体" w:eastAsia="宋体" w:hint="default"/>
        </w:rPr>
        <w:t>2014</w:t>
      </w:r>
      <w:r>
        <w:rPr/>
        <w:t>年，最迟</w:t>
      </w:r>
      <w:r>
        <w:rPr>
          <w:rFonts w:ascii="宋体" w:hAnsi="宋体" w:cs="宋体" w:eastAsia="宋体" w:hint="default"/>
        </w:rPr>
        <w:t>2015</w:t>
      </w:r>
      <w:r>
        <w:rPr/>
        <w:t>年，国家电网和南方电网对电能表的集中统一招标采购量有可能 会有一定幅度的减少。</w:t>
      </w:r>
    </w:p>
    <w:p>
      <w:pPr>
        <w:pStyle w:val="BodyText"/>
        <w:spacing w:line="297" w:lineRule="auto" w:before="17"/>
        <w:ind w:right="191"/>
        <w:jc w:val="both"/>
      </w:pPr>
      <w:r>
        <w:rPr/>
        <w:t>为应对这样可能的市场变化，公司主动寻求战略转型，积极布局智能电网产业链，在传 统电能表的基础上，向系统进军，通过收购华立科技，公司已经在国家电网招标中，成为排 名第二的系统产品供应商。在未来，公司还将积极介入电力自动化系统、电能质量管理等领 域，力求从传统的终端产品制造商转型为智能电网需求侧的系统解决方案提供商。</w:t>
      </w:r>
    </w:p>
    <w:p>
      <w:pPr>
        <w:pStyle w:val="BodyText"/>
        <w:spacing w:line="240" w:lineRule="auto" w:before="17"/>
        <w:ind w:left="633" w:right="0" w:firstLine="0"/>
        <w:jc w:val="left"/>
      </w:pPr>
      <w:r>
        <w:rPr/>
        <w:t>在电能表产业方面，公司一方面大力发展高精度、大容量、多功能、高负荷的高端电能</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6"/>
          <w:szCs w:val="26"/>
        </w:rPr>
      </w:pPr>
    </w:p>
    <w:p>
      <w:pPr>
        <w:pStyle w:val="BodyText"/>
        <w:spacing w:line="297" w:lineRule="auto" w:before="26"/>
        <w:ind w:left="633" w:right="96" w:hanging="481"/>
        <w:jc w:val="left"/>
      </w:pPr>
      <w:r>
        <w:rPr>
          <w:spacing w:val="-2"/>
        </w:rPr>
        <w:t>表产品，另一方面积极开拓海外市场，依靠国际市场来化解国内电能表市场需求下降的风险。</w:t>
      </w:r>
      <w:r>
        <w:rPr/>
        <w:t> 此外，公司积极寻找新的产业增长点，寻求在热量表、高低压配电箱、智能电表自动化</w:t>
      </w:r>
    </w:p>
    <w:p>
      <w:pPr>
        <w:spacing w:line="496" w:lineRule="auto" w:before="19"/>
        <w:ind w:left="152" w:right="1180" w:firstLine="0"/>
        <w:jc w:val="left"/>
        <w:rPr>
          <w:rFonts w:ascii="宋体" w:hAnsi="宋体" w:cs="宋体" w:eastAsia="宋体" w:hint="default"/>
          <w:sz w:val="24"/>
          <w:szCs w:val="24"/>
        </w:rPr>
      </w:pPr>
      <w:r>
        <w:rPr>
          <w:rFonts w:ascii="宋体" w:hAnsi="宋体" w:cs="宋体" w:eastAsia="宋体" w:hint="default"/>
          <w:sz w:val="24"/>
          <w:szCs w:val="24"/>
        </w:rPr>
        <w:t>校验设备等领域的突破。 </w:t>
      </w:r>
      <w:r>
        <w:rPr>
          <w:rFonts w:ascii="宋体" w:hAnsi="宋体" w:cs="宋体" w:eastAsia="宋体" w:hint="default"/>
          <w:b/>
          <w:bCs/>
          <w:sz w:val="24"/>
          <w:szCs w:val="24"/>
        </w:rPr>
        <w:t>八、与上年度财务报告相比，会计政策、会计估计和核算方法发生变化的情况说明</w:t>
      </w:r>
      <w:r>
        <w:rPr>
          <w:rFonts w:ascii="宋体" w:hAnsi="宋体" w:cs="宋体" w:eastAsia="宋体" w:hint="default"/>
          <w:sz w:val="24"/>
          <w:szCs w:val="24"/>
        </w:rPr>
      </w:r>
    </w:p>
    <w:p>
      <w:pPr>
        <w:spacing w:before="89"/>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报告期内，公司未发生会计政策、会计估计和核算方法变更的情形。</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t>九、报告期内发生重大会计差错更正需追溯重述的情况说明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报告期内，公司未发生重大会计差错更正需追溯重述的情况。</w:t>
      </w:r>
    </w:p>
    <w:p>
      <w:pPr>
        <w:spacing w:line="650" w:lineRule="exact" w:before="90"/>
        <w:ind w:left="633" w:right="3108" w:hanging="481"/>
        <w:jc w:val="left"/>
        <w:rPr>
          <w:rFonts w:ascii="宋体" w:hAnsi="宋体" w:cs="宋体" w:eastAsia="宋体" w:hint="default"/>
          <w:sz w:val="24"/>
          <w:szCs w:val="24"/>
        </w:rPr>
      </w:pPr>
      <w:r>
        <w:rPr>
          <w:rFonts w:ascii="宋体" w:hAnsi="宋体" w:cs="宋体" w:eastAsia="宋体" w:hint="default"/>
          <w:b/>
          <w:bCs/>
          <w:sz w:val="24"/>
          <w:szCs w:val="24"/>
        </w:rPr>
        <w:t>十、与上年度财务报告相比，合并报表范围发生变化的情况说明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报告期新纳入合并财务报表范围的子公司</w:t>
      </w:r>
    </w:p>
    <w:p>
      <w:pPr>
        <w:pStyle w:val="BodyText"/>
        <w:spacing w:line="295" w:lineRule="exact" w:before="0"/>
        <w:ind w:left="633" w:right="222" w:firstLine="0"/>
        <w:jc w:val="left"/>
      </w:pPr>
      <w:r>
        <w:rPr>
          <w:rFonts w:ascii="宋体" w:hAnsi="宋体" w:cs="宋体" w:eastAsia="宋体" w:hint="default"/>
        </w:rPr>
        <w:t>(1)</w:t>
      </w:r>
      <w:r>
        <w:rPr>
          <w:rFonts w:ascii="宋体" w:hAnsi="宋体" w:cs="宋体" w:eastAsia="宋体" w:hint="default"/>
          <w:spacing w:val="-1"/>
        </w:rPr>
        <w:t> </w:t>
      </w:r>
      <w:r>
        <w:rPr/>
        <w:t>因直接设立或投资等方式而增加子公司的情况说明</w:t>
      </w:r>
    </w:p>
    <w:p>
      <w:pPr>
        <w:pStyle w:val="BodyText"/>
        <w:tabs>
          <w:tab w:pos="4713" w:val="left" w:leader="none"/>
        </w:tabs>
        <w:spacing w:line="297" w:lineRule="auto" w:before="74"/>
        <w:ind w:right="232"/>
        <w:jc w:val="left"/>
      </w:pPr>
      <w:r>
        <w:rPr/>
        <w:t>本期子公司华立仪表与乌兹别克ENERGOTA’MIR公司及乌兹别克乌中合资电子仪表有限 责任公司在乌兹别克共同出资设立</w:t>
      </w:r>
      <w:r>
        <w:rPr>
          <w:rFonts w:ascii="宋体" w:hAnsi="宋体" w:cs="宋体" w:eastAsia="宋体" w:hint="default"/>
        </w:rPr>
        <w:t>ELEKTR</w:t>
        <w:tab/>
        <w:t>QUVVAT QURILMALAR</w:t>
      </w:r>
      <w:r>
        <w:rPr/>
        <w:t>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17</w:t>
      </w:r>
      <w:r>
        <w:rPr/>
        <w:t>日办妥 设立登记手续，并取得注册号为</w:t>
      </w:r>
      <w:r>
        <w:rPr>
          <w:rFonts w:ascii="宋体" w:hAnsi="宋体" w:cs="宋体" w:eastAsia="宋体" w:hint="default"/>
        </w:rPr>
        <w:t>23424837</w:t>
      </w:r>
      <w:r>
        <w:rPr/>
        <w:t>的登记证书。该公司注册资本</w:t>
      </w:r>
      <w:r>
        <w:rPr>
          <w:rFonts w:ascii="宋体" w:hAnsi="宋体" w:cs="宋体" w:eastAsia="宋体" w:hint="default"/>
        </w:rPr>
        <w:t>50</w:t>
      </w:r>
      <w:r>
        <w:rPr/>
        <w:t>万美元，华立仪表 出资</w:t>
      </w:r>
      <w:r>
        <w:rPr>
          <w:rFonts w:ascii="宋体" w:hAnsi="宋体" w:cs="宋体" w:eastAsia="宋体" w:hint="default"/>
        </w:rPr>
        <w:t>27.50</w:t>
      </w:r>
      <w:r>
        <w:rPr/>
        <w:t>万美元，占其注册资本的</w:t>
      </w:r>
      <w:r>
        <w:rPr>
          <w:rFonts w:ascii="宋体" w:hAnsi="宋体" w:cs="宋体" w:eastAsia="宋体" w:hint="default"/>
        </w:rPr>
        <w:t>55.00 %</w:t>
      </w:r>
      <w:r>
        <w:rPr>
          <w:rFonts w:ascii="宋体" w:hAnsi="宋体" w:cs="宋体" w:eastAsia="宋体" w:hint="default"/>
          <w:spacing w:val="-84"/>
        </w:rPr>
        <w:t> </w:t>
      </w:r>
      <w:r>
        <w:rPr/>
        <w:t>，拥有对其的实质控制权，故自该公司成立之日 起，将其纳入合并财务报表范围。</w:t>
      </w:r>
    </w:p>
    <w:p>
      <w:pPr>
        <w:pStyle w:val="BodyText"/>
        <w:spacing w:line="297" w:lineRule="auto"/>
        <w:ind w:left="633" w:right="253" w:firstLine="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因同一控制下企业合并而增加子公司的情况说明 根据华立仪表与华立集团于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日签订的《股权转让协议》，华立仪表以</w:t>
      </w:r>
      <w:r>
        <w:rPr>
          <w:rFonts w:ascii="宋体" w:hAnsi="宋体" w:cs="宋体" w:eastAsia="宋体" w:hint="default"/>
        </w:rPr>
        <w:t>5,300</w:t>
      </w:r>
    </w:p>
    <w:p>
      <w:pPr>
        <w:pStyle w:val="BodyText"/>
        <w:spacing w:line="297" w:lineRule="auto"/>
        <w:ind w:right="269" w:firstLine="0"/>
        <w:jc w:val="both"/>
      </w:pPr>
      <w:r>
        <w:rPr/>
        <w:t>万元受让华立集团持有的浙江华立科技有限公司（以下简称华立科技）</w:t>
      </w:r>
      <w:r>
        <w:rPr>
          <w:rFonts w:ascii="宋体" w:hAnsi="宋体" w:cs="宋体" w:eastAsia="宋体" w:hint="default"/>
        </w:rPr>
        <w:t>100%</w:t>
      </w:r>
      <w:r>
        <w:rPr/>
        <w:t>股权。由于华立 仪表和华立科技同受华立集团最终控制且该项控制非暂时的，故该项合并为同一控制下企业 合并。本公司已于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月支付股权转让款共计</w:t>
      </w:r>
      <w:r>
        <w:rPr>
          <w:rFonts w:ascii="宋体" w:hAnsi="宋体" w:cs="宋体" w:eastAsia="宋体" w:hint="default"/>
        </w:rPr>
        <w:t>5,300</w:t>
      </w:r>
      <w:r>
        <w:rPr/>
        <w:t>万元，并办理了相应的财产权 交接手续，故自</w:t>
      </w:r>
      <w:r>
        <w:rPr>
          <w:rFonts w:ascii="宋体" w:hAnsi="宋体" w:cs="宋体" w:eastAsia="宋体" w:hint="default"/>
        </w:rPr>
        <w:t>2012</w:t>
      </w:r>
      <w:r>
        <w:rPr/>
        <w:t>年</w:t>
      </w:r>
      <w:r>
        <w:rPr>
          <w:rFonts w:ascii="宋体" w:hAnsi="宋体" w:cs="宋体" w:eastAsia="宋体" w:hint="default"/>
        </w:rPr>
        <w:t>10</w:t>
      </w:r>
      <w:r>
        <w:rPr/>
        <w:t>月起将其纳入合并财务报表范围，并相应调整了合并财务报表的比 较数据。</w:t>
      </w:r>
    </w:p>
    <w:p>
      <w:pPr>
        <w:pStyle w:val="BodyText"/>
        <w:spacing w:line="300" w:lineRule="auto" w:before="17"/>
        <w:ind w:left="633" w:right="217" w:firstLine="0"/>
        <w:jc w:val="left"/>
      </w:pPr>
      <w:r>
        <w:rPr>
          <w:rFonts w:ascii="宋体" w:hAnsi="宋体" w:cs="宋体" w:eastAsia="宋体" w:hint="default"/>
        </w:rPr>
        <w:t>(3)</w:t>
      </w:r>
      <w:r>
        <w:rPr>
          <w:rFonts w:ascii="宋体" w:hAnsi="宋体" w:cs="宋体" w:eastAsia="宋体" w:hint="default"/>
          <w:spacing w:val="-1"/>
        </w:rPr>
        <w:t> </w:t>
      </w:r>
      <w:r>
        <w:rPr/>
        <w:t>因非同一控制下企业合并而增加子公司的情况说明 </w:t>
      </w:r>
      <w:r>
        <w:rPr>
          <w:spacing w:val="-2"/>
        </w:rPr>
        <w:t>根据华立仪表与杭州轻通博科自动化技术有限公司于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日签订的《股权转让协</w:t>
      </w:r>
    </w:p>
    <w:p>
      <w:pPr>
        <w:pStyle w:val="BodyText"/>
        <w:spacing w:line="297" w:lineRule="auto" w:before="14"/>
        <w:ind w:right="229" w:firstLine="0"/>
        <w:jc w:val="both"/>
      </w:pPr>
      <w:r>
        <w:rPr>
          <w:spacing w:val="-2"/>
        </w:rPr>
        <w:t>议书》，华立仪表以</w:t>
      </w:r>
      <w:r>
        <w:rPr>
          <w:rFonts w:ascii="宋体" w:hAnsi="宋体" w:cs="宋体" w:eastAsia="宋体" w:hint="default"/>
          <w:spacing w:val="-2"/>
        </w:rPr>
        <w:t>484</w:t>
      </w:r>
      <w:r>
        <w:rPr>
          <w:spacing w:val="-2"/>
        </w:rPr>
        <w:t>万元受让杭州轻通博科自动化技术有限公司持有的杭州厚达自动化系</w:t>
      </w:r>
      <w:r>
        <w:rPr>
          <w:spacing w:val="-118"/>
        </w:rPr>
        <w:t> </w:t>
      </w:r>
      <w:r>
        <w:rPr/>
        <w:t>统有限公司（以下简称杭州厚达）</w:t>
      </w:r>
      <w:r>
        <w:rPr>
          <w:rFonts w:ascii="宋体" w:hAnsi="宋体" w:cs="宋体" w:eastAsia="宋体" w:hint="default"/>
        </w:rPr>
        <w:t>21</w:t>
      </w:r>
      <w:r>
        <w:rPr>
          <w:rFonts w:ascii="宋体" w:hAnsi="宋体" w:cs="宋体" w:eastAsia="宋体" w:hint="default"/>
          <w:spacing w:val="1"/>
        </w:rPr>
        <w:t> </w:t>
      </w:r>
      <w:r>
        <w:rPr>
          <w:rFonts w:ascii="宋体" w:hAnsi="宋体" w:cs="宋体" w:eastAsia="宋体" w:hint="default"/>
        </w:rPr>
        <w:t>%</w:t>
      </w:r>
      <w:r>
        <w:rPr/>
        <w:t>股权</w:t>
      </w:r>
      <w:r>
        <w:rPr>
          <w:rFonts w:ascii="宋体" w:hAnsi="宋体" w:cs="宋体" w:eastAsia="宋体" w:hint="default"/>
        </w:rPr>
        <w:t>,</w:t>
      </w:r>
      <w:r>
        <w:rPr/>
        <w:t>受让上述股权后，公司持有该公司股权</w:t>
      </w:r>
      <w:r>
        <w:rPr>
          <w:rFonts w:ascii="宋体" w:hAnsi="宋体" w:cs="宋体" w:eastAsia="宋体" w:hint="default"/>
        </w:rPr>
        <w:t>61%</w:t>
      </w:r>
      <w:r>
        <w:rPr/>
        <w:t>。华 </w:t>
      </w:r>
      <w:r>
        <w:rPr>
          <w:spacing w:val="-2"/>
        </w:rPr>
        <w:t>立仪表已按照《股权转让协议书》约定的时间进度支付完毕股权转让款</w:t>
      </w:r>
      <w:r>
        <w:rPr>
          <w:rFonts w:ascii="宋体" w:hAnsi="宋体" w:cs="宋体" w:eastAsia="宋体" w:hint="default"/>
          <w:spacing w:val="-2"/>
        </w:rPr>
        <w:t>484</w:t>
      </w:r>
      <w:r>
        <w:rPr>
          <w:spacing w:val="-2"/>
        </w:rPr>
        <w:t>万元，并办理了相</w:t>
      </w:r>
      <w:r>
        <w:rPr>
          <w:spacing w:val="-116"/>
        </w:rPr>
        <w:t> </w:t>
      </w:r>
      <w:r>
        <w:rPr>
          <w:spacing w:val="-116"/>
        </w:rPr>
      </w:r>
      <w:r>
        <w:rPr/>
        <w:t>应的财产权交接手续，自</w:t>
      </w:r>
      <w:r>
        <w:rPr>
          <w:rFonts w:ascii="宋体" w:hAnsi="宋体" w:cs="宋体" w:eastAsia="宋体" w:hint="default"/>
        </w:rPr>
        <w:t>2012</w:t>
      </w:r>
      <w:r>
        <w:rPr/>
        <w:t>年</w:t>
      </w:r>
      <w:r>
        <w:rPr>
          <w:rFonts w:ascii="宋体" w:hAnsi="宋体" w:cs="宋体" w:eastAsia="宋体" w:hint="default"/>
        </w:rPr>
        <w:t>10</w:t>
      </w:r>
      <w:r>
        <w:rPr/>
        <w:t>月起将其纳入合并财务报表范围。</w:t>
      </w:r>
    </w:p>
    <w:p>
      <w:pPr>
        <w:pStyle w:val="BodyText"/>
        <w:spacing w:line="240" w:lineRule="auto" w:before="17"/>
        <w:ind w:left="633" w:right="222" w:firstLine="0"/>
        <w:jc w:val="left"/>
      </w:pPr>
      <w:r>
        <w:rPr>
          <w:rFonts w:ascii="宋体" w:hAnsi="宋体" w:cs="宋体" w:eastAsia="宋体" w:hint="default"/>
        </w:rPr>
        <w:t>2. </w:t>
      </w:r>
      <w:r>
        <w:rPr/>
        <w:t>报告期不再纳入合并财务报表范围的子公司</w:t>
      </w:r>
    </w:p>
    <w:p>
      <w:pPr>
        <w:pStyle w:val="BodyText"/>
        <w:spacing w:line="297" w:lineRule="auto" w:before="77"/>
        <w:ind w:left="633" w:right="253" w:firstLine="0"/>
        <w:jc w:val="left"/>
      </w:pPr>
      <w:r>
        <w:rPr>
          <w:rFonts w:ascii="宋体" w:hAnsi="宋体" w:cs="宋体" w:eastAsia="宋体" w:hint="default"/>
        </w:rPr>
        <w:t>(1)</w:t>
      </w:r>
      <w:r>
        <w:rPr>
          <w:rFonts w:ascii="宋体" w:hAnsi="宋体" w:cs="宋体" w:eastAsia="宋体" w:hint="default"/>
          <w:spacing w:val="-1"/>
        </w:rPr>
        <w:t> </w:t>
      </w:r>
      <w:r>
        <w:rPr/>
        <w:t>出售股权而减少子公司的情况说明 根据本公司与重庆新天泽实业（集团）有限公司及本公司子公司洪雅美联曼地亚红豆杉</w:t>
      </w:r>
    </w:p>
    <w:p>
      <w:pPr>
        <w:pStyle w:val="BodyText"/>
        <w:spacing w:line="240" w:lineRule="auto"/>
        <w:ind w:right="0" w:firstLine="0"/>
        <w:jc w:val="both"/>
        <w:rPr>
          <w:rFonts w:ascii="宋体" w:hAnsi="宋体" w:cs="宋体" w:eastAsia="宋体" w:hint="default"/>
        </w:rPr>
      </w:pPr>
      <w:r>
        <w:rPr>
          <w:spacing w:val="-5"/>
        </w:rPr>
        <w:t>种植有限公司于</w:t>
      </w:r>
      <w:r>
        <w:rPr>
          <w:rFonts w:ascii="宋体" w:hAnsi="宋体" w:cs="宋体" w:eastAsia="宋体" w:hint="default"/>
          <w:spacing w:val="-5"/>
        </w:rPr>
        <w:t>2012</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20</w:t>
      </w:r>
      <w:r>
        <w:rPr>
          <w:spacing w:val="-5"/>
        </w:rPr>
        <w:t>日签订的《股权转让协议》、《债权转让合同》，本公司以</w:t>
      </w:r>
      <w:r>
        <w:rPr>
          <w:rFonts w:ascii="宋体" w:hAnsi="宋体" w:cs="宋体" w:eastAsia="宋体" w:hint="default"/>
          <w:spacing w:val="-5"/>
        </w:rPr>
        <w:t>3,950</w:t>
      </w:r>
    </w:p>
    <w:p>
      <w:pPr>
        <w:spacing w:after="0" w:line="240" w:lineRule="auto"/>
        <w:jc w:val="both"/>
        <w:rPr>
          <w:rFonts w:ascii="宋体" w:hAnsi="宋体" w:cs="宋体" w:eastAsia="宋体" w:hint="default"/>
        </w:rPr>
        <w:sectPr>
          <w:pgSz w:w="11910" w:h="16840"/>
          <w:pgMar w:header="745" w:footer="979" w:top="1060" w:bottom="1160" w:left="980" w:right="900"/>
        </w:sectPr>
      </w:pPr>
    </w:p>
    <w:p>
      <w:pPr>
        <w:spacing w:line="240" w:lineRule="auto" w:before="8"/>
        <w:rPr>
          <w:rFonts w:ascii="宋体" w:hAnsi="宋体" w:cs="宋体" w:eastAsia="宋体" w:hint="default"/>
          <w:sz w:val="26"/>
          <w:szCs w:val="26"/>
        </w:rPr>
      </w:pPr>
    </w:p>
    <w:p>
      <w:pPr>
        <w:pStyle w:val="BodyText"/>
        <w:spacing w:line="297" w:lineRule="auto" w:before="26"/>
        <w:ind w:right="148" w:firstLine="0"/>
        <w:jc w:val="left"/>
      </w:pPr>
      <w:r>
        <w:rPr/>
        <w:t>万元将所持有的重庆美联制药有限公司</w:t>
      </w:r>
      <w:r>
        <w:rPr>
          <w:rFonts w:ascii="宋体" w:hAnsi="宋体" w:cs="宋体" w:eastAsia="宋体" w:hint="default"/>
        </w:rPr>
        <w:t>70%</w:t>
      </w:r>
      <w:r>
        <w:rPr/>
        <w:t>股权及所有债权债务转让给重庆新天泽实业（集 </w:t>
      </w:r>
      <w:r>
        <w:rPr>
          <w:spacing w:val="-2"/>
        </w:rPr>
        <w:t>团）有限公司。本公司已于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月收到该项股权转让款</w:t>
      </w:r>
      <w:r>
        <w:rPr>
          <w:rFonts w:ascii="宋体" w:hAnsi="宋体" w:cs="宋体" w:eastAsia="宋体" w:hint="default"/>
          <w:spacing w:val="-2"/>
        </w:rPr>
        <w:t>3,950.00</w:t>
      </w:r>
      <w:r>
        <w:rPr>
          <w:spacing w:val="-2"/>
        </w:rPr>
        <w:t>万元，并办理了相应的财</w:t>
      </w:r>
      <w:r>
        <w:rPr>
          <w:spacing w:val="-110"/>
        </w:rPr>
        <w:t> </w:t>
      </w:r>
      <w:r>
        <w:rPr>
          <w:spacing w:val="-110"/>
        </w:rPr>
      </w:r>
      <w:r>
        <w:rPr/>
        <w:t>产权交接手续，故自</w:t>
      </w:r>
      <w:r>
        <w:rPr>
          <w:rFonts w:ascii="宋体" w:hAnsi="宋体" w:cs="宋体" w:eastAsia="宋体" w:hint="default"/>
        </w:rPr>
        <w:t>2012</w:t>
      </w:r>
      <w:r>
        <w:rPr/>
        <w:t>年</w:t>
      </w:r>
      <w:r>
        <w:rPr>
          <w:rFonts w:ascii="宋体" w:hAnsi="宋体" w:cs="宋体" w:eastAsia="宋体" w:hint="default"/>
        </w:rPr>
        <w:t>6</w:t>
      </w:r>
      <w:r>
        <w:rPr/>
        <w:t>月起不再将其纳入合并财务报表范围。</w:t>
      </w:r>
    </w:p>
    <w:p>
      <w:pPr>
        <w:pStyle w:val="BodyText"/>
        <w:spacing w:line="300" w:lineRule="auto" w:before="17"/>
        <w:ind w:left="633" w:right="173" w:firstLine="0"/>
        <w:jc w:val="left"/>
      </w:pPr>
      <w:r>
        <w:rPr>
          <w:rFonts w:ascii="宋体" w:hAnsi="宋体" w:cs="宋体" w:eastAsia="宋体" w:hint="default"/>
        </w:rPr>
        <w:t>(2)</w:t>
      </w:r>
      <w:r>
        <w:rPr>
          <w:rFonts w:ascii="宋体" w:hAnsi="宋体" w:cs="宋体" w:eastAsia="宋体" w:hint="default"/>
          <w:spacing w:val="-1"/>
        </w:rPr>
        <w:t> </w:t>
      </w:r>
      <w:r>
        <w:rPr/>
        <w:t>因其他原因减少子公司的情况说明 子公司浙江华立电子技术有限公司、浙江华意电子有限公司、杭州华立科技园有限公司</w:t>
      </w:r>
    </w:p>
    <w:p>
      <w:pPr>
        <w:pStyle w:val="BodyText"/>
        <w:spacing w:line="240" w:lineRule="auto" w:before="14"/>
        <w:ind w:right="0" w:firstLine="0"/>
        <w:jc w:val="left"/>
      </w:pPr>
      <w:r>
        <w:rPr/>
        <w:t>本年清算注销，不再纳入合并范围。</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十一、公司利润分配及分红派息情况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报告期内利润分配政策特别是现金分红政策的制定、执行或调整情况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297" w:lineRule="auto" w:before="0"/>
        <w:ind w:right="191"/>
        <w:jc w:val="both"/>
      </w:pPr>
      <w:r>
        <w:rPr/>
        <w:t>报告期内，经公司七届二次董事会和二〇一二年第二次临时股东大会审议，通过修改公 司章程的议案，明确了公司利润分配的决策程序和机制、利润分配政策。对分红标准、分红 比例、利润分配政策的调整或变更的条件和程序作了明确说明。公司的利润分配政策符合国 家有关法律法律、公司章程及审议程序的规定，有利于充分保护保护上市公司和股东的合法 权益。</w:t>
      </w:r>
    </w:p>
    <w:p>
      <w:pPr>
        <w:pStyle w:val="BodyText"/>
        <w:spacing w:line="240" w:lineRule="auto"/>
        <w:ind w:left="633" w:right="0" w:firstLine="0"/>
        <w:jc w:val="left"/>
      </w:pPr>
      <w:r>
        <w:rPr/>
        <w:t>公司报告期利润分配预案及资本公积金转增股本预案符合公司章程等的相关规定。</w:t>
      </w:r>
    </w:p>
    <w:p>
      <w:pPr>
        <w:spacing w:line="240" w:lineRule="auto" w:before="9"/>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公司近</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年（含报告期）的利润分配预案或方案及资本公积金转增股本预案或方案情况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97" w:lineRule="auto" w:before="0"/>
        <w:ind w:right="191"/>
        <w:jc w:val="both"/>
      </w:pPr>
      <w:r>
        <w:rPr/>
        <w:t>由于公司未分配利润为负数，故公司近三年（含报告期）均未进行利润分配，也未利用 资本公积金转增股本。</w:t>
      </w:r>
    </w:p>
    <w:p>
      <w:pPr>
        <w:spacing w:line="240" w:lineRule="auto" w:before="6"/>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公司近三年现金分红情况表</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23,420,537.27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32,291,915.69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-159,147,072.52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654" w:lineRule="exact" w:before="74"/>
        <w:ind w:left="633" w:right="173" w:hanging="481"/>
        <w:jc w:val="left"/>
        <w:rPr>
          <w:rFonts w:ascii="宋体" w:hAnsi="宋体" w:cs="宋体" w:eastAsia="宋体" w:hint="default"/>
          <w:sz w:val="24"/>
          <w:szCs w:val="24"/>
        </w:rPr>
      </w:pPr>
      <w:r>
        <w:rPr>
          <w:rFonts w:ascii="宋体" w:hAnsi="宋体" w:cs="宋体" w:eastAsia="宋体" w:hint="default"/>
          <w:b/>
          <w:bCs/>
          <w:sz w:val="24"/>
          <w:szCs w:val="24"/>
        </w:rPr>
        <w:t>十二、社会责任情况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报告期内，公司严格按照《公司法》、《证券法》、《股票上市规则》等法律法规、部</w:t>
      </w:r>
    </w:p>
    <w:p>
      <w:pPr>
        <w:pStyle w:val="BodyText"/>
        <w:spacing w:line="292" w:lineRule="exact" w:before="0"/>
        <w:ind w:right="0" w:firstLine="0"/>
        <w:jc w:val="left"/>
      </w:pPr>
      <w:r>
        <w:rPr/>
        <w:t>门规章、规范性文件和公司章程的规定，规范公司治理结构和建立健全内部控制制度，依法</w:t>
      </w:r>
    </w:p>
    <w:p>
      <w:pPr>
        <w:spacing w:after="0" w:line="292" w:lineRule="exact"/>
        <w:jc w:val="left"/>
        <w:sectPr>
          <w:pgSz w:w="11910" w:h="16840"/>
          <w:pgMar w:header="745" w:footer="979" w:top="1060" w:bottom="1160" w:left="980" w:right="980"/>
        </w:sectPr>
      </w:pPr>
    </w:p>
    <w:p>
      <w:pPr>
        <w:spacing w:line="240" w:lineRule="auto" w:before="8"/>
        <w:rPr>
          <w:rFonts w:ascii="宋体" w:hAnsi="宋体" w:cs="宋体" w:eastAsia="宋体" w:hint="default"/>
          <w:sz w:val="26"/>
          <w:szCs w:val="26"/>
        </w:rPr>
      </w:pPr>
    </w:p>
    <w:p>
      <w:pPr>
        <w:pStyle w:val="BodyText"/>
        <w:spacing w:line="297" w:lineRule="auto" w:before="26"/>
        <w:ind w:right="96" w:firstLine="0"/>
        <w:jc w:val="left"/>
      </w:pPr>
      <w:r>
        <w:rPr/>
        <w:t>召开股东大会、董事会、监事会，规范董事、监事、高级管理人员的行为及选聘任免，履行 </w:t>
      </w:r>
      <w:r>
        <w:rPr>
          <w:spacing w:val="-2"/>
        </w:rPr>
        <w:t>信息披露义务，积极承担社会责任，采取有效措施保护投资者特别是中小投资者的合法权益。</w:t>
      </w:r>
    </w:p>
    <w:p>
      <w:pPr>
        <w:pStyle w:val="BodyText"/>
        <w:spacing w:line="297" w:lineRule="auto"/>
        <w:ind w:right="96"/>
        <w:jc w:val="left"/>
      </w:pPr>
      <w:r>
        <w:rPr>
          <w:rFonts w:ascii="宋体" w:hAnsi="宋体" w:cs="宋体" w:eastAsia="宋体" w:hint="default"/>
        </w:rPr>
        <w:t>1</w:t>
      </w:r>
      <w:r>
        <w:rPr/>
        <w:t>、股东及债权人权益保护：公司严格按照《公司法》、《证券法》、《股票上市规则》 等法律法规、部门规章、规范性文件和公司章程的规定，依法召开股东大会，积极采用网络 投票等方式扩大股东参与股东大会的比例。公司严格依法履行信息披露义务，真实、准确、 完整、及时、公平地向所有股东披露信息，不存在选择性信息披露。报告期内，公司对章程 中的利润分配政策和办法进行了修订完善，以保证公司和股东的合法权益。公司的财务政策 </w:t>
      </w:r>
      <w:r>
        <w:rPr>
          <w:spacing w:val="-2"/>
        </w:rPr>
        <w:t>稳健，资产、资金安全，在维护股东利益的同时兼顾债权人的利益。公司在经营决策过程中，</w:t>
      </w:r>
      <w:r>
        <w:rPr/>
        <w:t> 充分考虑债权人的合法权益。</w:t>
      </w:r>
    </w:p>
    <w:p>
      <w:pPr>
        <w:pStyle w:val="BodyText"/>
        <w:spacing w:line="297" w:lineRule="auto" w:before="17"/>
        <w:ind w:right="96"/>
        <w:jc w:val="left"/>
      </w:pPr>
      <w:r>
        <w:rPr>
          <w:rFonts w:ascii="宋体" w:hAnsi="宋体" w:cs="宋体" w:eastAsia="宋体" w:hint="default"/>
          <w:spacing w:val="-3"/>
        </w:rPr>
        <w:t>2</w:t>
      </w:r>
      <w:r>
        <w:rPr>
          <w:spacing w:val="-3"/>
        </w:rPr>
        <w:t>、职工权益保护：公司的用工制度严格按照《劳动法》、《劳动合同法》等法律法规的</w:t>
      </w:r>
      <w:r>
        <w:rPr/>
        <w:t> 要求，充分尊重职工人格，保障职工合法权益，关爱职工，劳资关系和谐稳定。公司为职工 </w:t>
      </w:r>
      <w:r>
        <w:rPr>
          <w:spacing w:val="-2"/>
        </w:rPr>
        <w:t>提供健康、安全的工作环境和生活环境，依法安排职工参加社会保险，在劳动安全卫生制度、</w:t>
      </w:r>
      <w:r>
        <w:rPr/>
        <w:t> 社会保障等方面严格执行国家规定和标准。公司按照国家规定提取和使用职业培训经费，积 极开展职工培训，提高职工技能和素质。</w:t>
      </w:r>
    </w:p>
    <w:p>
      <w:pPr>
        <w:pStyle w:val="BodyText"/>
        <w:spacing w:line="297" w:lineRule="auto"/>
        <w:ind w:right="235"/>
        <w:jc w:val="both"/>
      </w:pPr>
      <w:r>
        <w:rPr>
          <w:rFonts w:ascii="宋体" w:hAnsi="宋体" w:cs="宋体" w:eastAsia="宋体" w:hint="default"/>
          <w:spacing w:val="-3"/>
        </w:rPr>
        <w:t>3</w:t>
      </w:r>
      <w:r>
        <w:rPr>
          <w:spacing w:val="-3"/>
        </w:rPr>
        <w:t>、供应商、客户和消费者权益保护：公司对供应商、客户和消费者诚实守信，充分尊重</w:t>
      </w:r>
      <w:r>
        <w:rPr/>
        <w:t> 供应商、客户的知识产权。公司严格按照国家法律规定，严格监控和防范商业贿赂，各项商 业活动完全遵循公开、公平、公正、有偿、自愿的商业原则。公司严格保管供应商、客户和 消费者的个人信息。公司为客户提供良好的售后服务，及时处理供应商、客户和消费者的投 诉和建议。</w:t>
      </w:r>
    </w:p>
    <w:p>
      <w:pPr>
        <w:pStyle w:val="BodyText"/>
        <w:spacing w:line="297" w:lineRule="auto" w:before="17"/>
        <w:ind w:right="230"/>
        <w:jc w:val="both"/>
      </w:pPr>
      <w:r>
        <w:rPr>
          <w:rFonts w:ascii="宋体" w:hAnsi="宋体" w:cs="宋体" w:eastAsia="宋体" w:hint="default"/>
          <w:spacing w:val="-3"/>
        </w:rPr>
        <w:t>4</w:t>
      </w:r>
      <w:r>
        <w:rPr>
          <w:spacing w:val="-3"/>
        </w:rPr>
        <w:t>、环境保护和可持续发展：公司为环境保护工作提供必要的人力、物力以及技术和财力</w:t>
      </w:r>
      <w:r>
        <w:rPr/>
        <w:t> 的支持。公司采用资源利用率高、污染物排放少的设备和工艺，使用经济合理的废弃物综合 利用技术和污染物处理技术。公司的研发生产均严格执行国家标准、行业标准，未出现环保 事故，未被环保部门处罚或被列入重点污染企业名单。在力所能及的范围内，公司积极参加 社会公益活动，促进企业所在地的发展。</w:t>
      </w:r>
    </w:p>
    <w:p>
      <w:pPr>
        <w:spacing w:after="0" w:line="297" w:lineRule="auto"/>
        <w:jc w:val="both"/>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66"/>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222"/>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spacing w:line="348"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38" w:lineRule="auto" w:before="36"/>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8"/>
        <w:rPr>
          <w:rFonts w:ascii="宋体" w:hAnsi="宋体" w:cs="宋体" w:eastAsia="宋体" w:hint="default"/>
          <w:sz w:val="19"/>
          <w:szCs w:val="19"/>
        </w:rPr>
      </w:pPr>
    </w:p>
    <w:p>
      <w:pPr>
        <w:spacing w:line="480" w:lineRule="auto" w:before="0"/>
        <w:ind w:left="152" w:right="7945" w:firstLine="0"/>
        <w:jc w:val="both"/>
        <w:rPr>
          <w:rFonts w:ascii="宋体" w:hAnsi="宋体" w:cs="宋体" w:eastAsia="宋体" w:hint="default"/>
          <w:sz w:val="21"/>
          <w:szCs w:val="21"/>
        </w:rPr>
      </w:pPr>
      <w:r>
        <w:rPr/>
        <w:pict>
          <v:shape style="position:absolute;margin-left:234.287003pt;margin-top:143.275635pt;width:87.65pt;height:20pt;mso-position-horizontal-relative:page;mso-position-vertical-relative:paragraph;z-index:-839608"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宋体" w:hAnsi="宋体" w:cs="宋体" w:eastAsia="宋体" w:hint="default"/>
          <w:b/>
          <w:bCs/>
          <w:sz w:val="24"/>
          <w:szCs w:val="24"/>
        </w:rPr>
        <w:t>二、资产交易事项</w:t>
      </w:r>
      <w:r>
        <w:rPr>
          <w:rFonts w:ascii="宋体" w:hAnsi="宋体" w:cs="宋体" w:eastAsia="宋体" w:hint="default"/>
          <w:b/>
          <w:bCs/>
          <w:w w:val="99"/>
          <w:sz w:val="24"/>
          <w:szCs w:val="24"/>
        </w:rPr>
        <w:t> </w:t>
      </w:r>
      <w:r>
        <w:rPr>
          <w:rFonts w:ascii="宋体" w:hAnsi="宋体" w:cs="宋体" w:eastAsia="宋体" w:hint="default"/>
          <w:b/>
          <w:bCs/>
          <w:sz w:val="24"/>
          <w:szCs w:val="24"/>
        </w:rPr>
        <w:t>二、资产交易事项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750"/>
        <w:gridCol w:w="749"/>
        <w:gridCol w:w="749"/>
        <w:gridCol w:w="747"/>
        <w:gridCol w:w="1217"/>
        <w:gridCol w:w="1121"/>
        <w:gridCol w:w="747"/>
        <w:gridCol w:w="624"/>
        <w:gridCol w:w="874"/>
        <w:gridCol w:w="997"/>
        <w:gridCol w:w="996"/>
      </w:tblGrid>
      <w:tr>
        <w:trPr>
          <w:trHeight w:val="2588" w:hRule="exact"/>
        </w:trPr>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7"/>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7"/>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华立集 团股份 有限公 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6"/>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浙江华 立科技 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5,300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3" w:right="171"/>
              <w:jc w:val="left"/>
              <w:rPr>
                <w:rFonts w:ascii="宋体" w:hAnsi="宋体" w:cs="宋体" w:eastAsia="宋体" w:hint="default"/>
                <w:sz w:val="18"/>
                <w:szCs w:val="18"/>
              </w:rPr>
            </w:pPr>
            <w:r>
              <w:rPr>
                <w:rFonts w:ascii="宋体" w:hAnsi="宋体" w:cs="宋体" w:eastAsia="宋体" w:hint="default"/>
                <w:sz w:val="18"/>
                <w:szCs w:val="18"/>
              </w:rPr>
              <w:t>已实施 完毕</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1,115.93</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16.74%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before="49"/>
        <w:ind w:left="152" w:right="222"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pStyle w:val="BodyText"/>
        <w:spacing w:line="297" w:lineRule="auto" w:before="109"/>
        <w:ind w:right="111"/>
        <w:jc w:val="left"/>
      </w:pPr>
      <w:r>
        <w:rPr>
          <w:spacing w:val="-2"/>
        </w:rPr>
        <w:t>报告期内，经公司第七届董事会第二次会议审议，公司</w:t>
      </w:r>
      <w:r>
        <w:rPr>
          <w:rFonts w:ascii="宋体" w:hAnsi="宋体" w:cs="宋体" w:eastAsia="宋体" w:hint="default"/>
          <w:spacing w:val="-2"/>
        </w:rPr>
        <w:t>2012</w:t>
      </w:r>
      <w:r>
        <w:rPr>
          <w:spacing w:val="-2"/>
        </w:rPr>
        <w:t>年第二次临时股东大会批准，</w:t>
      </w:r>
      <w:r>
        <w:rPr/>
        <w:t> 同意公司控股子公司华立仪表集团股份有限公司以</w:t>
      </w:r>
      <w:r>
        <w:rPr>
          <w:rFonts w:ascii="宋体" w:hAnsi="宋体" w:cs="宋体" w:eastAsia="宋体" w:hint="default"/>
        </w:rPr>
        <w:t>5300</w:t>
      </w:r>
      <w:r>
        <w:rPr/>
        <w:t>万元的价格收购公司控股股东华立集 团股份有限公司所持有的浙江华立科技有限公司</w:t>
      </w:r>
      <w:r>
        <w:rPr>
          <w:rFonts w:ascii="宋体" w:hAnsi="宋体" w:cs="宋体" w:eastAsia="宋体" w:hint="default"/>
        </w:rPr>
        <w:t>100%</w:t>
      </w:r>
      <w:r>
        <w:rPr/>
        <w:t>股权。华立集团承诺浙江华立科技有限 公司在</w:t>
      </w:r>
      <w:r>
        <w:rPr>
          <w:rFonts w:ascii="宋体" w:hAnsi="宋体" w:cs="宋体" w:eastAsia="宋体" w:hint="default"/>
        </w:rPr>
        <w:t>2012</w:t>
      </w:r>
      <w:r>
        <w:rPr/>
        <w:t>年和</w:t>
      </w:r>
      <w:r>
        <w:rPr>
          <w:rFonts w:ascii="宋体" w:hAnsi="宋体" w:cs="宋体" w:eastAsia="宋体" w:hint="default"/>
        </w:rPr>
        <w:t>2013</w:t>
      </w:r>
      <w:r>
        <w:rPr/>
        <w:t>年实现的净审计净利润合计不低于</w:t>
      </w:r>
      <w:r>
        <w:rPr>
          <w:rFonts w:ascii="宋体" w:hAnsi="宋体" w:cs="宋体" w:eastAsia="宋体" w:hint="default"/>
        </w:rPr>
        <w:t>1200</w:t>
      </w:r>
      <w:r>
        <w:rPr/>
        <w:t>万元，其中</w:t>
      </w:r>
      <w:r>
        <w:rPr>
          <w:rFonts w:ascii="宋体" w:hAnsi="宋体" w:cs="宋体" w:eastAsia="宋体" w:hint="default"/>
        </w:rPr>
        <w:t>2012</w:t>
      </w:r>
      <w:r>
        <w:rPr/>
        <w:t>年不低于</w:t>
      </w:r>
      <w:r>
        <w:rPr>
          <w:rFonts w:ascii="宋体" w:hAnsi="宋体" w:cs="宋体" w:eastAsia="宋体" w:hint="default"/>
        </w:rPr>
        <w:t>600</w:t>
      </w:r>
      <w:r>
        <w:rPr/>
        <w:t>万 元。上述收购事项已如期实施完毕。详见披露于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日的</w:t>
      </w:r>
      <w:r>
        <w:rPr>
          <w:rFonts w:ascii="宋体" w:hAnsi="宋体" w:cs="宋体" w:eastAsia="宋体" w:hint="default"/>
        </w:rPr>
        <w:t>2012-037</w:t>
      </w:r>
      <w:r>
        <w:rPr/>
        <w:t>号，</w:t>
      </w:r>
      <w:r>
        <w:rPr>
          <w:rFonts w:ascii="宋体" w:hAnsi="宋体" w:cs="宋体" w:eastAsia="宋体" w:hint="default"/>
        </w:rPr>
        <w:t>2012-040</w:t>
      </w:r>
      <w:r>
        <w:rPr/>
        <w:t>号公 告，披露于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16</w:t>
      </w:r>
      <w:r>
        <w:rPr/>
        <w:t>日的</w:t>
      </w:r>
      <w:r>
        <w:rPr>
          <w:rFonts w:ascii="宋体" w:hAnsi="宋体" w:cs="宋体" w:eastAsia="宋体" w:hint="default"/>
        </w:rPr>
        <w:t>2012-044</w:t>
      </w:r>
      <w:r>
        <w:rPr/>
        <w:t>号公告以及披露于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18</w:t>
      </w:r>
      <w:r>
        <w:rPr/>
        <w:t>日的</w:t>
      </w:r>
      <w:r>
        <w:rPr>
          <w:rFonts w:ascii="宋体" w:hAnsi="宋体" w:cs="宋体" w:eastAsia="宋体" w:hint="default"/>
        </w:rPr>
        <w:t>2012-045</w:t>
      </w:r>
      <w:r>
        <w:rPr/>
        <w:t>号公告。</w:t>
      </w:r>
    </w:p>
    <w:p>
      <w:pPr>
        <w:spacing w:after="0" w:line="297" w:lineRule="auto"/>
        <w:jc w:val="left"/>
        <w:sectPr>
          <w:pgSz w:w="11910" w:h="16840"/>
          <w:pgMar w:header="745" w:footer="979" w:top="1060" w:bottom="1160" w:left="980" w:right="900"/>
        </w:sectPr>
      </w:pPr>
    </w:p>
    <w:p>
      <w:pPr>
        <w:spacing w:line="240" w:lineRule="auto" w:before="10"/>
        <w:rPr>
          <w:rFonts w:ascii="宋体" w:hAnsi="宋体" w:cs="宋体" w:eastAsia="宋体" w:hint="default"/>
          <w:sz w:val="24"/>
          <w:szCs w:val="24"/>
        </w:rPr>
      </w:pPr>
    </w:p>
    <w:p>
      <w:pPr>
        <w:spacing w:before="36"/>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6"/>
        <w:gridCol w:w="685"/>
        <w:gridCol w:w="684"/>
        <w:gridCol w:w="684"/>
        <w:gridCol w:w="684"/>
        <w:gridCol w:w="682"/>
        <w:gridCol w:w="684"/>
        <w:gridCol w:w="684"/>
        <w:gridCol w:w="680"/>
        <w:gridCol w:w="682"/>
        <w:gridCol w:w="679"/>
      </w:tblGrid>
      <w:tr>
        <w:trPr>
          <w:trHeight w:val="289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重庆新 天泽实 业集 团）有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重庆美 联制药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股权和 债权</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3,950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-53.43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312" w:lineRule="exact" w:before="23"/>
              <w:ind w:left="2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 </w:t>
            </w:r>
            <w:r>
              <w:rPr>
                <w:rFonts w:ascii="Times New Roman" w:hAnsi="Times New Roman" w:cs="Times New Roman" w:eastAsia="Times New Roman" w:hint="default"/>
                <w:sz w:val="18"/>
                <w:szCs w:val="18"/>
              </w:rPr>
              <w:t>2012-02</w:t>
            </w:r>
          </w:p>
          <w:p>
            <w:pPr>
              <w:pStyle w:val="TableParagraph"/>
              <w:spacing w:line="300" w:lineRule="auto" w:before="39"/>
              <w:ind w:left="23"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bl>
    <w:p>
      <w:pPr>
        <w:spacing w:before="49"/>
        <w:ind w:left="152" w:right="109" w:firstLine="0"/>
        <w:jc w:val="left"/>
        <w:rPr>
          <w:rFonts w:ascii="宋体" w:hAnsi="宋体" w:cs="宋体" w:eastAsia="宋体" w:hint="default"/>
          <w:sz w:val="18"/>
          <w:szCs w:val="18"/>
        </w:rPr>
      </w:pPr>
      <w:r>
        <w:rPr>
          <w:rFonts w:ascii="宋体" w:hAnsi="宋体" w:cs="宋体" w:eastAsia="宋体" w:hint="default"/>
          <w:sz w:val="18"/>
          <w:szCs w:val="18"/>
        </w:rPr>
        <w:t>出售资产情况概述</w:t>
      </w:r>
    </w:p>
    <w:p>
      <w:pPr>
        <w:pStyle w:val="BodyText"/>
        <w:spacing w:line="297" w:lineRule="auto" w:before="107"/>
        <w:ind w:right="192"/>
        <w:jc w:val="both"/>
      </w:pPr>
      <w:r>
        <w:rPr/>
        <w:t>报告期内，经公司六届董事会第二十七次会议审议，经</w:t>
      </w:r>
      <w:r>
        <w:rPr>
          <w:rFonts w:ascii="宋体" w:hAnsi="宋体" w:cs="宋体" w:eastAsia="宋体" w:hint="default"/>
        </w:rPr>
        <w:t>2012</w:t>
      </w:r>
      <w:r>
        <w:rPr/>
        <w:t>年公司第一次临时股东大会 </w:t>
      </w:r>
      <w:r>
        <w:rPr>
          <w:spacing w:val="-2"/>
        </w:rPr>
        <w:t>批准，同意将公司持有的重庆美联制药有限公司</w:t>
      </w:r>
      <w:r>
        <w:rPr>
          <w:rFonts w:ascii="宋体" w:hAnsi="宋体" w:cs="宋体" w:eastAsia="宋体" w:hint="default"/>
          <w:spacing w:val="-2"/>
        </w:rPr>
        <w:t>70%</w:t>
      </w:r>
      <w:r>
        <w:rPr>
          <w:spacing w:val="-2"/>
        </w:rPr>
        <w:t>股权及公司和关联公司持有的全部债权转</w:t>
      </w:r>
      <w:r>
        <w:rPr>
          <w:spacing w:val="-117"/>
        </w:rPr>
        <w:t> </w:t>
      </w:r>
      <w:r>
        <w:rPr/>
        <w:t>让给重庆新天泽实业（集团）有限公司，转让价格为人民币</w:t>
      </w:r>
      <w:r>
        <w:rPr>
          <w:rFonts w:ascii="宋体" w:hAnsi="宋体" w:cs="宋体" w:eastAsia="宋体" w:hint="default"/>
        </w:rPr>
        <w:t>3950</w:t>
      </w:r>
      <w:r>
        <w:rPr/>
        <w:t>万元。本次交易已办理完毕 产权过户手续。详见披露于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14</w:t>
      </w:r>
      <w:r>
        <w:rPr/>
        <w:t>日的</w:t>
      </w:r>
      <w:r>
        <w:rPr>
          <w:rFonts w:ascii="宋体" w:hAnsi="宋体" w:cs="宋体" w:eastAsia="宋体" w:hint="default"/>
        </w:rPr>
        <w:t>2012-020</w:t>
      </w:r>
      <w:r>
        <w:rPr/>
        <w:t>号，</w:t>
      </w:r>
      <w:r>
        <w:rPr>
          <w:rFonts w:ascii="宋体" w:hAnsi="宋体" w:cs="宋体" w:eastAsia="宋体" w:hint="default"/>
        </w:rPr>
        <w:t>2012-021</w:t>
      </w:r>
      <w:r>
        <w:rPr/>
        <w:t>号公告，披露于</w:t>
      </w:r>
      <w:r>
        <w:rPr>
          <w:rFonts w:ascii="宋体" w:hAnsi="宋体" w:cs="宋体" w:eastAsia="宋体" w:hint="default"/>
        </w:rPr>
        <w:t>2012</w:t>
      </w:r>
      <w:r>
        <w:rPr/>
        <w:t>年</w:t>
      </w:r>
      <w:r>
        <w:rPr>
          <w:rFonts w:ascii="宋体" w:hAnsi="宋体" w:cs="宋体" w:eastAsia="宋体" w:hint="default"/>
        </w:rPr>
        <w:t>5 </w:t>
      </w:r>
      <w:r>
        <w:rPr/>
        <w:t>月</w:t>
      </w:r>
      <w:r>
        <w:rPr>
          <w:rFonts w:ascii="宋体" w:hAnsi="宋体" w:cs="宋体" w:eastAsia="宋体" w:hint="default"/>
        </w:rPr>
        <w:t>30</w:t>
      </w:r>
      <w:r>
        <w:rPr/>
        <w:t>日的</w:t>
      </w:r>
      <w:r>
        <w:rPr>
          <w:rFonts w:ascii="宋体" w:hAnsi="宋体" w:cs="宋体" w:eastAsia="宋体" w:hint="default"/>
        </w:rPr>
        <w:t>2012-028</w:t>
      </w:r>
      <w:r>
        <w:rPr/>
        <w:t>号公告以及披露于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16</w:t>
      </w:r>
      <w:r>
        <w:rPr/>
        <w:t>日的</w:t>
      </w:r>
      <w:r>
        <w:rPr>
          <w:rFonts w:ascii="宋体" w:hAnsi="宋体" w:cs="宋体" w:eastAsia="宋体" w:hint="default"/>
        </w:rPr>
        <w:t>2012-030</w:t>
      </w:r>
      <w:r>
        <w:rPr/>
        <w:t>号公告。</w:t>
      </w:r>
    </w:p>
    <w:p>
      <w:pPr>
        <w:pStyle w:val="BodyText"/>
        <w:spacing w:line="297" w:lineRule="auto"/>
        <w:ind w:right="109"/>
        <w:jc w:val="left"/>
      </w:pPr>
      <w:r>
        <w:rPr/>
        <w:t>报告期内，经公司七届董事会第二次会议审议，同意将位于重庆市北碚区同兴工业园区 </w:t>
      </w:r>
      <w:r>
        <w:rPr>
          <w:spacing w:val="-2"/>
        </w:rPr>
        <w:t>的</w:t>
      </w:r>
      <w:r>
        <w:rPr>
          <w:rFonts w:ascii="宋体" w:hAnsi="宋体" w:cs="宋体" w:eastAsia="宋体" w:hint="default"/>
          <w:spacing w:val="-2"/>
        </w:rPr>
        <w:t>29,488.2</w:t>
      </w:r>
      <w:r>
        <w:rPr>
          <w:spacing w:val="-2"/>
        </w:rPr>
        <w:t>平方米闲置土地转让给重庆宏美制冷设备有限公司，转让单价为</w:t>
      </w:r>
      <w:r>
        <w:rPr>
          <w:rFonts w:ascii="宋体" w:hAnsi="宋体" w:cs="宋体" w:eastAsia="宋体" w:hint="default"/>
          <w:spacing w:val="-2"/>
        </w:rPr>
        <w:t>30.5</w:t>
      </w:r>
      <w:r>
        <w:rPr>
          <w:spacing w:val="-2"/>
        </w:rPr>
        <w:t>万元</w:t>
      </w:r>
      <w:r>
        <w:rPr>
          <w:rFonts w:ascii="宋体" w:hAnsi="宋体" w:cs="宋体" w:eastAsia="宋体" w:hint="default"/>
          <w:spacing w:val="-2"/>
        </w:rPr>
        <w:t>/</w:t>
      </w:r>
      <w:r>
        <w:rPr>
          <w:spacing w:val="-2"/>
        </w:rPr>
        <w:t>亩，共</w:t>
      </w:r>
      <w:r>
        <w:rPr>
          <w:spacing w:val="-108"/>
        </w:rPr>
        <w:t> </w:t>
      </w:r>
      <w:r>
        <w:rPr>
          <w:spacing w:val="-108"/>
        </w:rPr>
      </w:r>
      <w:r>
        <w:rPr/>
        <w:t>计</w:t>
      </w:r>
      <w:r>
        <w:rPr>
          <w:rFonts w:ascii="宋体" w:hAnsi="宋体" w:cs="宋体" w:eastAsia="宋体" w:hint="default"/>
        </w:rPr>
        <w:t>1,350</w:t>
      </w:r>
      <w:r>
        <w:rPr/>
        <w:t>万元。</w:t>
      </w:r>
      <w:r>
        <w:rPr>
          <w:spacing w:val="-1"/>
        </w:rPr>
        <w:t> </w:t>
      </w:r>
      <w:r>
        <w:rPr/>
        <w:t>交易对方与本公司不存在关联关系，本次交易不构成关联交易，不构成重大</w:t>
      </w:r>
      <w:r>
        <w:rPr/>
        <w:t> 资产重组。本次交易目前仍然在办理过户过程中。详见披露于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日的</w:t>
      </w:r>
      <w:r>
        <w:rPr>
          <w:rFonts w:ascii="宋体" w:hAnsi="宋体" w:cs="宋体" w:eastAsia="宋体" w:hint="default"/>
        </w:rPr>
        <w:t>2012-037</w:t>
      </w:r>
      <w:r>
        <w:rPr/>
        <w:t>号， </w:t>
      </w:r>
      <w:r>
        <w:rPr>
          <w:rFonts w:ascii="宋体" w:hAnsi="宋体" w:cs="宋体" w:eastAsia="宋体" w:hint="default"/>
        </w:rPr>
        <w:t>2012-038</w:t>
      </w:r>
      <w:r>
        <w:rPr/>
        <w:t>号公告。</w:t>
      </w:r>
    </w:p>
    <w:p>
      <w:pPr>
        <w:pStyle w:val="BodyText"/>
        <w:spacing w:line="297" w:lineRule="auto" w:before="17"/>
        <w:ind w:right="188"/>
        <w:jc w:val="both"/>
      </w:pPr>
      <w:r>
        <w:rPr/>
        <w:t>报告期内，经公司七届董事会第三次会议审议，同意将公司持有的洪雅美联曼地亚红豆 </w:t>
      </w:r>
      <w:r>
        <w:rPr>
          <w:spacing w:val="-2"/>
        </w:rPr>
        <w:t>杉种植有限公司</w:t>
      </w:r>
      <w:r>
        <w:rPr>
          <w:rFonts w:ascii="宋体" w:hAnsi="宋体" w:cs="宋体" w:eastAsia="宋体" w:hint="default"/>
          <w:spacing w:val="-2"/>
        </w:rPr>
        <w:t>80%</w:t>
      </w:r>
      <w:r>
        <w:rPr>
          <w:spacing w:val="-2"/>
        </w:rPr>
        <w:t>股权及全部债权在浙江产权交易所“浙江产权交易网”挂牌转让。挂牌价</w:t>
      </w:r>
      <w:r>
        <w:rPr/>
        <w:t> </w:t>
      </w:r>
      <w:r>
        <w:rPr>
          <w:spacing w:val="-2"/>
        </w:rPr>
        <w:t>格</w:t>
      </w:r>
      <w:r>
        <w:rPr>
          <w:rFonts w:ascii="宋体" w:hAnsi="宋体" w:cs="宋体" w:eastAsia="宋体" w:hint="default"/>
          <w:spacing w:val="-2"/>
        </w:rPr>
        <w:t>500</w:t>
      </w:r>
      <w:r>
        <w:rPr>
          <w:spacing w:val="-2"/>
        </w:rPr>
        <w:t>万元。截止报告期末，本次挂牌转让尚未完成征集受让方的工作。详见披露于</w:t>
      </w:r>
      <w:r>
        <w:rPr>
          <w:rFonts w:ascii="宋体" w:hAnsi="宋体" w:cs="宋体" w:eastAsia="宋体" w:hint="default"/>
          <w:spacing w:val="-2"/>
        </w:rPr>
        <w:t>2012</w:t>
      </w:r>
      <w:r>
        <w:rPr>
          <w:spacing w:val="-2"/>
        </w:rPr>
        <w:t>年</w:t>
      </w:r>
      <w:r>
        <w:rPr>
          <w:rFonts w:ascii="宋体" w:hAnsi="宋体" w:cs="宋体" w:eastAsia="宋体" w:hint="default"/>
          <w:spacing w:val="-2"/>
        </w:rPr>
        <w:t>10</w:t>
      </w:r>
      <w:r>
        <w:rPr>
          <w:rFonts w:ascii="宋体" w:hAnsi="宋体" w:cs="宋体" w:eastAsia="宋体" w:hint="default"/>
          <w:spacing w:val="-110"/>
        </w:rPr>
        <w:t> </w:t>
      </w:r>
      <w:r>
        <w:rPr/>
        <w:t>月</w:t>
      </w:r>
      <w:r>
        <w:rPr>
          <w:rFonts w:ascii="宋体" w:hAnsi="宋体" w:cs="宋体" w:eastAsia="宋体" w:hint="default"/>
        </w:rPr>
        <w:t>22</w:t>
      </w:r>
      <w:r>
        <w:rPr/>
        <w:t>日的</w:t>
      </w:r>
      <w:r>
        <w:rPr>
          <w:rFonts w:ascii="宋体" w:hAnsi="宋体" w:cs="宋体" w:eastAsia="宋体" w:hint="default"/>
        </w:rPr>
        <w:t>2012-053</w:t>
      </w:r>
      <w:r>
        <w:rPr/>
        <w:t>号公告和披露于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29</w:t>
      </w:r>
      <w:r>
        <w:rPr/>
        <w:t>日的</w:t>
      </w:r>
      <w:r>
        <w:rPr>
          <w:rFonts w:ascii="宋体" w:hAnsi="宋体" w:cs="宋体" w:eastAsia="宋体" w:hint="default"/>
        </w:rPr>
        <w:t>2012-060</w:t>
      </w:r>
      <w:r>
        <w:rPr/>
        <w:t>号公告。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before="0"/>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9" w:firstLine="0"/>
        <w:jc w:val="left"/>
        <w:rPr>
          <w:rFonts w:ascii="宋体" w:hAnsi="宋体" w:cs="宋体" w:eastAsia="宋体" w:hint="default"/>
          <w:sz w:val="18"/>
          <w:szCs w:val="18"/>
        </w:rPr>
      </w:pPr>
      <w:r>
        <w:rPr>
          <w:rFonts w:ascii="宋体" w:hAnsi="宋体" w:cs="宋体" w:eastAsia="宋体" w:hint="default"/>
          <w:sz w:val="18"/>
          <w:szCs w:val="18"/>
        </w:rPr>
        <w:t>报告期内，公司未发生企业合并事项。</w:t>
      </w:r>
    </w:p>
    <w:p>
      <w:pPr>
        <w:spacing w:after="0"/>
        <w:jc w:val="left"/>
        <w:rPr>
          <w:rFonts w:ascii="宋体" w:hAnsi="宋体" w:cs="宋体" w:eastAsia="宋体" w:hint="default"/>
          <w:sz w:val="18"/>
          <w:szCs w:val="18"/>
        </w:rPr>
        <w:sectPr>
          <w:pgSz w:w="11910" w:h="16840"/>
          <w:pgMar w:header="745" w:footer="979" w:top="1060" w:bottom="1160" w:left="980" w:right="940"/>
        </w:sectPr>
      </w:pPr>
    </w:p>
    <w:p>
      <w:pPr>
        <w:pStyle w:val="Heading3"/>
        <w:spacing w:line="240" w:lineRule="auto" w:before="28"/>
        <w:ind w:left="140" w:right="0"/>
        <w:jc w:val="left"/>
        <w:rPr>
          <w:b w:val="0"/>
          <w:bCs w:val="0"/>
        </w:rPr>
      </w:pPr>
      <w:r>
        <w:rPr/>
        <w:pict>
          <v:group style="position:absolute;margin-left:70.559998pt;margin-top:2.195603pt;width:700.95pt;height:.1pt;mso-position-horizontal-relative:page;mso-position-vertical-relative:paragraph;z-index:-839584" coordorigin="1411,44" coordsize="14019,2">
            <v:shape style="position:absolute;left:1411;top:44;width:14019;height:2" coordorigin="1411,44" coordsize="14019,0" path="m1411,44l15430,44e" filled="false" stroked="true" strokeweight=".72pt" strokecolor="#000000">
              <v:path arrowok="t"/>
            </v:shape>
            <w10:wrap type="none"/>
          </v:group>
        </w:pict>
      </w:r>
      <w:r>
        <w:rPr/>
        <w:t>三、重大关联交易</w:t>
      </w:r>
      <w:r>
        <w:rPr>
          <w:b w:val="0"/>
          <w:bCs w:val="0"/>
        </w:rPr>
      </w:r>
    </w:p>
    <w:p>
      <w:pPr>
        <w:spacing w:line="240" w:lineRule="auto" w:before="12"/>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277"/>
        <w:gridCol w:w="1418"/>
        <w:gridCol w:w="1558"/>
        <w:gridCol w:w="1277"/>
        <w:gridCol w:w="991"/>
        <w:gridCol w:w="711"/>
        <w:gridCol w:w="1274"/>
        <w:gridCol w:w="850"/>
        <w:gridCol w:w="853"/>
        <w:gridCol w:w="566"/>
        <w:gridCol w:w="1702"/>
        <w:gridCol w:w="1416"/>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9" w:right="81"/>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59" w:right="6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6"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浙江华立国际 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25"/>
              <w:jc w:val="left"/>
              <w:rPr>
                <w:rFonts w:ascii="宋体" w:hAnsi="宋体" w:cs="宋体" w:eastAsia="宋体" w:hint="default"/>
                <w:sz w:val="18"/>
                <w:szCs w:val="18"/>
              </w:rPr>
            </w:pPr>
            <w:r>
              <w:rPr>
                <w:rFonts w:ascii="宋体" w:hAnsi="宋体" w:cs="宋体" w:eastAsia="宋体" w:hint="default"/>
                <w:sz w:val="18"/>
                <w:szCs w:val="18"/>
              </w:rPr>
              <w:t>同受华立集团股 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销售产品、商品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销售仪器仪表 等物品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89"/>
              <w:jc w:val="left"/>
              <w:rPr>
                <w:rFonts w:ascii="宋体" w:hAnsi="宋体" w:cs="宋体" w:eastAsia="宋体" w:hint="default"/>
                <w:sz w:val="18"/>
                <w:szCs w:val="18"/>
              </w:rPr>
            </w:pPr>
            <w:r>
              <w:rPr>
                <w:rFonts w:ascii="宋体" w:hAnsi="宋体" w:cs="宋体" w:eastAsia="宋体" w:hint="default"/>
                <w:sz w:val="18"/>
                <w:szCs w:val="18"/>
              </w:rPr>
              <w:t>国家定价</w:t>
            </w:r>
            <w:r>
              <w:rPr>
                <w:rFonts w:ascii="Times New Roman" w:hAnsi="Times New Roman" w:cs="Times New Roman" w:eastAsia="Times New Roman" w:hint="default"/>
                <w:sz w:val="18"/>
                <w:szCs w:val="18"/>
              </w:rPr>
              <w:t>/ </w:t>
            </w:r>
            <w:r>
              <w:rPr>
                <w:rFonts w:ascii="宋体" w:hAnsi="宋体" w:cs="宋体" w:eastAsia="宋体" w:hint="default"/>
                <w:sz w:val="18"/>
                <w:szCs w:val="18"/>
              </w:rPr>
              <w:t>市场定价</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7,955.35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华立集团股份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租入或者租出资产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1" w:right="189"/>
              <w:jc w:val="left"/>
              <w:rPr>
                <w:rFonts w:ascii="宋体" w:hAnsi="宋体" w:cs="宋体" w:eastAsia="宋体" w:hint="default"/>
                <w:sz w:val="18"/>
                <w:szCs w:val="18"/>
              </w:rPr>
            </w:pPr>
            <w:r>
              <w:rPr>
                <w:rFonts w:ascii="宋体" w:hAnsi="宋体" w:cs="宋体" w:eastAsia="宋体" w:hint="default"/>
                <w:sz w:val="18"/>
                <w:szCs w:val="18"/>
              </w:rPr>
              <w:t>国家定价</w:t>
            </w:r>
            <w:r>
              <w:rPr>
                <w:rFonts w:ascii="Times New Roman" w:hAnsi="Times New Roman" w:cs="Times New Roman" w:eastAsia="Times New Roman" w:hint="default"/>
                <w:sz w:val="18"/>
                <w:szCs w:val="18"/>
              </w:rPr>
              <w:t>/ </w:t>
            </w:r>
            <w:r>
              <w:rPr>
                <w:rFonts w:ascii="宋体" w:hAnsi="宋体" w:cs="宋体" w:eastAsia="宋体" w:hint="default"/>
                <w:sz w:val="18"/>
                <w:szCs w:val="18"/>
              </w:rPr>
              <w:t>市场定价</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重庆岩康制药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25"/>
              <w:jc w:val="left"/>
              <w:rPr>
                <w:rFonts w:ascii="宋体" w:hAnsi="宋体" w:cs="宋体" w:eastAsia="宋体" w:hint="default"/>
                <w:sz w:val="18"/>
                <w:szCs w:val="18"/>
              </w:rPr>
            </w:pPr>
            <w:r>
              <w:rPr>
                <w:rFonts w:ascii="宋体" w:hAnsi="宋体" w:cs="宋体" w:eastAsia="宋体" w:hint="default"/>
                <w:sz w:val="18"/>
                <w:szCs w:val="18"/>
              </w:rPr>
              <w:t>同受华立集团股 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租入或者租出资产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89"/>
              <w:jc w:val="left"/>
              <w:rPr>
                <w:rFonts w:ascii="宋体" w:hAnsi="宋体" w:cs="宋体" w:eastAsia="宋体" w:hint="default"/>
                <w:sz w:val="18"/>
                <w:szCs w:val="18"/>
              </w:rPr>
            </w:pPr>
            <w:r>
              <w:rPr>
                <w:rFonts w:ascii="宋体" w:hAnsi="宋体" w:cs="宋体" w:eastAsia="宋体" w:hint="default"/>
                <w:sz w:val="18"/>
                <w:szCs w:val="18"/>
              </w:rPr>
              <w:t>国家定价</w:t>
            </w:r>
            <w:r>
              <w:rPr>
                <w:rFonts w:ascii="Times New Roman" w:hAnsi="Times New Roman" w:cs="Times New Roman" w:eastAsia="Times New Roman" w:hint="default"/>
                <w:sz w:val="18"/>
                <w:szCs w:val="18"/>
              </w:rPr>
              <w:t>/ </w:t>
            </w:r>
            <w:r>
              <w:rPr>
                <w:rFonts w:ascii="宋体" w:hAnsi="宋体" w:cs="宋体" w:eastAsia="宋体" w:hint="default"/>
                <w:sz w:val="18"/>
                <w:szCs w:val="18"/>
              </w:rPr>
              <w:t>市场定价</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8,109.92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55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关联交易的必要性、持续性、选择与关联方（而非市场其他交易方） 进行交易的原因</w:t>
            </w:r>
          </w:p>
        </w:tc>
        <w:tc>
          <w:tcPr>
            <w:tcW w:w="8363"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9" w:lineRule="auto" w:before="49"/>
              <w:ind w:left="9" w:right="48"/>
              <w:jc w:val="left"/>
              <w:rPr>
                <w:rFonts w:ascii="宋体" w:hAnsi="宋体" w:cs="宋体" w:eastAsia="宋体" w:hint="default"/>
                <w:sz w:val="18"/>
                <w:szCs w:val="18"/>
              </w:rPr>
            </w:pPr>
            <w:r>
              <w:rPr>
                <w:rFonts w:ascii="宋体" w:hAnsi="宋体" w:cs="宋体" w:eastAsia="宋体" w:hint="default"/>
                <w:sz w:val="18"/>
                <w:szCs w:val="18"/>
              </w:rPr>
              <w:t>有利于发挥集团的整体优势，实现企业资源的共享，减少企业运作成本，正常的且与日常经营活动相关的 关联交易是有必要的，并会对公司主营业务的持续发展产生有利的影响。</w:t>
            </w:r>
          </w:p>
        </w:tc>
      </w:tr>
      <w:tr>
        <w:trPr>
          <w:trHeight w:val="317" w:hRule="exact"/>
        </w:trPr>
        <w:tc>
          <w:tcPr>
            <w:tcW w:w="553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8363"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4" w:right="49"/>
              <w:jc w:val="both"/>
              <w:rPr>
                <w:rFonts w:ascii="宋体" w:hAnsi="宋体" w:cs="宋体" w:eastAsia="宋体" w:hint="default"/>
                <w:sz w:val="18"/>
                <w:szCs w:val="18"/>
              </w:rPr>
            </w:pPr>
            <w:r>
              <w:rPr>
                <w:rFonts w:ascii="宋体" w:hAnsi="宋体" w:cs="宋体" w:eastAsia="宋体" w:hint="default"/>
                <w:sz w:val="18"/>
                <w:szCs w:val="18"/>
              </w:rPr>
              <w:t>上述关联交易涉及采购销售、出租资产行为，是公司及控股子公司日常生产经营中所必需的持续性业务， 关联交易遵循了公平、公正的交易原则，参照市场化原则定价，价格公允、合理，所有交易符合国家有关 法律、法规的要求，不存在损害公司及中小股东的利益，不会对上市公司的独立性造成不利影响。</w:t>
            </w:r>
          </w:p>
        </w:tc>
      </w:tr>
      <w:tr>
        <w:trPr>
          <w:trHeight w:val="391" w:hRule="exact"/>
        </w:trPr>
        <w:tc>
          <w:tcPr>
            <w:tcW w:w="553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8363" w:type="dxa"/>
            <w:gridSpan w:val="8"/>
            <w:vMerge/>
            <w:tcBorders>
              <w:left w:val="single" w:sz="10" w:space="0" w:color="D2D2D2"/>
              <w:right w:val="single" w:sz="4" w:space="0" w:color="000000"/>
            </w:tcBorders>
          </w:tcPr>
          <w:p>
            <w:pPr/>
          </w:p>
        </w:tc>
      </w:tr>
      <w:tr>
        <w:trPr>
          <w:trHeight w:val="317" w:hRule="exact"/>
        </w:trPr>
        <w:tc>
          <w:tcPr>
            <w:tcW w:w="553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8363" w:type="dxa"/>
            <w:gridSpan w:val="8"/>
            <w:vMerge/>
            <w:tcBorders>
              <w:left w:val="single" w:sz="10" w:space="0" w:color="D2D2D2"/>
              <w:bottom w:val="single" w:sz="4" w:space="0" w:color="000000"/>
              <w:right w:val="single" w:sz="4" w:space="0" w:color="000000"/>
            </w:tcBorders>
          </w:tcPr>
          <w:p>
            <w:pPr/>
          </w:p>
        </w:tc>
      </w:tr>
      <w:tr>
        <w:trPr>
          <w:trHeight w:val="317" w:hRule="exact"/>
        </w:trPr>
        <w:tc>
          <w:tcPr>
            <w:tcW w:w="553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8363" w:type="dxa"/>
            <w:gridSpan w:val="8"/>
            <w:vMerge w:val="restart"/>
            <w:tcBorders>
              <w:top w:val="single" w:sz="4" w:space="0" w:color="000000"/>
              <w:left w:val="single" w:sz="10" w:space="0" w:color="D2D2D2"/>
              <w:right w:val="single" w:sz="4" w:space="0" w:color="000000"/>
            </w:tcBorders>
          </w:tcPr>
          <w:p>
            <w:pPr>
              <w:pStyle w:val="TableParagraph"/>
              <w:spacing w:line="300" w:lineRule="auto" w:before="49"/>
              <w:ind w:left="14" w:right="17"/>
              <w:jc w:val="left"/>
              <w:rPr>
                <w:rFonts w:ascii="宋体" w:hAnsi="宋体" w:cs="宋体" w:eastAsia="宋体" w:hint="default"/>
                <w:sz w:val="18"/>
                <w:szCs w:val="18"/>
              </w:rPr>
            </w:pPr>
            <w:r>
              <w:rPr>
                <w:rFonts w:ascii="宋体" w:hAnsi="宋体" w:cs="宋体" w:eastAsia="宋体" w:hint="default"/>
                <w:spacing w:val="-1"/>
                <w:sz w:val="18"/>
                <w:szCs w:val="18"/>
              </w:rPr>
              <w:t>预计情况：经公司六届二十五次董事会审议通过《公司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年度日常关联交易预估金额的议案》，</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与华立集团及子公司进行的日常租赁关联交易预估总额为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万元；与华立国际进行的各类日常关联交易</w:t>
            </w:r>
          </w:p>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预估总额为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万元；与华立科技进行的各类日常关联交易预估总额为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8500 </w:t>
            </w:r>
            <w:r>
              <w:rPr>
                <w:rFonts w:ascii="宋体" w:hAnsi="宋体" w:cs="宋体" w:eastAsia="宋体" w:hint="default"/>
                <w:sz w:val="18"/>
                <w:szCs w:val="18"/>
              </w:rPr>
              <w:t>万元；与华立电力进行的各</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类日常关联交易预估总额为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万元。实际履行情况：见审计报告附注。</w:t>
            </w:r>
          </w:p>
        </w:tc>
      </w:tr>
      <w:tr>
        <w:trPr>
          <w:trHeight w:val="706" w:hRule="exact"/>
        </w:trPr>
        <w:tc>
          <w:tcPr>
            <w:tcW w:w="553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按类别对本期将发生的日常关联交易进行总金额预计的，在报告期内 的实际履行情况（如有）</w:t>
            </w:r>
          </w:p>
        </w:tc>
        <w:tc>
          <w:tcPr>
            <w:tcW w:w="8363" w:type="dxa"/>
            <w:gridSpan w:val="8"/>
            <w:vMerge/>
            <w:tcBorders>
              <w:left w:val="single" w:sz="10" w:space="0" w:color="D2D2D2"/>
              <w:right w:val="single" w:sz="4" w:space="0" w:color="000000"/>
            </w:tcBorders>
          </w:tcPr>
          <w:p>
            <w:pPr/>
          </w:p>
        </w:tc>
      </w:tr>
      <w:tr>
        <w:trPr>
          <w:trHeight w:val="317" w:hRule="exact"/>
        </w:trPr>
        <w:tc>
          <w:tcPr>
            <w:tcW w:w="553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8363" w:type="dxa"/>
            <w:gridSpan w:val="8"/>
            <w:vMerge/>
            <w:tcBorders>
              <w:left w:val="single" w:sz="10" w:space="0" w:color="D2D2D2"/>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67" w:footer="980" w:top="1060" w:bottom="1160" w:left="1300" w:right="1300"/>
          <w:pgNumType w:start="24"/>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spacing w:before="36"/>
        <w:ind w:left="140" w:right="0" w:firstLine="0"/>
        <w:jc w:val="left"/>
        <w:rPr>
          <w:rFonts w:ascii="宋体" w:hAnsi="宋体" w:cs="宋体" w:eastAsia="宋体" w:hint="default"/>
          <w:sz w:val="21"/>
          <w:szCs w:val="21"/>
        </w:rPr>
      </w:pPr>
      <w:r>
        <w:rPr/>
        <w:pict>
          <v:shape style="position:absolute;margin-left:393.529999pt;margin-top:66.743660pt;width:81.150pt;height:17.650pt;mso-position-horizontal-relative:page;mso-position-vertical-relative:paragraph;z-index:-8395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852"/>
        <w:gridCol w:w="631"/>
        <w:gridCol w:w="737"/>
        <w:gridCol w:w="3169"/>
        <w:gridCol w:w="850"/>
        <w:gridCol w:w="850"/>
        <w:gridCol w:w="994"/>
        <w:gridCol w:w="708"/>
        <w:gridCol w:w="710"/>
        <w:gridCol w:w="850"/>
        <w:gridCol w:w="991"/>
        <w:gridCol w:w="994"/>
        <w:gridCol w:w="1702"/>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57" w:right="60"/>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60" w:firstLine="36"/>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2" w:right="41" w:hanging="92"/>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1" w:right="-44"/>
              <w:jc w:val="left"/>
              <w:rPr>
                <w:rFonts w:ascii="宋体" w:hAnsi="宋体" w:cs="宋体" w:eastAsia="宋体" w:hint="default"/>
                <w:sz w:val="18"/>
                <w:szCs w:val="18"/>
              </w:rPr>
            </w:pP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57" w:right="6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41" w:hanging="92"/>
              <w:jc w:val="left"/>
              <w:rPr>
                <w:rFonts w:ascii="宋体" w:hAnsi="宋体" w:cs="宋体" w:eastAsia="宋体" w:hint="default"/>
                <w:sz w:val="18"/>
                <w:szCs w:val="18"/>
              </w:rPr>
            </w:pPr>
            <w:r>
              <w:rPr>
                <w:rFonts w:ascii="宋体" w:hAnsi="宋体" w:cs="宋体" w:eastAsia="宋体" w:hint="default"/>
                <w:sz w:val="18"/>
                <w:szCs w:val="18"/>
              </w:rPr>
              <w:t>转让资产获 得的收益</w:t>
            </w:r>
          </w:p>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华立集团 股份有限 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 w:right="59"/>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161"/>
              <w:jc w:val="left"/>
              <w:rPr>
                <w:rFonts w:ascii="宋体" w:hAnsi="宋体" w:cs="宋体" w:eastAsia="宋体" w:hint="default"/>
                <w:sz w:val="18"/>
                <w:szCs w:val="18"/>
              </w:rPr>
            </w:pPr>
            <w:r>
              <w:rPr>
                <w:rFonts w:ascii="宋体" w:hAnsi="宋体" w:cs="宋体" w:eastAsia="宋体" w:hint="default"/>
                <w:sz w:val="18"/>
                <w:szCs w:val="18"/>
              </w:rPr>
              <w:t>收购资 产</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公司控股子公司华立仪表集团股份有限 公司收购华立集团股份有限公司所持有 的浙江华立科技有限公司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 w:right="96"/>
              <w:jc w:val="left"/>
              <w:rPr>
                <w:rFonts w:ascii="宋体" w:hAnsi="宋体" w:cs="宋体" w:eastAsia="宋体" w:hint="default"/>
                <w:sz w:val="18"/>
                <w:szCs w:val="18"/>
              </w:rPr>
            </w:pPr>
            <w:r>
              <w:rPr>
                <w:rFonts w:ascii="宋体" w:hAnsi="宋体" w:cs="宋体" w:eastAsia="宋体" w:hint="default"/>
                <w:sz w:val="18"/>
                <w:szCs w:val="18"/>
              </w:rPr>
              <w:t>依据评估 价值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3,796.83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5,332.25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5,332.25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r>
        <w:trPr>
          <w:trHeight w:val="713" w:hRule="exact"/>
        </w:trPr>
        <w:tc>
          <w:tcPr>
            <w:tcW w:w="53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w:t>
            </w:r>
          </w:p>
        </w:tc>
        <w:tc>
          <w:tcPr>
            <w:tcW w:w="864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3"/>
              <w:jc w:val="left"/>
              <w:rPr>
                <w:rFonts w:ascii="宋体" w:hAnsi="宋体" w:cs="宋体" w:eastAsia="宋体" w:hint="default"/>
                <w:sz w:val="18"/>
                <w:szCs w:val="18"/>
              </w:rPr>
            </w:pPr>
            <w:r>
              <w:rPr>
                <w:rFonts w:ascii="宋体" w:hAnsi="宋体" w:cs="宋体" w:eastAsia="宋体" w:hint="default"/>
                <w:spacing w:val="-2"/>
                <w:sz w:val="18"/>
                <w:szCs w:val="18"/>
              </w:rPr>
              <w:t>浙江华立科技有限公司的长期股权投资账面值增值幅度较大，主要是由于浙江华立科技有限公司对其子公司浙</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江华立电网控制系统有限公司采取成本法核算，而该公司近几年经营业绩较好，导致净资产价值增加。</w:t>
            </w:r>
          </w:p>
        </w:tc>
      </w:tr>
      <w:tr>
        <w:trPr>
          <w:trHeight w:val="715" w:hRule="exact"/>
        </w:trPr>
        <w:tc>
          <w:tcPr>
            <w:tcW w:w="53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864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5"/>
              <w:jc w:val="left"/>
              <w:rPr>
                <w:rFonts w:ascii="宋体" w:hAnsi="宋体" w:cs="宋体" w:eastAsia="宋体" w:hint="default"/>
                <w:sz w:val="18"/>
                <w:szCs w:val="18"/>
              </w:rPr>
            </w:pPr>
            <w:r>
              <w:rPr>
                <w:rFonts w:ascii="宋体" w:hAnsi="宋体" w:cs="宋体" w:eastAsia="宋体" w:hint="default"/>
                <w:spacing w:val="-2"/>
                <w:sz w:val="18"/>
                <w:szCs w:val="18"/>
              </w:rPr>
              <w:t>通过收购浙江华立科技有限公司，对公司的电能表表计的生产和销售具有互补作用，有利于整合资源，促进公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司从传统的电能表生产制造企业转型为电能量需求侧整体解决方案提供商，并有效减少关联交易的规模。</w:t>
            </w:r>
          </w:p>
        </w:tc>
      </w:tr>
    </w:tbl>
    <w:p>
      <w:pPr>
        <w:spacing w:line="240" w:lineRule="auto" w:before="3"/>
        <w:rPr>
          <w:rFonts w:ascii="宋体" w:hAnsi="宋体" w:cs="宋体" w:eastAsia="宋体" w:hint="default"/>
          <w:b/>
          <w:bCs/>
          <w:sz w:val="19"/>
          <w:szCs w:val="19"/>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0"/>
          <w:szCs w:val="20"/>
        </w:rPr>
      </w:pPr>
    </w:p>
    <w:p>
      <w:pPr>
        <w:spacing w:before="44"/>
        <w:ind w:left="0" w:right="111" w:firstLine="0"/>
        <w:jc w:val="right"/>
        <w:rPr>
          <w:rFonts w:ascii="宋体" w:hAnsi="宋体" w:cs="宋体" w:eastAsia="宋体" w:hint="default"/>
          <w:sz w:val="18"/>
          <w:szCs w:val="18"/>
        </w:rPr>
      </w:pPr>
      <w:r>
        <w:rPr/>
        <w:pict>
          <v:shape style="position:absolute;margin-left:71.760002pt;margin-top:-8.52829pt;width:702.6pt;height:132.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696"/>
                    <w:gridCol w:w="1558"/>
                    <w:gridCol w:w="1277"/>
                    <w:gridCol w:w="1416"/>
                    <w:gridCol w:w="1561"/>
                    <w:gridCol w:w="1843"/>
                    <w:gridCol w:w="1419"/>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1" w:right="72" w:hanging="180"/>
                          <w:jc w:val="left"/>
                          <w:rPr>
                            <w:rFonts w:ascii="宋体" w:hAnsi="宋体" w:cs="宋体" w:eastAsia="宋体" w:hint="default"/>
                            <w:sz w:val="18"/>
                            <w:szCs w:val="18"/>
                          </w:rPr>
                        </w:pPr>
                        <w:r>
                          <w:rPr>
                            <w:rFonts w:ascii="宋体" w:hAnsi="宋体" w:cs="宋体" w:eastAsia="宋体" w:hint="default"/>
                            <w:sz w:val="18"/>
                            <w:szCs w:val="18"/>
                          </w:rPr>
                          <w:t>是否存在非经营 性资金占用</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期初余额（万元）</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本期发生额（万元）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期末余额（万元</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1,276.55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2,320.99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3,597.53</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769.77</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水电能耗费、零</w:t>
                        </w:r>
                        <w:r>
                          <w:rPr>
                            <w:rFonts w:ascii="宋体" w:hAnsi="宋体" w:cs="宋体" w:eastAsia="宋体" w:hint="default"/>
                            <w:sz w:val="18"/>
                            <w:szCs w:val="18"/>
                          </w:rPr>
                          <w:t> 星材料销售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00" w:right="12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68"/>
        <w:gridCol w:w="2696"/>
        <w:gridCol w:w="1558"/>
        <w:gridCol w:w="1277"/>
        <w:gridCol w:w="1416"/>
        <w:gridCol w:w="1561"/>
        <w:gridCol w:w="1843"/>
        <w:gridCol w:w="1419"/>
      </w:tblGrid>
      <w:tr>
        <w:trPr>
          <w:trHeight w:val="418" w:hRule="exact"/>
        </w:trPr>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6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21,063.91</w:t>
            </w: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15.23</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21,079.14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234.21</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重庆华立武陵山制药有限公 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6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121.01</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40"/>
        </w:sectPr>
      </w:pPr>
    </w:p>
    <w:p>
      <w:pPr>
        <w:spacing w:line="240" w:lineRule="auto" w:before="9"/>
        <w:rPr>
          <w:rFonts w:ascii="Times New Roman" w:hAnsi="Times New Roman" w:cs="Times New Roman" w:eastAsia="Times New Roman" w:hint="default"/>
          <w:sz w:val="23"/>
          <w:szCs w:val="23"/>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97" w:lineRule="auto" w:before="0"/>
        <w:ind w:right="151"/>
        <w:jc w:val="both"/>
      </w:pPr>
      <w:r>
        <w:rPr>
          <w:spacing w:val="-5"/>
        </w:rPr>
        <w:t>报告期内，经公司第六届董事会第二十五次会议和</w:t>
      </w:r>
      <w:r>
        <w:rPr>
          <w:rFonts w:ascii="宋体" w:hAnsi="宋体" w:cs="宋体" w:eastAsia="宋体" w:hint="default"/>
          <w:spacing w:val="-5"/>
        </w:rPr>
        <w:t>2011</w:t>
      </w:r>
      <w:r>
        <w:rPr>
          <w:spacing w:val="-5"/>
        </w:rPr>
        <w:t>年年度股东大会审议，通过了《公</w:t>
      </w:r>
      <w:r>
        <w:rPr/>
        <w:t> 司子公司为华立集团股份有限公司及其子公司提供担保额度的议案》，同意公司控股子公司 华立仪表集团股份有限公司在正常的商业条件下，</w:t>
      </w:r>
      <w:r>
        <w:rPr>
          <w:rFonts w:ascii="宋体" w:hAnsi="宋体" w:cs="宋体" w:eastAsia="宋体" w:hint="default"/>
        </w:rPr>
        <w:t>2012</w:t>
      </w:r>
      <w:r>
        <w:rPr/>
        <w:t>年继续为华立集团股份有限公司及其 </w:t>
      </w:r>
      <w:r>
        <w:rPr>
          <w:spacing w:val="-2"/>
        </w:rPr>
        <w:t>子公司提供</w:t>
      </w:r>
      <w:r>
        <w:rPr>
          <w:rFonts w:ascii="宋体" w:hAnsi="宋体" w:cs="宋体" w:eastAsia="宋体" w:hint="default"/>
          <w:spacing w:val="-2"/>
        </w:rPr>
        <w:t>4</w:t>
      </w:r>
      <w:r>
        <w:rPr>
          <w:spacing w:val="-2"/>
        </w:rPr>
        <w:t>亿元的银行借款担保额度，且在担保期间内，公司子公司为华立集团股份有限公</w:t>
      </w:r>
      <w:r>
        <w:rPr/>
        <w:t> 司及其子公司担保的余额不得高于华立集团股份有限公司及其子公司为公司子公司提供的担 保余额。</w:t>
      </w:r>
    </w:p>
    <w:p>
      <w:pPr>
        <w:pStyle w:val="BodyText"/>
        <w:spacing w:line="297" w:lineRule="auto"/>
        <w:ind w:right="153"/>
        <w:jc w:val="both"/>
      </w:pPr>
      <w:r>
        <w:rPr>
          <w:spacing w:val="-9"/>
        </w:rPr>
        <w:t>报告期内，经公司第六届董事会第二十五次会议和</w:t>
      </w:r>
      <w:r>
        <w:rPr>
          <w:rFonts w:ascii="宋体" w:hAnsi="宋体" w:cs="宋体" w:eastAsia="宋体" w:hint="default"/>
          <w:spacing w:val="-9"/>
        </w:rPr>
        <w:t>2011</w:t>
      </w:r>
      <w:r>
        <w:rPr>
          <w:spacing w:val="-9"/>
        </w:rPr>
        <w:t>年年度股东大会审议，通过了《</w:t>
      </w:r>
      <w:r>
        <w:rPr>
          <w:spacing w:val="33"/>
        </w:rPr>
        <w:t> </w:t>
      </w:r>
      <w:r>
        <w:rPr/>
        <w:t>关</w:t>
      </w:r>
      <w:r>
        <w:rPr/>
        <w:t> 于授权公司向华立集团股份有限公司融资的议案》，同意公司向控股股东华立集团股份有限 公司及其下属子公司维持不超过人民币</w:t>
      </w:r>
      <w:r>
        <w:rPr>
          <w:rFonts w:ascii="宋体" w:hAnsi="宋体" w:cs="宋体" w:eastAsia="宋体" w:hint="default"/>
        </w:rPr>
        <w:t>1.8</w:t>
      </w:r>
      <w:r>
        <w:rPr/>
        <w:t>亿元额度的借款，借款利息不超过年利率</w:t>
      </w:r>
      <w:r>
        <w:rPr>
          <w:rFonts w:ascii="宋体" w:hAnsi="宋体" w:cs="宋体" w:eastAsia="宋体" w:hint="default"/>
        </w:rPr>
        <w:t>8%</w:t>
      </w:r>
      <w:r>
        <w:rPr/>
        <w:t>。</w:t>
      </w:r>
    </w:p>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浙江华智控股股份有限公司子公司关联担 保预估金额公告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49"/>
              <w:ind w:left="26"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http://www.cninfo.com.cn/finalpage/2012-02-2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2/60570185.PDF</w:t>
            </w:r>
          </w:p>
        </w:tc>
      </w:tr>
      <w:tr>
        <w:trPr>
          <w:trHeight w:val="102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浙江华智控股股份有限公司关于向华立集 团股份有限公司融资的关联交易公告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6"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http://www.cninfo.com.cn/finalpage/2012-02-2</w:t>
              </w:r>
            </w:hyperlink>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2/60570187.PDF</w:t>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四、重大合同及其履行情况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3"/>
        <w:gridCol w:w="932"/>
        <w:gridCol w:w="1212"/>
        <w:gridCol w:w="1179"/>
        <w:gridCol w:w="1097"/>
        <w:gridCol w:w="1018"/>
        <w:gridCol w:w="800"/>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40"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7"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6" w:right="32"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6"/>
              <w:jc w:val="center"/>
              <w:rPr>
                <w:rFonts w:ascii="宋体" w:hAnsi="宋体" w:cs="宋体" w:eastAsia="宋体" w:hint="default"/>
                <w:sz w:val="18"/>
                <w:szCs w:val="18"/>
              </w:rPr>
            </w:pPr>
            <w:r>
              <w:rPr>
                <w:rFonts w:ascii="宋体" w:hAnsi="宋体" w:cs="宋体" w:eastAsia="宋体" w:hint="default"/>
                <w:sz w:val="18"/>
                <w:szCs w:val="18"/>
              </w:rPr>
              <w:t>华方医药科技有限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1910" w:h="16840"/>
          <w:pgMar w:header="877" w:footer="979" w:top="1100" w:bottom="1160" w:left="980" w:right="980"/>
          <w:pgNumType w:start="27"/>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06"/>
        <w:gridCol w:w="930"/>
        <w:gridCol w:w="945"/>
        <w:gridCol w:w="1213"/>
        <w:gridCol w:w="1178"/>
        <w:gridCol w:w="1093"/>
        <w:gridCol w:w="1018"/>
        <w:gridCol w:w="803"/>
        <w:gridCol w:w="787"/>
      </w:tblGrid>
      <w:tr>
        <w:trPr>
          <w:trHeight w:val="36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5"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1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3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3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40,000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21,000</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40,000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12,000</w:t>
            </w:r>
          </w:p>
        </w:tc>
      </w:tr>
      <w:tr>
        <w:trPr>
          <w:trHeight w:val="39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6" w:type="dxa"/>
            <w:vMerge w:val="restart"/>
            <w:tcBorders>
              <w:top w:val="single" w:sz="4" w:space="0" w:color="000000"/>
              <w:left w:val="single" w:sz="4" w:space="0" w:color="000000"/>
              <w:right w:val="single" w:sz="4" w:space="0" w:color="FFFFFF"/>
            </w:tcBorders>
            <w:shd w:val="clear" w:color="auto" w:fill="D2D2D2"/>
          </w:tcPr>
          <w:p>
            <w:pPr/>
          </w:p>
        </w:tc>
        <w:tc>
          <w:tcPr>
            <w:tcW w:w="930" w:type="dxa"/>
            <w:tcBorders>
              <w:top w:val="single" w:sz="4" w:space="0" w:color="000000"/>
              <w:left w:val="single" w:sz="4" w:space="0" w:color="FFFFFF"/>
              <w:bottom w:val="nil" w:sz="6" w:space="0" w:color="auto"/>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FFFFFF"/>
            </w:tcBorders>
            <w:shd w:val="clear" w:color="auto" w:fill="D2D2D2"/>
          </w:tcPr>
          <w:p>
            <w:pPr/>
          </w:p>
        </w:tc>
        <w:tc>
          <w:tcPr>
            <w:tcW w:w="1213" w:type="dxa"/>
            <w:tcBorders>
              <w:top w:val="single" w:sz="4" w:space="0" w:color="000000"/>
              <w:left w:val="single" w:sz="4" w:space="0" w:color="FFFFFF"/>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6" w:type="dxa"/>
            <w:vMerge/>
            <w:tcBorders>
              <w:left w:val="single" w:sz="4" w:space="0" w:color="000000"/>
              <w:right w:val="single" w:sz="4" w:space="0" w:color="FFFFFF"/>
            </w:tcBorders>
            <w:shd w:val="clear" w:color="auto" w:fill="D2D2D2"/>
          </w:tcPr>
          <w:p>
            <w:pPr/>
          </w:p>
        </w:tc>
        <w:tc>
          <w:tcPr>
            <w:tcW w:w="930"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10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5" w:type="dxa"/>
            <w:vMerge/>
            <w:tcBorders>
              <w:left w:val="single" w:sz="4" w:space="0" w:color="000000"/>
              <w:right w:val="single" w:sz="4" w:space="0" w:color="FFFFFF"/>
            </w:tcBorders>
            <w:shd w:val="clear" w:color="auto" w:fill="D2D2D2"/>
          </w:tcPr>
          <w:p>
            <w:pPr/>
          </w:p>
        </w:tc>
        <w:tc>
          <w:tcPr>
            <w:tcW w:w="1213"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bottom w:val="nil" w:sz="6" w:space="0" w:color="auto"/>
              <w:right w:val="single" w:sz="4" w:space="0" w:color="FFFFFF"/>
            </w:tcBorders>
            <w:shd w:val="clear" w:color="auto" w:fill="D2D2D2"/>
          </w:tcPr>
          <w:p>
            <w:pPr/>
          </w:p>
        </w:tc>
        <w:tc>
          <w:tcPr>
            <w:tcW w:w="930" w:type="dxa"/>
            <w:vMerge/>
            <w:tcBorders>
              <w:left w:val="single" w:sz="4" w:space="0" w:color="FFFFFF"/>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FFFFFF"/>
            </w:tcBorders>
            <w:shd w:val="clear" w:color="auto" w:fill="D2D2D2"/>
          </w:tcPr>
          <w:p>
            <w:pPr/>
          </w:p>
        </w:tc>
        <w:tc>
          <w:tcPr>
            <w:tcW w:w="1213" w:type="dxa"/>
            <w:vMerge/>
            <w:tcBorders>
              <w:left w:val="single" w:sz="4" w:space="0" w:color="FFFFFF"/>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5" w:right="38"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tcBorders>
              <w:left w:val="single" w:sz="4" w:space="0" w:color="000000"/>
              <w:right w:val="single" w:sz="4" w:space="0" w:color="000000"/>
            </w:tcBorders>
            <w:shd w:val="clear" w:color="auto" w:fill="D2D2D2"/>
          </w:tcPr>
          <w:p>
            <w:pPr/>
          </w:p>
        </w:tc>
      </w:tr>
      <w:tr>
        <w:trPr>
          <w:trHeight w:val="394" w:hRule="exact"/>
        </w:trPr>
        <w:tc>
          <w:tcPr>
            <w:tcW w:w="160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vMerge/>
            <w:tcBorders>
              <w:left w:val="single" w:sz="4" w:space="0" w:color="FFFFFF"/>
              <w:right w:val="single" w:sz="4" w:space="0" w:color="000000"/>
            </w:tcBorders>
            <w:shd w:val="clear" w:color="auto" w:fill="D2D2D2"/>
          </w:tcPr>
          <w:p>
            <w:pPr/>
          </w:p>
        </w:tc>
        <w:tc>
          <w:tcPr>
            <w:tcW w:w="945"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vMerge/>
            <w:tcBorders>
              <w:left w:val="single" w:sz="4" w:space="0" w:color="FFFFFF"/>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FFFFFF"/>
            </w:tcBorders>
            <w:shd w:val="clear" w:color="auto" w:fill="D2D2D2"/>
          </w:tcPr>
          <w:p>
            <w:pPr/>
          </w:p>
        </w:tc>
        <w:tc>
          <w:tcPr>
            <w:tcW w:w="930" w:type="dxa"/>
            <w:vMerge/>
            <w:tcBorders>
              <w:left w:val="single" w:sz="4" w:space="0" w:color="FFFFFF"/>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FFFFFF"/>
            </w:tcBorders>
            <w:shd w:val="clear" w:color="auto" w:fill="D2D2D2"/>
          </w:tcPr>
          <w:p>
            <w:pPr/>
          </w:p>
        </w:tc>
        <w:tc>
          <w:tcPr>
            <w:tcW w:w="1213" w:type="dxa"/>
            <w:vMerge/>
            <w:tcBorders>
              <w:left w:val="single" w:sz="4" w:space="0" w:color="FFFFFF"/>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8"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right w:val="single" w:sz="4" w:space="0" w:color="FFFFFF"/>
            </w:tcBorders>
            <w:shd w:val="clear" w:color="auto" w:fill="D2D2D2"/>
          </w:tcPr>
          <w:p>
            <w:pPr/>
          </w:p>
        </w:tc>
        <w:tc>
          <w:tcPr>
            <w:tcW w:w="930" w:type="dxa"/>
            <w:vMerge/>
            <w:tcBorders>
              <w:left w:val="single" w:sz="4" w:space="0" w:color="FFFFFF"/>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FFFFFF"/>
            </w:tcBorders>
            <w:shd w:val="clear" w:color="auto" w:fill="D2D2D2"/>
          </w:tcPr>
          <w:p>
            <w:pPr/>
          </w:p>
        </w:tc>
        <w:tc>
          <w:tcPr>
            <w:tcW w:w="1213" w:type="dxa"/>
            <w:vMerge/>
            <w:tcBorders>
              <w:left w:val="single" w:sz="4" w:space="0" w:color="FFFFFF"/>
              <w:bottom w:val="nil" w:sz="6" w:space="0" w:color="auto"/>
              <w:right w:val="single" w:sz="4" w:space="0" w:color="000000"/>
            </w:tcBorders>
            <w:shd w:val="clear" w:color="auto" w:fill="D2D2D2"/>
          </w:tcPr>
          <w:p>
            <w:pP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606" w:type="dxa"/>
            <w:vMerge/>
            <w:tcBorders>
              <w:left w:val="single" w:sz="4" w:space="0" w:color="000000"/>
              <w:bottom w:val="single" w:sz="4" w:space="0" w:color="000000"/>
              <w:right w:val="single" w:sz="4" w:space="0" w:color="FFFFFF"/>
            </w:tcBorders>
            <w:shd w:val="clear" w:color="auto" w:fill="D2D2D2"/>
          </w:tcPr>
          <w:p>
            <w:pPr/>
          </w:p>
        </w:tc>
        <w:tc>
          <w:tcPr>
            <w:tcW w:w="930" w:type="dxa"/>
            <w:tcBorders>
              <w:top w:val="nil" w:sz="6" w:space="0" w:color="auto"/>
              <w:left w:val="single" w:sz="4" w:space="0" w:color="FFFFFF"/>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FFFFFF"/>
            </w:tcBorders>
            <w:shd w:val="clear" w:color="auto" w:fill="D2D2D2"/>
          </w:tcPr>
          <w:p>
            <w:pPr/>
          </w:p>
        </w:tc>
        <w:tc>
          <w:tcPr>
            <w:tcW w:w="1213" w:type="dxa"/>
            <w:tcBorders>
              <w:top w:val="nil" w:sz="6" w:space="0" w:color="auto"/>
              <w:left w:val="single" w:sz="4" w:space="0" w:color="FFFFFF"/>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1,275</w:t>
            </w:r>
          </w:p>
        </w:tc>
        <w:tc>
          <w:tcPr>
            <w:tcW w:w="12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1,650</w:t>
            </w:r>
          </w:p>
        </w:tc>
        <w:tc>
          <w:tcPr>
            <w:tcW w:w="12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sz w:val="18"/>
              </w:rPr>
              <w:t>11,100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5,925</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sz w:val="18"/>
              </w:rPr>
              <w:t>11,100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4,650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1"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51,100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26,925</w:t>
            </w: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51,100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16,650</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46.13%</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12,000</w:t>
            </w:r>
          </w:p>
        </w:tc>
      </w:tr>
      <w:tr>
        <w:trPr>
          <w:trHeight w:val="71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2"/>
        <w:gridCol w:w="872"/>
        <w:gridCol w:w="868"/>
        <w:gridCol w:w="873"/>
        <w:gridCol w:w="868"/>
        <w:gridCol w:w="871"/>
        <w:gridCol w:w="858"/>
        <w:gridCol w:w="892"/>
        <w:gridCol w:w="858"/>
        <w:gridCol w:w="871"/>
        <w:gridCol w:w="860"/>
      </w:tblGrid>
      <w:tr>
        <w:trPr>
          <w:trHeight w:val="161"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
        </w:tc>
        <w:tc>
          <w:tcPr>
            <w:tcW w:w="871" w:type="dxa"/>
            <w:vMerge w:val="restart"/>
            <w:tcBorders>
              <w:top w:val="single" w:sz="4" w:space="0" w:color="000000"/>
              <w:left w:val="single" w:sz="4" w:space="0" w:color="000000"/>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9" w:hanging="3"/>
              <w:jc w:val="center"/>
              <w:rPr>
                <w:rFonts w:ascii="宋体" w:hAnsi="宋体" w:cs="宋体" w:eastAsia="宋体" w:hint="default"/>
                <w:sz w:val="18"/>
                <w:szCs w:val="18"/>
              </w:rPr>
            </w:pPr>
            <w:r>
              <w:rPr>
                <w:rFonts w:ascii="宋体" w:hAnsi="宋体" w:cs="宋体" w:eastAsia="宋体" w:hint="default"/>
                <w:sz w:val="18"/>
                <w:szCs w:val="18"/>
              </w:rPr>
              <w:t>截至年报 前违规担 </w:t>
            </w:r>
            <w:r>
              <w:rPr>
                <w:rFonts w:ascii="宋体" w:hAnsi="宋体" w:cs="宋体" w:eastAsia="宋体" w:hint="default"/>
                <w:spacing w:val="-18"/>
                <w:sz w:val="18"/>
                <w:szCs w:val="18"/>
              </w:rPr>
              <w:t>保余额（万</w:t>
            </w:r>
            <w:r>
              <w:rPr>
                <w:rFonts w:ascii="宋体" w:hAnsi="宋体" w:cs="宋体" w:eastAsia="宋体" w:hint="default"/>
                <w:sz w:val="18"/>
                <w:szCs w:val="18"/>
              </w:rPr>
              <w:t> 元）</w:t>
            </w:r>
          </w:p>
        </w:tc>
        <w:tc>
          <w:tcPr>
            <w:tcW w:w="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67"/>
              <w:jc w:val="center"/>
              <w:rPr>
                <w:rFonts w:ascii="宋体" w:hAnsi="宋体" w:cs="宋体" w:eastAsia="宋体" w:hint="default"/>
                <w:sz w:val="18"/>
                <w:szCs w:val="18"/>
              </w:rPr>
            </w:pPr>
            <w:r>
              <w:rPr>
                <w:rFonts w:ascii="宋体" w:hAnsi="宋体" w:cs="宋体" w:eastAsia="宋体" w:hint="default"/>
                <w:sz w:val="18"/>
                <w:szCs w:val="18"/>
              </w:rPr>
              <w:t>违规担保 金额（万 元）</w:t>
            </w:r>
          </w:p>
        </w:tc>
        <w:tc>
          <w:tcPr>
            <w:tcW w:w="8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1"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68"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0"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58" w:type="dxa"/>
            <w:vMerge/>
            <w:tcBorders>
              <w:left w:val="single" w:sz="4" w:space="0" w:color="000000"/>
              <w:bottom w:val="nil" w:sz="6" w:space="0" w:color="auto"/>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70"/>
              <w:jc w:val="center"/>
              <w:rPr>
                <w:rFonts w:ascii="宋体" w:hAnsi="宋体" w:cs="宋体" w:eastAsia="宋体" w:hint="default"/>
                <w:sz w:val="18"/>
                <w:szCs w:val="18"/>
              </w:rPr>
            </w:pPr>
            <w:r>
              <w:rPr>
                <w:rFonts w:ascii="宋体" w:hAnsi="宋体" w:cs="宋体" w:eastAsia="宋体" w:hint="default"/>
                <w:sz w:val="18"/>
                <w:szCs w:val="18"/>
              </w:rPr>
              <w:t>预计解除 金额（万 元）</w:t>
            </w:r>
          </w:p>
        </w:tc>
        <w:tc>
          <w:tcPr>
            <w:tcW w:w="8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56"/>
              <w:jc w:val="center"/>
              <w:rPr>
                <w:rFonts w:ascii="宋体" w:hAnsi="宋体" w:cs="宋体" w:eastAsia="宋体" w:hint="default"/>
                <w:sz w:val="18"/>
                <w:szCs w:val="18"/>
              </w:rPr>
            </w:pPr>
            <w:r>
              <w:rPr>
                <w:rFonts w:ascii="宋体" w:hAnsi="宋体" w:cs="宋体" w:eastAsia="宋体" w:hint="default"/>
                <w:sz w:val="18"/>
                <w:szCs w:val="18"/>
              </w:rPr>
              <w:t>预计解除 时间（月 份）</w:t>
            </w: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5" w:right="65" w:hanging="181"/>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1" w:right="68"/>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68"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71"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394" w:hRule="exact"/>
        </w:trPr>
        <w:tc>
          <w:tcPr>
            <w:tcW w:w="852"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8"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858" w:type="dxa"/>
            <w:vMerge w:val="restart"/>
            <w:tcBorders>
              <w:top w:val="nil" w:sz="6" w:space="0" w:color="auto"/>
              <w:left w:val="single" w:sz="4" w:space="0" w:color="000000"/>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86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8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pict>
          <v:shape style="position:absolute;margin-left:154.216995pt;margin-top:82.463646pt;width:75.150pt;height:17.55pt;mso-position-horizontal-relative:page;mso-position-vertical-relative:paragraph;z-index:-83948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777008pt;margin-top:74.663643pt;width:75.05pt;height:20pt;mso-position-horizontal-relative:page;mso-position-vertical-relative:paragraph;z-index:-839464"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275.690002pt;margin-top:57.023643pt;width:84.05pt;height:22.05pt;mso-position-horizontal-relative:page;mso-position-vertical-relative:paragraph;z-index:-839440" type="#_x0000_t202" filled="false" stroked="false">
            <v:textbox inset="0,0,0,0">
              <w:txbxContent>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日（如有）</w:t>
                  </w: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68"/>
        <w:gridCol w:w="803"/>
        <w:gridCol w:w="866"/>
        <w:gridCol w:w="68"/>
        <w:gridCol w:w="801"/>
        <w:gridCol w:w="869"/>
        <w:gridCol w:w="869"/>
        <w:gridCol w:w="872"/>
        <w:gridCol w:w="869"/>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13"/>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18,059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基本执行 完毕</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中国南方 电网有限 责任公司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基本执行 完毕</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13"/>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35,668.14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35,668.14</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基本执行 完毕</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24,096.95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24,096.95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大部执行 完毕</w:t>
            </w:r>
          </w:p>
        </w:tc>
      </w:tr>
      <w:tr>
        <w:trPr>
          <w:trHeight w:val="134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杭州厚达 自动化系 统有限公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113"/>
              <w:jc w:val="left"/>
              <w:rPr>
                <w:rFonts w:ascii="宋体" w:hAnsi="宋体" w:cs="宋体" w:eastAsia="宋体" w:hint="default"/>
                <w:sz w:val="18"/>
                <w:szCs w:val="18"/>
              </w:rPr>
            </w:pPr>
            <w:r>
              <w:rPr>
                <w:rFonts w:ascii="宋体" w:hAnsi="宋体" w:cs="宋体" w:eastAsia="宋体" w:hint="default"/>
                <w:sz w:val="18"/>
                <w:szCs w:val="18"/>
              </w:rPr>
              <w:t>江苏省电 力公司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4" w:right="113"/>
              <w:jc w:val="left"/>
              <w:rPr>
                <w:rFonts w:ascii="宋体" w:hAnsi="宋体" w:cs="宋体" w:eastAsia="宋体" w:hint="default"/>
                <w:sz w:val="18"/>
                <w:szCs w:val="18"/>
              </w:rPr>
            </w:pPr>
            <w:r>
              <w:rPr>
                <w:rFonts w:ascii="宋体" w:hAnsi="宋体" w:cs="宋体" w:eastAsia="宋体" w:hint="default"/>
                <w:sz w:val="18"/>
                <w:szCs w:val="18"/>
              </w:rPr>
              <w:t>正在执行 中</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杭州厚达 自动化系 统有限公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山东电力 集团公司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正在执行 中</w:t>
            </w:r>
          </w:p>
        </w:tc>
      </w:tr>
      <w:tr>
        <w:trPr>
          <w:trHeight w:val="102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中国南方 电网有限 责任公司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3,444.55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3,444.55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分批执行 中</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华立仪表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国家电网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20,687.17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分批执行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r>
        <w:rPr/>
        <w:pict>
          <v:shape style="position:absolute;margin-left:320.209991pt;margin-top:386.929993pt;width:86.3pt;height:20pt;mso-position-horizontal-relative:page;mso-position-vertical-relative:page;z-index:-839392"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6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6"/>
              <w:jc w:val="left"/>
              <w:rPr>
                <w:rFonts w:ascii="宋体" w:hAnsi="宋体" w:cs="宋体" w:eastAsia="宋体" w:hint="default"/>
                <w:sz w:val="18"/>
                <w:szCs w:val="18"/>
              </w:rPr>
            </w:pPr>
            <w:r>
              <w:rPr>
                <w:rFonts w:ascii="宋体" w:hAnsi="宋体" w:cs="宋体" w:eastAsia="宋体" w:hint="default"/>
                <w:sz w:val="18"/>
                <w:szCs w:val="18"/>
              </w:rPr>
              <w:t>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五、承诺事项履行情况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华立集团股份 有限公司</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54"/>
              <w:jc w:val="both"/>
              <w:rPr>
                <w:rFonts w:ascii="宋体" w:hAnsi="宋体" w:cs="宋体" w:eastAsia="宋体" w:hint="default"/>
                <w:sz w:val="18"/>
                <w:szCs w:val="18"/>
              </w:rPr>
            </w:pPr>
            <w:r>
              <w:rPr>
                <w:rFonts w:ascii="宋体" w:hAnsi="宋体" w:cs="宋体" w:eastAsia="宋体" w:hint="default"/>
                <w:sz w:val="18"/>
                <w:szCs w:val="18"/>
              </w:rPr>
              <w:t>承诺浙江华立 科技有限公司 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w:t>
            </w:r>
          </w:p>
          <w:p>
            <w:pPr>
              <w:pStyle w:val="TableParagraph"/>
              <w:spacing w:line="312" w:lineRule="auto"/>
              <w:ind w:left="23" w:right="10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 经审计净利润 合计不低于人 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1200</w:t>
            </w:r>
          </w:p>
          <w:p>
            <w:pPr>
              <w:pStyle w:val="TableParagraph"/>
              <w:spacing w:line="312" w:lineRule="auto" w:before="3"/>
              <w:ind w:left="23" w:right="6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 现经审计净利 润不低于人民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1757" w:lineRule="exact"/>
              <w:ind w:left="-8" w:right="-51"/>
              <w:jc w:val="left"/>
              <w:rPr>
                <w:rFonts w:ascii="宋体" w:hAnsi="宋体" w:cs="宋体" w:eastAsia="宋体" w:hint="default"/>
                <w:sz w:val="20"/>
                <w:szCs w:val="20"/>
              </w:rPr>
            </w:pPr>
            <w:r>
              <w:rPr>
                <w:rFonts w:ascii="宋体" w:hAnsi="宋体" w:cs="宋体" w:eastAsia="宋体" w:hint="default"/>
                <w:position w:val="-34"/>
                <w:sz w:val="20"/>
                <w:szCs w:val="20"/>
              </w:rPr>
              <w:pict>
                <v:group style="width:63.4pt;height:87.9pt;mso-position-horizontal-relative:char;mso-position-vertical-relative:line" coordorigin="0,0" coordsize="1268,1758">
                  <v:group style="position:absolute;left:0;top:353;width:1268;height:1405" coordorigin="0,353" coordsize="1268,1405">
                    <v:shape style="position:absolute;left:0;top:353;width:1268;height:1405" coordorigin="0,353" coordsize="1268,1405" path="m0,1757l1267,1757,1267,353,0,353,0,1757xe" filled="true" fillcolor="#ffffff" stroked="false">
                      <v:path arrowok="t"/>
                      <v:fill type="solid"/>
                    </v:shape>
                  </v:group>
                  <v:group style="position:absolute;left:24;top:0;width:1222;height:353" coordorigin="24,0" coordsize="1222,353">
                    <v:shape style="position:absolute;left:24;top:0;width:1222;height:353" coordorigin="24,0" coordsize="1222,353" path="m24,353l1246,353,1246,0,24,0,24,353xe" filled="true" fillcolor="#ffffff" stroked="false">
                      <v:path arrowok="t"/>
                      <v:fill type="solid"/>
                    </v:shape>
                  </v:group>
                </v:group>
              </w:pict>
            </w:r>
            <w:r>
              <w:rPr>
                <w:rFonts w:ascii="宋体" w:hAnsi="宋体" w:cs="宋体" w:eastAsia="宋体" w:hint="default"/>
                <w:position w:val="-34"/>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2"/>
              <w:ind w:left="23" w:right="21"/>
              <w:jc w:val="left"/>
              <w:rPr>
                <w:rFonts w:ascii="宋体" w:hAnsi="宋体" w:cs="宋体" w:eastAsia="宋体" w:hint="default"/>
                <w:sz w:val="18"/>
                <w:szCs w:val="18"/>
              </w:rPr>
            </w:pPr>
            <w:r>
              <w:rPr>
                <w:rFonts w:ascii="宋体" w:hAnsi="宋体" w:cs="宋体" w:eastAsia="宋体" w:hint="default"/>
                <w:spacing w:val="-6"/>
                <w:sz w:val="18"/>
                <w:szCs w:val="18"/>
              </w:rPr>
              <w:t>正在履行。</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7"/>
                <w:sz w:val="18"/>
                <w:szCs w:val="18"/>
              </w:rPr>
              <w:t>年，经审计浙江</w:t>
            </w:r>
            <w:r>
              <w:rPr>
                <w:rFonts w:ascii="宋体" w:hAnsi="宋体" w:cs="宋体" w:eastAsia="宋体" w:hint="default"/>
                <w:sz w:val="18"/>
                <w:szCs w:val="18"/>
              </w:rPr>
              <w:t> 华立科技有限 公司实现净利 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1,115.93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年度承诺。</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对浙江华立科技有限公司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年的业绩承诺的解决期限为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24"/>
                <w:sz w:val="18"/>
                <w:szCs w:val="18"/>
              </w:rPr>
              <w:t>日；对</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年的业绩承诺的解决期限为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如有不足部分，分别在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日前以现金形式给予 补足。</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正在履行。</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w:t>
            </w:r>
            <w:r>
              <w:rPr>
                <w:rFonts w:ascii="宋体" w:hAnsi="宋体" w:cs="宋体" w:eastAsia="宋体" w:hint="default"/>
                <w:spacing w:val="-3"/>
                <w:sz w:val="18"/>
                <w:szCs w:val="18"/>
              </w:rPr>
              <w:t>浙</w:t>
            </w:r>
            <w:r>
              <w:rPr>
                <w:rFonts w:ascii="宋体" w:hAnsi="宋体" w:cs="宋体" w:eastAsia="宋体" w:hint="default"/>
                <w:sz w:val="18"/>
                <w:szCs w:val="18"/>
              </w:rPr>
              <w:t>江华立科技有限公司实现净利润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line="259"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b/>
          <w:bCs/>
          <w:sz w:val="19"/>
          <w:szCs w:val="19"/>
        </w:rPr>
      </w:pPr>
    </w:p>
    <w:p>
      <w:pPr>
        <w:pStyle w:val="Heading3"/>
        <w:spacing w:line="240" w:lineRule="auto"/>
        <w:ind w:right="222"/>
        <w:jc w:val="left"/>
        <w:rPr>
          <w:b w:val="0"/>
          <w:bCs w:val="0"/>
        </w:rPr>
      </w:pPr>
      <w:r>
        <w:rPr/>
        <w:t>六、聘任、解聘会计师事务所情况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222"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龙文虎，李青龙</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5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before="0"/>
        <w:ind w:right="0"/>
        <w:jc w:val="both"/>
        <w:rPr>
          <w:b w:val="0"/>
          <w:bCs w:val="0"/>
        </w:rPr>
      </w:pPr>
      <w:r>
        <w:rPr/>
        <w:t>七、其他重大事项的说明</w:t>
      </w:r>
      <w:r>
        <w:rPr>
          <w:b w:val="0"/>
          <w:bCs w:val="0"/>
        </w:rPr>
      </w:r>
    </w:p>
    <w:p>
      <w:pPr>
        <w:spacing w:line="240" w:lineRule="auto" w:before="12"/>
        <w:rPr>
          <w:rFonts w:ascii="宋体" w:hAnsi="宋体" w:cs="宋体" w:eastAsia="宋体" w:hint="default"/>
          <w:b/>
          <w:bCs/>
          <w:sz w:val="25"/>
          <w:szCs w:val="25"/>
        </w:rPr>
      </w:pPr>
    </w:p>
    <w:p>
      <w:pPr>
        <w:pStyle w:val="BodyText"/>
        <w:spacing w:line="297" w:lineRule="auto" w:before="0"/>
        <w:ind w:left="633" w:right="102" w:firstLine="0"/>
        <w:jc w:val="left"/>
      </w:pPr>
      <w:r>
        <w:rPr/>
        <w:t>（一）报告期内，公司董事会共召开八次会议。 </w:t>
      </w:r>
      <w:r>
        <w:rPr>
          <w:rFonts w:ascii="宋体" w:hAnsi="宋体" w:cs="宋体" w:eastAsia="宋体" w:hint="default"/>
          <w:spacing w:val="-7"/>
        </w:rPr>
        <w:t>1</w:t>
      </w:r>
      <w:r>
        <w:rPr>
          <w:spacing w:val="-7"/>
        </w:rPr>
        <w:t>、</w:t>
      </w:r>
      <w:r>
        <w:rPr>
          <w:rFonts w:ascii="宋体" w:hAnsi="宋体" w:cs="宋体" w:eastAsia="宋体" w:hint="default"/>
          <w:spacing w:val="-7"/>
        </w:rPr>
        <w:t>2012</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19</w:t>
      </w:r>
      <w:r>
        <w:rPr>
          <w:spacing w:val="-7"/>
        </w:rPr>
        <w:t>日，召开第六届董事会第</w:t>
      </w:r>
      <w:r>
        <w:rPr>
          <w:rFonts w:ascii="宋体" w:hAnsi="宋体" w:cs="宋体" w:eastAsia="宋体" w:hint="default"/>
          <w:spacing w:val="-7"/>
        </w:rPr>
        <w:t>25</w:t>
      </w:r>
      <w:r>
        <w:rPr>
          <w:spacing w:val="-7"/>
        </w:rPr>
        <w:t>次会议，审议：《</w:t>
      </w:r>
      <w:r>
        <w:rPr>
          <w:rFonts w:ascii="宋体" w:hAnsi="宋体" w:cs="宋体" w:eastAsia="宋体" w:hint="default"/>
          <w:spacing w:val="-7"/>
        </w:rPr>
        <w:t>2011</w:t>
      </w:r>
      <w:r>
        <w:rPr>
          <w:spacing w:val="-7"/>
        </w:rPr>
        <w:t>年度董事会工作报告》；</w:t>
      </w:r>
    </w:p>
    <w:p>
      <w:pPr>
        <w:pStyle w:val="BodyText"/>
        <w:spacing w:line="240" w:lineRule="auto"/>
        <w:ind w:right="0" w:firstLine="0"/>
        <w:jc w:val="both"/>
      </w:pPr>
      <w:r>
        <w:rPr>
          <w:spacing w:val="-2"/>
        </w:rPr>
        <w:t>《</w:t>
      </w:r>
      <w:r>
        <w:rPr>
          <w:rFonts w:ascii="宋体" w:hAnsi="宋体" w:cs="宋体" w:eastAsia="宋体" w:hint="default"/>
          <w:spacing w:val="-2"/>
        </w:rPr>
        <w:t>2011</w:t>
      </w:r>
      <w:r>
        <w:rPr>
          <w:spacing w:val="-2"/>
        </w:rPr>
        <w:t>年度总裁工作报告》；《</w:t>
      </w:r>
      <w:r>
        <w:rPr>
          <w:rFonts w:ascii="宋体" w:hAnsi="宋体" w:cs="宋体" w:eastAsia="宋体" w:hint="default"/>
          <w:spacing w:val="-2"/>
        </w:rPr>
        <w:t>2011</w:t>
      </w:r>
      <w:r>
        <w:rPr>
          <w:spacing w:val="-2"/>
        </w:rPr>
        <w:t>年年度报告及报告摘要》；《</w:t>
      </w:r>
      <w:r>
        <w:rPr>
          <w:rFonts w:ascii="宋体" w:hAnsi="宋体" w:cs="宋体" w:eastAsia="宋体" w:hint="default"/>
          <w:spacing w:val="-2"/>
        </w:rPr>
        <w:t>2011</w:t>
      </w:r>
      <w:r>
        <w:rPr>
          <w:spacing w:val="-2"/>
        </w:rPr>
        <w:t>年度财务决算报告》；</w:t>
      </w:r>
    </w:p>
    <w:p>
      <w:pPr>
        <w:pStyle w:val="BodyText"/>
        <w:spacing w:line="300" w:lineRule="auto" w:before="74"/>
        <w:ind w:right="96" w:firstLine="0"/>
        <w:jc w:val="left"/>
      </w:pPr>
      <w:r>
        <w:rPr/>
        <w:t>《</w:t>
      </w:r>
      <w:r>
        <w:rPr>
          <w:rFonts w:ascii="宋体" w:hAnsi="宋体" w:cs="宋体" w:eastAsia="宋体" w:hint="default"/>
        </w:rPr>
        <w:t>2011</w:t>
      </w:r>
      <w:r>
        <w:rPr/>
        <w:t>年度利润分配预案》；《</w:t>
      </w:r>
      <w:r>
        <w:rPr>
          <w:rFonts w:ascii="宋体" w:hAnsi="宋体" w:cs="宋体" w:eastAsia="宋体" w:hint="default"/>
        </w:rPr>
        <w:t>2011</w:t>
      </w:r>
      <w:r>
        <w:rPr/>
        <w:t>年度内部控制自我评价报告》；《关于向深圳证券交易 </w:t>
      </w:r>
      <w:r>
        <w:rPr>
          <w:spacing w:val="-3"/>
        </w:rPr>
        <w:t>所申请公司股票交易撤销退市风险警示及特别处理的议案》；《关于提取减值准备的议案》；</w:t>
      </w:r>
    </w:p>
    <w:p>
      <w:pPr>
        <w:pStyle w:val="BodyText"/>
        <w:spacing w:line="297" w:lineRule="auto" w:before="14"/>
        <w:ind w:right="231" w:firstLine="0"/>
        <w:jc w:val="both"/>
      </w:pPr>
      <w:r>
        <w:rPr>
          <w:spacing w:val="-5"/>
        </w:rPr>
        <w:t>《审计机构从事</w:t>
      </w:r>
      <w:r>
        <w:rPr>
          <w:rFonts w:ascii="宋体" w:hAnsi="宋体" w:cs="宋体" w:eastAsia="宋体" w:hint="default"/>
          <w:spacing w:val="-5"/>
        </w:rPr>
        <w:t>2011</w:t>
      </w:r>
      <w:r>
        <w:rPr>
          <w:spacing w:val="-5"/>
        </w:rPr>
        <w:t>年度公司审计工作总结报告及聘请公司</w:t>
      </w:r>
      <w:r>
        <w:rPr>
          <w:rFonts w:ascii="宋体" w:hAnsi="宋体" w:cs="宋体" w:eastAsia="宋体" w:hint="default"/>
          <w:spacing w:val="-5"/>
        </w:rPr>
        <w:t>2012</w:t>
      </w:r>
      <w:r>
        <w:rPr>
          <w:spacing w:val="-5"/>
        </w:rPr>
        <w:t>年度审计机构的议案》；《公</w:t>
      </w:r>
      <w:r>
        <w:rPr>
          <w:spacing w:val="-97"/>
        </w:rPr>
        <w:t> </w:t>
      </w:r>
      <w:r>
        <w:rPr>
          <w:spacing w:val="-97"/>
        </w:rPr>
      </w:r>
      <w:r>
        <w:rPr/>
        <w:t>司为控股子公司提供担保额度的议案》；《公司子公司为华立集团股份有限公司及其子公司 提供担保额度的议案》；《关于关联担保借款收取担保费的议案》；《关于授权公司向华立 集团股份有限公司融资的议案》；《关于</w:t>
      </w:r>
      <w:r>
        <w:rPr>
          <w:rFonts w:ascii="宋体" w:hAnsi="宋体" w:cs="宋体" w:eastAsia="宋体" w:hint="default"/>
        </w:rPr>
        <w:t>2012</w:t>
      </w:r>
      <w:r>
        <w:rPr/>
        <w:t>年度日常关联交易预估金额的议案》；《关于 召开</w:t>
      </w:r>
      <w:r>
        <w:rPr>
          <w:rFonts w:ascii="宋体" w:hAnsi="宋体" w:cs="宋体" w:eastAsia="宋体" w:hint="default"/>
        </w:rPr>
        <w:t>2011</w:t>
      </w:r>
      <w:r>
        <w:rPr/>
        <w:t>年年度股东大会的议案》。详见披露于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日的</w:t>
      </w:r>
      <w:r>
        <w:rPr>
          <w:rFonts w:ascii="宋体" w:hAnsi="宋体" w:cs="宋体" w:eastAsia="宋体" w:hint="default"/>
        </w:rPr>
        <w:t>2012-005</w:t>
      </w:r>
      <w:r>
        <w:rPr/>
        <w:t>号公告。</w:t>
      </w:r>
    </w:p>
    <w:p>
      <w:pPr>
        <w:pStyle w:val="BodyText"/>
        <w:spacing w:line="297" w:lineRule="auto"/>
        <w:ind w:right="270"/>
        <w:jc w:val="left"/>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29</w:t>
      </w:r>
      <w:r>
        <w:rPr/>
        <w:t>日，召开第六届董事会第</w:t>
      </w:r>
      <w:r>
        <w:rPr>
          <w:rFonts w:ascii="宋体" w:hAnsi="宋体" w:cs="宋体" w:eastAsia="宋体" w:hint="default"/>
        </w:rPr>
        <w:t>26</w:t>
      </w:r>
      <w:r>
        <w:rPr/>
        <w:t>次会议，审议：《关于子公司华立仪表出资 设立合资公司的议案》；《关于公司内部控制规范实施方案的议案》。详见披露于</w:t>
      </w:r>
      <w:r>
        <w:rPr>
          <w:rFonts w:ascii="宋体" w:hAnsi="宋体" w:cs="宋体" w:eastAsia="宋体" w:hint="default"/>
        </w:rPr>
        <w:t>2012</w:t>
      </w:r>
      <w:r>
        <w:rPr/>
        <w:t>年</w:t>
      </w:r>
      <w:r>
        <w:rPr>
          <w:rFonts w:ascii="宋体" w:hAnsi="宋体" w:cs="宋体" w:eastAsia="宋体" w:hint="default"/>
        </w:rPr>
        <w:t>3 </w:t>
      </w:r>
      <w:r>
        <w:rPr/>
        <w:t>月</w:t>
      </w:r>
      <w:r>
        <w:rPr>
          <w:rFonts w:ascii="宋体" w:hAnsi="宋体" w:cs="宋体" w:eastAsia="宋体" w:hint="default"/>
        </w:rPr>
        <w:t>30</w:t>
      </w:r>
      <w:r>
        <w:rPr/>
        <w:t>日的</w:t>
      </w:r>
      <w:r>
        <w:rPr>
          <w:rFonts w:ascii="宋体" w:hAnsi="宋体" w:cs="宋体" w:eastAsia="宋体" w:hint="default"/>
        </w:rPr>
        <w:t>2012-017</w:t>
      </w:r>
      <w:r>
        <w:rPr/>
        <w:t>号公告。</w:t>
      </w:r>
    </w:p>
    <w:p>
      <w:pPr>
        <w:pStyle w:val="BodyText"/>
        <w:spacing w:line="297" w:lineRule="auto" w:before="17"/>
        <w:ind w:right="270"/>
        <w:jc w:val="both"/>
      </w:pP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12</w:t>
      </w:r>
      <w:r>
        <w:rPr/>
        <w:t>日，召开第六届董事会第</w:t>
      </w:r>
      <w:r>
        <w:rPr>
          <w:rFonts w:ascii="宋体" w:hAnsi="宋体" w:cs="宋体" w:eastAsia="宋体" w:hint="default"/>
        </w:rPr>
        <w:t>27</w:t>
      </w:r>
      <w:r>
        <w:rPr/>
        <w:t>次会议，审议：《关于转让子公司重庆美联 股权及债权的议案》；《关于召开公司</w:t>
      </w:r>
      <w:r>
        <w:rPr>
          <w:rFonts w:ascii="宋体" w:hAnsi="宋体" w:cs="宋体" w:eastAsia="宋体" w:hint="default"/>
        </w:rPr>
        <w:t>2012</w:t>
      </w:r>
      <w:r>
        <w:rPr/>
        <w:t>年度第一次临时股东大会的议案》。详见披露于 </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14</w:t>
      </w:r>
      <w:r>
        <w:rPr/>
        <w:t>日的</w:t>
      </w:r>
      <w:r>
        <w:rPr>
          <w:rFonts w:ascii="宋体" w:hAnsi="宋体" w:cs="宋体" w:eastAsia="宋体" w:hint="default"/>
        </w:rPr>
        <w:t>2012-020</w:t>
      </w:r>
      <w:r>
        <w:rPr/>
        <w:t>号公告。</w:t>
      </w:r>
    </w:p>
    <w:p>
      <w:pPr>
        <w:pStyle w:val="BodyText"/>
        <w:spacing w:line="297" w:lineRule="auto"/>
        <w:ind w:right="270"/>
        <w:jc w:val="left"/>
      </w:pP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日，召开第六届董事会第</w:t>
      </w:r>
      <w:r>
        <w:rPr>
          <w:rFonts w:ascii="宋体" w:hAnsi="宋体" w:cs="宋体" w:eastAsia="宋体" w:hint="default"/>
        </w:rPr>
        <w:t>28</w:t>
      </w:r>
      <w:r>
        <w:rPr/>
        <w:t>次会议，审议《</w:t>
      </w:r>
      <w:r>
        <w:rPr>
          <w:rFonts w:ascii="宋体" w:hAnsi="宋体" w:cs="宋体" w:eastAsia="宋体" w:hint="default"/>
        </w:rPr>
        <w:t>2012</w:t>
      </w:r>
      <w:r>
        <w:rPr/>
        <w:t>年第一季度报告》。详 见披露于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21</w:t>
      </w:r>
      <w:r>
        <w:rPr/>
        <w:t>日的</w:t>
      </w:r>
      <w:r>
        <w:rPr>
          <w:rFonts w:ascii="宋体" w:hAnsi="宋体" w:cs="宋体" w:eastAsia="宋体" w:hint="default"/>
        </w:rPr>
        <w:t>2012-022</w:t>
      </w:r>
      <w:r>
        <w:rPr/>
        <w:t>号公告。</w:t>
      </w:r>
    </w:p>
    <w:p>
      <w:pPr>
        <w:pStyle w:val="BodyText"/>
        <w:spacing w:line="240" w:lineRule="auto"/>
        <w:ind w:left="633" w:right="222" w:firstLine="0"/>
        <w:jc w:val="left"/>
      </w:pPr>
      <w:r>
        <w:rPr>
          <w:rFonts w:ascii="宋体" w:hAnsi="宋体" w:cs="宋体" w:eastAsia="宋体" w:hint="default"/>
        </w:rPr>
        <w:t>5</w:t>
      </w:r>
      <w:r>
        <w:rPr/>
        <w:t>、</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29</w:t>
      </w:r>
      <w:r>
        <w:rPr/>
        <w:t>日，召开第六届董事会第</w:t>
      </w:r>
      <w:r>
        <w:rPr>
          <w:rFonts w:ascii="宋体" w:hAnsi="宋体" w:cs="宋体" w:eastAsia="宋体" w:hint="default"/>
        </w:rPr>
        <w:t>29</w:t>
      </w:r>
      <w:r>
        <w:rPr/>
        <w:t>次会议，审议：《董事会换届选举议案》；</w:t>
      </w:r>
    </w:p>
    <w:p>
      <w:pPr>
        <w:pStyle w:val="BodyText"/>
        <w:spacing w:line="300" w:lineRule="auto" w:before="74"/>
        <w:ind w:right="869" w:firstLine="0"/>
        <w:jc w:val="left"/>
      </w:pPr>
      <w:r>
        <w:rPr/>
        <w:t>《关于召开公司</w:t>
      </w:r>
      <w:r>
        <w:rPr>
          <w:rFonts w:ascii="宋体" w:hAnsi="宋体" w:cs="宋体" w:eastAsia="宋体" w:hint="default"/>
        </w:rPr>
        <w:t>2012</w:t>
      </w:r>
      <w:r>
        <w:rPr/>
        <w:t>年度第一次临时股东大会的议案》。详见披露于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日的 </w:t>
      </w:r>
      <w:r>
        <w:rPr>
          <w:rFonts w:ascii="宋体" w:hAnsi="宋体" w:cs="宋体" w:eastAsia="宋体" w:hint="default"/>
        </w:rPr>
        <w:t>2012-025</w:t>
      </w:r>
      <w:r>
        <w:rPr/>
        <w:t>号公告。</w:t>
      </w:r>
    </w:p>
    <w:p>
      <w:pPr>
        <w:pStyle w:val="BodyText"/>
        <w:spacing w:line="240" w:lineRule="auto" w:before="15"/>
        <w:ind w:left="633" w:right="0" w:firstLine="0"/>
        <w:jc w:val="left"/>
      </w:pPr>
      <w:r>
        <w:rPr>
          <w:rFonts w:ascii="宋体" w:hAnsi="宋体" w:cs="宋体" w:eastAsia="宋体" w:hint="default"/>
        </w:rPr>
        <w:t>6</w:t>
      </w:r>
      <w:r>
        <w:rPr>
          <w:spacing w:val="-75"/>
        </w:rPr>
        <w:t>、</w:t>
      </w:r>
      <w:r>
        <w:rPr>
          <w:rFonts w:ascii="宋体" w:hAnsi="宋体" w:cs="宋体" w:eastAsia="宋体" w:hint="default"/>
        </w:rPr>
        <w:t>201</w:t>
      </w:r>
      <w:r>
        <w:rPr>
          <w:rFonts w:ascii="宋体" w:hAnsi="宋体" w:cs="宋体" w:eastAsia="宋体" w:hint="default"/>
          <w:spacing w:val="-1"/>
        </w:rPr>
        <w:t>2</w:t>
      </w:r>
      <w:r>
        <w:rPr/>
        <w:t>年</w:t>
      </w:r>
      <w:r>
        <w:rPr>
          <w:rFonts w:ascii="宋体" w:hAnsi="宋体" w:cs="宋体" w:eastAsia="宋体" w:hint="default"/>
        </w:rPr>
        <w:t>6</w:t>
      </w:r>
      <w:r>
        <w:rPr/>
        <w:t>月</w:t>
      </w:r>
      <w:r>
        <w:rPr>
          <w:rFonts w:ascii="宋体" w:hAnsi="宋体" w:cs="宋体" w:eastAsia="宋体" w:hint="default"/>
        </w:rPr>
        <w:t>15</w:t>
      </w:r>
      <w:r>
        <w:rPr/>
        <w:t>日</w:t>
      </w:r>
      <w:r>
        <w:rPr>
          <w:spacing w:val="-75"/>
        </w:rPr>
        <w:t>，</w:t>
      </w:r>
      <w:r>
        <w:rPr>
          <w:spacing w:val="2"/>
        </w:rPr>
        <w:t>召</w:t>
      </w:r>
      <w:r>
        <w:rPr/>
        <w:t>开第七届董事会第</w:t>
      </w:r>
      <w:r>
        <w:rPr>
          <w:rFonts w:ascii="宋体" w:hAnsi="宋体" w:cs="宋体" w:eastAsia="宋体" w:hint="default"/>
        </w:rPr>
        <w:t>1</w:t>
      </w:r>
      <w:r>
        <w:rPr/>
        <w:t>次会议</w:t>
      </w:r>
      <w:r>
        <w:rPr>
          <w:spacing w:val="-75"/>
        </w:rPr>
        <w:t>，</w:t>
      </w:r>
      <w:r>
        <w:rPr/>
        <w:t>审议</w:t>
      </w:r>
      <w:r>
        <w:rPr>
          <w:spacing w:val="-149"/>
        </w:rPr>
        <w:t>：</w:t>
      </w:r>
      <w:r>
        <w:rPr/>
        <w:t>《关于选</w:t>
      </w:r>
      <w:r>
        <w:rPr>
          <w:spacing w:val="2"/>
        </w:rPr>
        <w:t>举</w:t>
      </w:r>
      <w:r>
        <w:rPr/>
        <w:t>公司董事长的议案</w:t>
      </w:r>
      <w:r>
        <w:rPr>
          <w:spacing w:val="-75"/>
        </w:rPr>
        <w:t>》</w:t>
      </w:r>
      <w:r>
        <w:rPr/>
        <w:t>；</w:t>
      </w:r>
    </w:p>
    <w:p>
      <w:pPr>
        <w:pStyle w:val="BodyText"/>
        <w:spacing w:line="240" w:lineRule="auto" w:before="77"/>
        <w:ind w:right="0" w:firstLine="0"/>
        <w:jc w:val="both"/>
      </w:pPr>
      <w:r>
        <w:rPr/>
        <w:t>《关于推举董事会四个专业委员会成员的议案》；《关于聘任公司总裁的议案》；《关于聘</w:t>
      </w:r>
    </w:p>
    <w:p>
      <w:pPr>
        <w:spacing w:after="0" w:line="240" w:lineRule="auto"/>
        <w:jc w:val="both"/>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97" w:lineRule="auto" w:before="26"/>
        <w:ind w:right="389" w:firstLine="0"/>
        <w:jc w:val="left"/>
      </w:pPr>
      <w:r>
        <w:rPr/>
        <w:t>任董事会秘书的议案》；《关于聘任公司副总裁、财务总监的议案》。详见披露于</w:t>
      </w:r>
      <w:r>
        <w:rPr>
          <w:rFonts w:ascii="宋体" w:hAnsi="宋体" w:cs="宋体" w:eastAsia="宋体" w:hint="default"/>
        </w:rPr>
        <w:t>2012</w:t>
      </w:r>
      <w:r>
        <w:rPr/>
        <w:t>年</w:t>
      </w:r>
      <w:r>
        <w:rPr>
          <w:rFonts w:ascii="宋体" w:hAnsi="宋体" w:cs="宋体" w:eastAsia="宋体" w:hint="default"/>
        </w:rPr>
        <w:t>6 </w:t>
      </w:r>
      <w:r>
        <w:rPr/>
        <w:t>月</w:t>
      </w:r>
      <w:r>
        <w:rPr>
          <w:rFonts w:ascii="宋体" w:hAnsi="宋体" w:cs="宋体" w:eastAsia="宋体" w:hint="default"/>
        </w:rPr>
        <w:t>16</w:t>
      </w:r>
      <w:r>
        <w:rPr/>
        <w:t>日的</w:t>
      </w:r>
      <w:r>
        <w:rPr>
          <w:rFonts w:ascii="宋体" w:hAnsi="宋体" w:cs="宋体" w:eastAsia="宋体" w:hint="default"/>
        </w:rPr>
        <w:t>2012-031</w:t>
      </w:r>
      <w:r>
        <w:rPr/>
        <w:t>号公告。</w:t>
      </w:r>
    </w:p>
    <w:p>
      <w:pPr>
        <w:pStyle w:val="BodyText"/>
        <w:spacing w:line="297" w:lineRule="auto"/>
        <w:ind w:right="96"/>
        <w:jc w:val="left"/>
      </w:pPr>
      <w:r>
        <w:rPr>
          <w:rFonts w:ascii="宋体" w:hAnsi="宋体" w:cs="宋体" w:eastAsia="宋体" w:hint="default"/>
        </w:rPr>
        <w:t>7</w:t>
      </w:r>
      <w:r>
        <w:rPr/>
        <w:t>、</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日，召开第七届董事会第</w:t>
      </w:r>
      <w:r>
        <w:rPr>
          <w:rFonts w:ascii="宋体" w:hAnsi="宋体" w:cs="宋体" w:eastAsia="宋体" w:hint="default"/>
        </w:rPr>
        <w:t>2</w:t>
      </w:r>
      <w:r>
        <w:rPr/>
        <w:t>次会议，审议：《</w:t>
      </w:r>
      <w:r>
        <w:rPr>
          <w:rFonts w:ascii="宋体" w:hAnsi="宋体" w:cs="宋体" w:eastAsia="宋体" w:hint="default"/>
        </w:rPr>
        <w:t>2012</w:t>
      </w:r>
      <w:r>
        <w:rPr/>
        <w:t>年半年度报告》；《关 于转让公司闲置土地的议案》；《关于转让重庆闲置写字楼房产的议案》；《关于华立仪表 为子公司厚达公司担保的议案》；《关于华立仪表收购华立科技</w:t>
      </w:r>
      <w:r>
        <w:rPr>
          <w:rFonts w:ascii="宋体" w:hAnsi="宋体" w:cs="宋体" w:eastAsia="宋体" w:hint="default"/>
        </w:rPr>
        <w:t>100%</w:t>
      </w:r>
      <w:r>
        <w:rPr/>
        <w:t>股权的议案》；《关于 </w:t>
      </w:r>
      <w:r>
        <w:rPr>
          <w:spacing w:val="-8"/>
        </w:rPr>
        <w:t>修改公司</w:t>
      </w:r>
      <w:r>
        <w:rPr>
          <w:rFonts w:ascii="宋体" w:hAnsi="宋体" w:cs="宋体" w:eastAsia="宋体" w:hint="default"/>
          <w:spacing w:val="-8"/>
        </w:rPr>
        <w:t>&lt;</w:t>
      </w:r>
      <w:r>
        <w:rPr>
          <w:spacing w:val="-8"/>
        </w:rPr>
        <w:t>章程</w:t>
      </w:r>
      <w:r>
        <w:rPr>
          <w:rFonts w:ascii="宋体" w:hAnsi="宋体" w:cs="宋体" w:eastAsia="宋体" w:hint="default"/>
          <w:spacing w:val="-8"/>
        </w:rPr>
        <w:t>&gt;</w:t>
      </w:r>
      <w:r>
        <w:rPr>
          <w:spacing w:val="-8"/>
        </w:rPr>
        <w:t>的议案》；《关于聘任董事会秘书的议案》；《关于</w:t>
      </w:r>
      <w:r>
        <w:rPr>
          <w:rFonts w:ascii="宋体" w:hAnsi="宋体" w:cs="宋体" w:eastAsia="宋体" w:hint="default"/>
          <w:spacing w:val="-8"/>
        </w:rPr>
        <w:t>2012</w:t>
      </w:r>
      <w:r>
        <w:rPr>
          <w:spacing w:val="-8"/>
        </w:rPr>
        <w:t>年高管薪酬的议案》；</w:t>
      </w:r>
    </w:p>
    <w:p>
      <w:pPr>
        <w:pStyle w:val="BodyText"/>
        <w:spacing w:line="297" w:lineRule="auto"/>
        <w:ind w:right="270" w:firstLine="0"/>
        <w:jc w:val="both"/>
      </w:pPr>
      <w:r>
        <w:rPr/>
        <w:t>《关于召开</w:t>
      </w:r>
      <w:r>
        <w:rPr>
          <w:rFonts w:ascii="宋体" w:hAnsi="宋体" w:cs="宋体" w:eastAsia="宋体" w:hint="default"/>
        </w:rPr>
        <w:t>2012</w:t>
      </w:r>
      <w:r>
        <w:rPr/>
        <w:t>年第二次临时股东大会的议案》；《关于调整</w:t>
      </w:r>
      <w:r>
        <w:rPr>
          <w:rFonts w:ascii="宋体" w:hAnsi="宋体" w:cs="宋体" w:eastAsia="宋体" w:hint="default"/>
        </w:rPr>
        <w:t>2011</w:t>
      </w:r>
      <w:r>
        <w:rPr/>
        <w:t>年与华越南方日常关联交 易额度的议案》。详见披露于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日的</w:t>
      </w:r>
      <w:r>
        <w:rPr>
          <w:rFonts w:ascii="宋体" w:hAnsi="宋体" w:cs="宋体" w:eastAsia="宋体" w:hint="default"/>
        </w:rPr>
        <w:t>2012-037</w:t>
      </w:r>
      <w:r>
        <w:rPr/>
        <w:t>号公告。</w:t>
      </w:r>
    </w:p>
    <w:p>
      <w:pPr>
        <w:pStyle w:val="BodyText"/>
        <w:spacing w:line="240" w:lineRule="auto"/>
        <w:ind w:left="633" w:right="222" w:firstLine="0"/>
        <w:jc w:val="left"/>
      </w:pPr>
      <w:r>
        <w:rPr>
          <w:rFonts w:ascii="宋体" w:hAnsi="宋体" w:cs="宋体" w:eastAsia="宋体" w:hint="default"/>
        </w:rPr>
        <w:t>8</w:t>
      </w:r>
      <w:r>
        <w:rPr/>
        <w:t>、</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18</w:t>
      </w:r>
      <w:r>
        <w:rPr/>
        <w:t>日，召开第七届董事会第</w:t>
      </w:r>
      <w:r>
        <w:rPr>
          <w:rFonts w:ascii="宋体" w:hAnsi="宋体" w:cs="宋体" w:eastAsia="宋体" w:hint="default"/>
        </w:rPr>
        <w:t>3</w:t>
      </w:r>
      <w:r>
        <w:rPr/>
        <w:t>次会议，审议：《</w:t>
      </w:r>
      <w:r>
        <w:rPr>
          <w:rFonts w:ascii="宋体" w:hAnsi="宋体" w:cs="宋体" w:eastAsia="宋体" w:hint="default"/>
        </w:rPr>
        <w:t>2012</w:t>
      </w:r>
      <w:r>
        <w:rPr/>
        <w:t>年第三季度报告》；</w:t>
      </w:r>
    </w:p>
    <w:p>
      <w:pPr>
        <w:pStyle w:val="BodyText"/>
        <w:spacing w:line="297" w:lineRule="auto" w:before="75"/>
        <w:ind w:right="270" w:firstLine="0"/>
        <w:jc w:val="both"/>
      </w:pPr>
      <w:r>
        <w:rPr/>
        <w:t>《关于增加公司经营范围的议案》；《关于修改公司</w:t>
      </w:r>
      <w:r>
        <w:rPr>
          <w:rFonts w:ascii="宋体" w:hAnsi="宋体" w:cs="宋体" w:eastAsia="宋体" w:hint="default"/>
        </w:rPr>
        <w:t>&lt;</w:t>
      </w:r>
      <w:r>
        <w:rPr/>
        <w:t>章程</w:t>
      </w:r>
      <w:r>
        <w:rPr>
          <w:rFonts w:ascii="宋体" w:hAnsi="宋体" w:cs="宋体" w:eastAsia="宋体" w:hint="default"/>
        </w:rPr>
        <w:t>&gt;</w:t>
      </w:r>
      <w:r>
        <w:rPr/>
        <w:t>的议案》；《关于将洪雅美联曼 地亚红豆杉种植有限公司股权及债权挂牌出让的议案》；《关于召开</w:t>
      </w:r>
      <w:r>
        <w:rPr>
          <w:rFonts w:ascii="宋体" w:hAnsi="宋体" w:cs="宋体" w:eastAsia="宋体" w:hint="default"/>
        </w:rPr>
        <w:t>2012</w:t>
      </w:r>
      <w:r>
        <w:rPr/>
        <w:t>年第三次临时股东 大会的议案》。详见披露于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19</w:t>
      </w:r>
      <w:r>
        <w:rPr/>
        <w:t>日的</w:t>
      </w:r>
      <w:r>
        <w:rPr>
          <w:rFonts w:ascii="宋体" w:hAnsi="宋体" w:cs="宋体" w:eastAsia="宋体" w:hint="default"/>
        </w:rPr>
        <w:t>2012-049</w:t>
      </w:r>
      <w:r>
        <w:rPr/>
        <w:t>号公告。</w:t>
      </w:r>
    </w:p>
    <w:p>
      <w:pPr>
        <w:pStyle w:val="BodyText"/>
        <w:spacing w:line="297" w:lineRule="auto"/>
        <w:ind w:left="633" w:right="102" w:firstLine="0"/>
        <w:jc w:val="left"/>
      </w:pPr>
      <w:r>
        <w:rPr/>
        <w:t>（二）报告期内，公司监事会共召开</w:t>
      </w:r>
      <w:r>
        <w:rPr>
          <w:rFonts w:ascii="宋体" w:hAnsi="宋体" w:cs="宋体" w:eastAsia="宋体" w:hint="default"/>
        </w:rPr>
        <w:t>7</w:t>
      </w:r>
      <w:r>
        <w:rPr/>
        <w:t>次会议。 </w:t>
      </w:r>
      <w:r>
        <w:rPr>
          <w:rFonts w:ascii="宋体" w:hAnsi="宋体" w:cs="宋体" w:eastAsia="宋体" w:hint="default"/>
          <w:spacing w:val="-7"/>
        </w:rPr>
        <w:t>1</w:t>
      </w:r>
      <w:r>
        <w:rPr>
          <w:spacing w:val="-7"/>
        </w:rPr>
        <w:t>、</w:t>
      </w:r>
      <w:r>
        <w:rPr>
          <w:rFonts w:ascii="宋体" w:hAnsi="宋体" w:cs="宋体" w:eastAsia="宋体" w:hint="default"/>
          <w:spacing w:val="-7"/>
        </w:rPr>
        <w:t>2012</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19</w:t>
      </w:r>
      <w:r>
        <w:rPr>
          <w:spacing w:val="-7"/>
        </w:rPr>
        <w:t>日，召开第六届监事会第</w:t>
      </w:r>
      <w:r>
        <w:rPr>
          <w:rFonts w:ascii="宋体" w:hAnsi="宋体" w:cs="宋体" w:eastAsia="宋体" w:hint="default"/>
          <w:spacing w:val="-7"/>
        </w:rPr>
        <w:t>14</w:t>
      </w:r>
      <w:r>
        <w:rPr>
          <w:spacing w:val="-7"/>
        </w:rPr>
        <w:t>次会议，审议：《</w:t>
      </w:r>
      <w:r>
        <w:rPr>
          <w:rFonts w:ascii="宋体" w:hAnsi="宋体" w:cs="宋体" w:eastAsia="宋体" w:hint="default"/>
          <w:spacing w:val="-7"/>
        </w:rPr>
        <w:t>2011</w:t>
      </w:r>
      <w:r>
        <w:rPr>
          <w:spacing w:val="-7"/>
        </w:rPr>
        <w:t>年度监事会工作报告》；</w:t>
      </w:r>
    </w:p>
    <w:p>
      <w:pPr>
        <w:pStyle w:val="BodyText"/>
        <w:spacing w:line="240" w:lineRule="auto"/>
        <w:ind w:right="0" w:firstLine="0"/>
        <w:jc w:val="both"/>
      </w:pPr>
      <w:r>
        <w:rPr>
          <w:spacing w:val="-2"/>
        </w:rPr>
        <w:t>《</w:t>
      </w:r>
      <w:r>
        <w:rPr>
          <w:rFonts w:ascii="宋体" w:hAnsi="宋体" w:cs="宋体" w:eastAsia="宋体" w:hint="default"/>
          <w:spacing w:val="-2"/>
        </w:rPr>
        <w:t>2011</w:t>
      </w:r>
      <w:r>
        <w:rPr>
          <w:spacing w:val="-2"/>
        </w:rPr>
        <w:t>年年度报告及报告摘要》；《</w:t>
      </w:r>
      <w:r>
        <w:rPr>
          <w:rFonts w:ascii="宋体" w:hAnsi="宋体" w:cs="宋体" w:eastAsia="宋体" w:hint="default"/>
          <w:spacing w:val="-2"/>
        </w:rPr>
        <w:t>2011</w:t>
      </w:r>
      <w:r>
        <w:rPr>
          <w:spacing w:val="-2"/>
        </w:rPr>
        <w:t>年度财务决算报告》；《</w:t>
      </w:r>
      <w:r>
        <w:rPr>
          <w:rFonts w:ascii="宋体" w:hAnsi="宋体" w:cs="宋体" w:eastAsia="宋体" w:hint="default"/>
          <w:spacing w:val="-2"/>
        </w:rPr>
        <w:t>2011</w:t>
      </w:r>
      <w:r>
        <w:rPr>
          <w:spacing w:val="-2"/>
        </w:rPr>
        <w:t>年度利润分配预案》；</w:t>
      </w:r>
    </w:p>
    <w:p>
      <w:pPr>
        <w:pStyle w:val="BodyText"/>
        <w:spacing w:line="297" w:lineRule="auto" w:before="74"/>
        <w:ind w:right="269" w:firstLine="0"/>
        <w:jc w:val="both"/>
      </w:pPr>
      <w:r>
        <w:rPr/>
        <w:t>《</w:t>
      </w:r>
      <w:r>
        <w:rPr>
          <w:rFonts w:ascii="宋体" w:hAnsi="宋体" w:cs="宋体" w:eastAsia="宋体" w:hint="default"/>
        </w:rPr>
        <w:t>2011</w:t>
      </w:r>
      <w:r>
        <w:rPr/>
        <w:t>年度内部控制自我评价报告》；《关于提取减值准备的议案》；《审计机构从事</w:t>
      </w:r>
      <w:r>
        <w:rPr>
          <w:rFonts w:ascii="宋体" w:hAnsi="宋体" w:cs="宋体" w:eastAsia="宋体" w:hint="default"/>
        </w:rPr>
        <w:t>2011 </w:t>
      </w:r>
      <w:r>
        <w:rPr/>
        <w:t>年度公司审计工作总结报告及聘请公司</w:t>
      </w:r>
      <w:r>
        <w:rPr>
          <w:rFonts w:ascii="宋体" w:hAnsi="宋体" w:cs="宋体" w:eastAsia="宋体" w:hint="default"/>
        </w:rPr>
        <w:t>2012</w:t>
      </w:r>
      <w:r>
        <w:rPr/>
        <w:t>年度审计机构的议案》；《关于提名贺红云先生 为监事候选人的议案》。详见披露于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日的</w:t>
      </w:r>
      <w:r>
        <w:rPr>
          <w:rFonts w:ascii="宋体" w:hAnsi="宋体" w:cs="宋体" w:eastAsia="宋体" w:hint="default"/>
        </w:rPr>
        <w:t>2012-006</w:t>
      </w:r>
      <w:r>
        <w:rPr/>
        <w:t>号公告。</w:t>
      </w:r>
    </w:p>
    <w:p>
      <w:pPr>
        <w:pStyle w:val="BodyText"/>
        <w:spacing w:line="297" w:lineRule="auto"/>
        <w:ind w:right="270"/>
        <w:jc w:val="left"/>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日，召开第六届监事会第</w:t>
      </w:r>
      <w:r>
        <w:rPr>
          <w:rFonts w:ascii="宋体" w:hAnsi="宋体" w:cs="宋体" w:eastAsia="宋体" w:hint="default"/>
        </w:rPr>
        <w:t>15</w:t>
      </w:r>
      <w:r>
        <w:rPr/>
        <w:t>次会议，审议《</w:t>
      </w:r>
      <w:r>
        <w:rPr>
          <w:rFonts w:ascii="宋体" w:hAnsi="宋体" w:cs="宋体" w:eastAsia="宋体" w:hint="default"/>
        </w:rPr>
        <w:t>2012</w:t>
      </w:r>
      <w:r>
        <w:rPr/>
        <w:t>年第一季度报告》。详 见披露于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21</w:t>
      </w:r>
      <w:r>
        <w:rPr/>
        <w:t>日的</w:t>
      </w:r>
      <w:r>
        <w:rPr>
          <w:rFonts w:ascii="宋体" w:hAnsi="宋体" w:cs="宋体" w:eastAsia="宋体" w:hint="default"/>
        </w:rPr>
        <w:t>2012-022</w:t>
      </w:r>
      <w:r>
        <w:rPr/>
        <w:t>号公告。</w:t>
      </w:r>
    </w:p>
    <w:p>
      <w:pPr>
        <w:pStyle w:val="BodyText"/>
        <w:spacing w:line="297" w:lineRule="auto"/>
        <w:ind w:right="270"/>
        <w:jc w:val="left"/>
      </w:pP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29</w:t>
      </w:r>
      <w:r>
        <w:rPr/>
        <w:t>日，召开第六届监事会第</w:t>
      </w:r>
      <w:r>
        <w:rPr>
          <w:rFonts w:ascii="宋体" w:hAnsi="宋体" w:cs="宋体" w:eastAsia="宋体" w:hint="default"/>
        </w:rPr>
        <w:t>16</w:t>
      </w:r>
      <w:r>
        <w:rPr/>
        <w:t>次会议，审议《监事会换届选举议案》。详 见披露于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日的</w:t>
      </w:r>
      <w:r>
        <w:rPr>
          <w:rFonts w:ascii="宋体" w:hAnsi="宋体" w:cs="宋体" w:eastAsia="宋体" w:hint="default"/>
        </w:rPr>
        <w:t>2012-026</w:t>
      </w:r>
      <w:r>
        <w:rPr/>
        <w:t>号公告。</w:t>
      </w:r>
    </w:p>
    <w:p>
      <w:pPr>
        <w:pStyle w:val="BodyText"/>
        <w:spacing w:line="297" w:lineRule="auto"/>
        <w:ind w:right="232"/>
        <w:jc w:val="left"/>
      </w:pPr>
      <w:r>
        <w:rPr>
          <w:rFonts w:ascii="宋体" w:hAnsi="宋体" w:cs="宋体" w:eastAsia="宋体" w:hint="default"/>
          <w:spacing w:val="-2"/>
        </w:rPr>
        <w:t>4</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日，召开第七届监事会第</w:t>
      </w:r>
      <w:r>
        <w:rPr>
          <w:rFonts w:ascii="宋体" w:hAnsi="宋体" w:cs="宋体" w:eastAsia="宋体" w:hint="default"/>
          <w:spacing w:val="-2"/>
        </w:rPr>
        <w:t>1</w:t>
      </w:r>
      <w:r>
        <w:rPr>
          <w:spacing w:val="-2"/>
        </w:rPr>
        <w:t>次会议，审议《关于选举贺红云先生为监事会</w:t>
      </w:r>
      <w:r>
        <w:rPr/>
        <w:t> 主席的议案》。详见披露于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16</w:t>
      </w:r>
      <w:r>
        <w:rPr/>
        <w:t>日的</w:t>
      </w:r>
      <w:r>
        <w:rPr>
          <w:rFonts w:ascii="宋体" w:hAnsi="宋体" w:cs="宋体" w:eastAsia="宋体" w:hint="default"/>
        </w:rPr>
        <w:t>2012-032</w:t>
      </w:r>
      <w:r>
        <w:rPr/>
        <w:t>号公告。</w:t>
      </w:r>
    </w:p>
    <w:p>
      <w:pPr>
        <w:pStyle w:val="BodyText"/>
        <w:spacing w:line="297" w:lineRule="auto"/>
        <w:ind w:right="232"/>
        <w:jc w:val="left"/>
      </w:pPr>
      <w:r>
        <w:rPr>
          <w:rFonts w:ascii="宋体" w:hAnsi="宋体" w:cs="宋体" w:eastAsia="宋体" w:hint="default"/>
          <w:spacing w:val="-2"/>
        </w:rPr>
        <w:t>5</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日，召开第七届监事会第</w:t>
      </w:r>
      <w:r>
        <w:rPr>
          <w:rFonts w:ascii="宋体" w:hAnsi="宋体" w:cs="宋体" w:eastAsia="宋体" w:hint="default"/>
          <w:spacing w:val="-2"/>
        </w:rPr>
        <w:t>2</w:t>
      </w:r>
      <w:r>
        <w:rPr>
          <w:spacing w:val="-2"/>
        </w:rPr>
        <w:t>次会议，审议《</w:t>
      </w:r>
      <w:r>
        <w:rPr>
          <w:rFonts w:ascii="宋体" w:hAnsi="宋体" w:cs="宋体" w:eastAsia="宋体" w:hint="default"/>
          <w:spacing w:val="-2"/>
        </w:rPr>
        <w:t>2012</w:t>
      </w:r>
      <w:r>
        <w:rPr>
          <w:spacing w:val="-2"/>
        </w:rPr>
        <w:t>年半年度报告》。详见披</w:t>
      </w:r>
      <w:r>
        <w:rPr/>
        <w:t> 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日的</w:t>
      </w:r>
      <w:r>
        <w:rPr>
          <w:rFonts w:ascii="宋体" w:hAnsi="宋体" w:cs="宋体" w:eastAsia="宋体" w:hint="default"/>
        </w:rPr>
        <w:t>2012-036</w:t>
      </w:r>
      <w:r>
        <w:rPr/>
        <w:t>号公告。</w:t>
      </w:r>
    </w:p>
    <w:p>
      <w:pPr>
        <w:pStyle w:val="BodyText"/>
        <w:spacing w:line="240" w:lineRule="auto"/>
        <w:ind w:left="633" w:right="222" w:firstLine="0"/>
        <w:jc w:val="left"/>
      </w:pPr>
      <w:r>
        <w:rPr>
          <w:rFonts w:ascii="宋体" w:hAnsi="宋体" w:cs="宋体" w:eastAsia="宋体" w:hint="default"/>
        </w:rPr>
        <w:t>6</w:t>
      </w:r>
      <w:r>
        <w:rPr/>
        <w:t>、</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18</w:t>
      </w:r>
      <w:r>
        <w:rPr/>
        <w:t>日，召开第七届监事会第</w:t>
      </w:r>
      <w:r>
        <w:rPr>
          <w:rFonts w:ascii="宋体" w:hAnsi="宋体" w:cs="宋体" w:eastAsia="宋体" w:hint="default"/>
        </w:rPr>
        <w:t>3</w:t>
      </w:r>
      <w:r>
        <w:rPr/>
        <w:t>次会议，审议：《</w:t>
      </w:r>
      <w:r>
        <w:rPr>
          <w:rFonts w:ascii="宋体" w:hAnsi="宋体" w:cs="宋体" w:eastAsia="宋体" w:hint="default"/>
        </w:rPr>
        <w:t>2012</w:t>
      </w:r>
      <w:r>
        <w:rPr/>
        <w:t>年第三季度报告》；</w:t>
      </w:r>
    </w:p>
    <w:p>
      <w:pPr>
        <w:pStyle w:val="BodyText"/>
        <w:spacing w:line="300" w:lineRule="auto" w:before="74"/>
        <w:ind w:left="633" w:right="219" w:hanging="481"/>
        <w:jc w:val="left"/>
      </w:pPr>
      <w:r>
        <w:rPr/>
        <w:t>《关于选举胡剑先生为公司监事的议案》。详见披露于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19</w:t>
      </w:r>
      <w:r>
        <w:rPr/>
        <w:t>日的</w:t>
      </w:r>
      <w:r>
        <w:rPr>
          <w:rFonts w:ascii="宋体" w:hAnsi="宋体" w:cs="宋体" w:eastAsia="宋体" w:hint="default"/>
        </w:rPr>
        <w:t>2012-050</w:t>
      </w:r>
      <w:r>
        <w:rPr/>
        <w:t>号公告。 </w:t>
      </w:r>
      <w:r>
        <w:rPr>
          <w:rFonts w:ascii="宋体" w:hAnsi="宋体" w:cs="宋体" w:eastAsia="宋体" w:hint="default"/>
          <w:spacing w:val="-2"/>
        </w:rPr>
        <w:t>7</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日，召开第七届监事会第</w:t>
      </w:r>
      <w:r>
        <w:rPr>
          <w:rFonts w:ascii="宋体" w:hAnsi="宋体" w:cs="宋体" w:eastAsia="宋体" w:hint="default"/>
          <w:spacing w:val="-2"/>
        </w:rPr>
        <w:t>4</w:t>
      </w:r>
      <w:r>
        <w:rPr>
          <w:spacing w:val="-2"/>
        </w:rPr>
        <w:t>次会议，审议《关于选举公司监事会主席的议</w:t>
      </w:r>
    </w:p>
    <w:p>
      <w:pPr>
        <w:pStyle w:val="BodyText"/>
        <w:spacing w:line="240" w:lineRule="auto" w:before="14"/>
        <w:ind w:right="0" w:firstLine="0"/>
        <w:jc w:val="both"/>
      </w:pPr>
      <w:r>
        <w:rPr/>
        <w:t>案》。详见披露于</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10</w:t>
      </w:r>
      <w:r>
        <w:rPr/>
        <w:t>日的</w:t>
      </w:r>
      <w:r>
        <w:rPr>
          <w:rFonts w:ascii="宋体" w:hAnsi="宋体" w:cs="宋体" w:eastAsia="宋体" w:hint="default"/>
        </w:rPr>
        <w:t>2012-058</w:t>
      </w:r>
      <w:r>
        <w:rPr/>
        <w:t>号公告。</w:t>
      </w:r>
    </w:p>
    <w:p>
      <w:pPr>
        <w:pStyle w:val="BodyText"/>
        <w:spacing w:line="297" w:lineRule="auto" w:before="77"/>
        <w:ind w:right="231"/>
        <w:jc w:val="both"/>
      </w:pPr>
      <w:r>
        <w:rPr/>
        <w:t>（三）报告期内，经公司第六届董事会第二十五次会议审议，通过《关于向深圳证券交 易所申请公司股票交易撤销退市风险警示及特别处理的议案》，同意公司向深圳证券交易所 </w:t>
      </w:r>
      <w:r>
        <w:rPr>
          <w:spacing w:val="-3"/>
        </w:rPr>
        <w:t>申请撤消股票退市风险警示特别处理。经深圳证券交易所审核批准，自 </w:t>
      </w:r>
      <w:r>
        <w:rPr>
          <w:rFonts w:ascii="宋体" w:hAnsi="宋体" w:cs="宋体" w:eastAsia="宋体" w:hint="default"/>
        </w:rPr>
        <w:t>2012 </w:t>
      </w:r>
      <w:r>
        <w:rPr/>
        <w:t>年 </w:t>
      </w:r>
      <w:r>
        <w:rPr>
          <w:rFonts w:ascii="宋体" w:hAnsi="宋体" w:cs="宋体" w:eastAsia="宋体" w:hint="default"/>
        </w:rPr>
        <w:t>6 </w:t>
      </w:r>
      <w:r>
        <w:rPr/>
        <w:t>月 </w:t>
      </w:r>
      <w:r>
        <w:rPr>
          <w:rFonts w:ascii="宋体" w:hAnsi="宋体" w:cs="宋体" w:eastAsia="宋体" w:hint="default"/>
        </w:rPr>
        <w:t>27</w:t>
      </w:r>
      <w:r>
        <w:rPr>
          <w:rFonts w:ascii="宋体" w:hAnsi="宋体" w:cs="宋体" w:eastAsia="宋体" w:hint="default"/>
          <w:spacing w:val="14"/>
        </w:rPr>
        <w:t> </w:t>
      </w:r>
      <w:r>
        <w:rPr/>
        <w:t>日 起撤销本公司股票交易的退市风险警示及其他特别处理，公司股票简称由“</w:t>
      </w:r>
      <w:r>
        <w:rPr>
          <w:rFonts w:ascii="宋体" w:hAnsi="宋体" w:cs="宋体" w:eastAsia="宋体" w:hint="default"/>
        </w:rPr>
        <w:t>*ST </w:t>
      </w:r>
      <w:r>
        <w:rPr/>
        <w:t>华控”变更 为“华智控股”，证券代码仍为“</w:t>
      </w:r>
      <w:r>
        <w:rPr>
          <w:rFonts w:ascii="宋体" w:hAnsi="宋体" w:cs="宋体" w:eastAsia="宋体" w:hint="default"/>
        </w:rPr>
        <w:t>000607</w:t>
      </w:r>
      <w:r>
        <w:rPr/>
        <w:t>”，公司股票日涨跌幅限制恢复为</w:t>
      </w:r>
      <w:r>
        <w:rPr>
          <w:spacing w:val="-1"/>
        </w:rPr>
        <w:t> </w:t>
      </w:r>
      <w:r>
        <w:rPr>
          <w:rFonts w:ascii="宋体" w:hAnsi="宋体" w:cs="宋体" w:eastAsia="宋体" w:hint="default"/>
        </w:rPr>
        <w:t>10%</w:t>
      </w:r>
      <w:r>
        <w:rPr/>
        <w:t>。详见披露</w:t>
      </w:r>
    </w:p>
    <w:p>
      <w:pPr>
        <w:spacing w:after="0" w:line="297" w:lineRule="auto"/>
        <w:jc w:val="both"/>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40" w:lineRule="auto" w:before="26"/>
        <w:ind w:right="109" w:firstLine="0"/>
        <w:jc w:val="left"/>
      </w:pPr>
      <w:r>
        <w:rPr/>
        <w:t>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26</w:t>
      </w:r>
      <w:r>
        <w:rPr/>
        <w:t>日的</w:t>
      </w:r>
      <w:r>
        <w:rPr>
          <w:rFonts w:ascii="宋体" w:hAnsi="宋体" w:cs="宋体" w:eastAsia="宋体" w:hint="default"/>
        </w:rPr>
        <w:t>2012-033</w:t>
      </w:r>
      <w:r>
        <w:rPr/>
        <w:t>号公告。</w:t>
      </w:r>
    </w:p>
    <w:p>
      <w:pPr>
        <w:pStyle w:val="BodyText"/>
        <w:spacing w:line="297" w:lineRule="auto" w:before="74"/>
        <w:ind w:right="191"/>
        <w:jc w:val="both"/>
      </w:pPr>
      <w:r>
        <w:rPr/>
        <w:t>（四）报告期内，经公司第七届董事会第二次会议、第七届董事会第三次会议和</w:t>
      </w:r>
      <w:r>
        <w:rPr>
          <w:rFonts w:ascii="宋体" w:hAnsi="宋体" w:cs="宋体" w:eastAsia="宋体" w:hint="default"/>
        </w:rPr>
        <w:t>2012</w:t>
      </w:r>
      <w:r>
        <w:rPr/>
        <w:t>年 第二次临时股东大会、</w:t>
      </w:r>
      <w:r>
        <w:rPr>
          <w:rFonts w:ascii="宋体" w:hAnsi="宋体" w:cs="宋体" w:eastAsia="宋体" w:hint="default"/>
        </w:rPr>
        <w:t>2012</w:t>
      </w:r>
      <w:r>
        <w:rPr/>
        <w:t>年第三次临时股东大会审议，通过了《关于修改公司</w:t>
      </w:r>
      <w:r>
        <w:rPr>
          <w:rFonts w:ascii="宋体" w:hAnsi="宋体" w:cs="宋体" w:eastAsia="宋体" w:hint="default"/>
        </w:rPr>
        <w:t>&lt;</w:t>
      </w:r>
      <w:r>
        <w:rPr/>
        <w:t>章程</w:t>
      </w:r>
      <w:r>
        <w:rPr>
          <w:rFonts w:ascii="宋体" w:hAnsi="宋体" w:cs="宋体" w:eastAsia="宋体" w:hint="default"/>
        </w:rPr>
        <w:t>&gt;</w:t>
      </w:r>
      <w:r>
        <w:rPr/>
        <w:t>的议 案》，同意对公司《章程》第二条、第十三条、第十九条、第二十条、第九十六条、第一百 </w:t>
      </w:r>
      <w:r>
        <w:rPr>
          <w:spacing w:val="-2"/>
        </w:rPr>
        <w:t>八十一条进行相应修改。该事项已办理完毕工商变更登记事宜。详见披露于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日的</w:t>
      </w:r>
      <w:r>
        <w:rPr>
          <w:spacing w:val="-113"/>
        </w:rPr>
        <w:t> </w:t>
      </w:r>
      <w:r>
        <w:rPr>
          <w:rFonts w:ascii="宋体" w:hAnsi="宋体" w:cs="宋体" w:eastAsia="宋体" w:hint="default"/>
        </w:rPr>
        <w:t>2012-037</w:t>
      </w:r>
      <w:r>
        <w:rPr/>
        <w:t>号公告，披露于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18</w:t>
      </w:r>
      <w:r>
        <w:rPr/>
        <w:t>日的</w:t>
      </w:r>
      <w:r>
        <w:rPr>
          <w:rFonts w:ascii="宋体" w:hAnsi="宋体" w:cs="宋体" w:eastAsia="宋体" w:hint="default"/>
        </w:rPr>
        <w:t>2012-045</w:t>
      </w:r>
      <w:r>
        <w:rPr/>
        <w:t>号公告，披露于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22</w:t>
      </w:r>
      <w:r>
        <w:rPr/>
        <w:t>日的</w:t>
      </w:r>
    </w:p>
    <w:p>
      <w:pPr>
        <w:spacing w:line="496" w:lineRule="auto" w:before="19"/>
        <w:ind w:left="152" w:right="3094" w:firstLine="0"/>
        <w:jc w:val="left"/>
        <w:rPr>
          <w:rFonts w:ascii="宋体" w:hAnsi="宋体" w:cs="宋体" w:eastAsia="宋体" w:hint="default"/>
          <w:sz w:val="24"/>
          <w:szCs w:val="24"/>
        </w:rPr>
      </w:pPr>
      <w:r>
        <w:rPr>
          <w:rFonts w:ascii="宋体" w:hAnsi="宋体" w:cs="宋体" w:eastAsia="宋体" w:hint="default"/>
          <w:sz w:val="24"/>
          <w:szCs w:val="24"/>
        </w:rPr>
        <w:t>2012-049</w:t>
      </w:r>
      <w:r>
        <w:rPr>
          <w:rFonts w:ascii="宋体" w:hAnsi="宋体" w:cs="宋体" w:eastAsia="宋体" w:hint="default"/>
          <w:sz w:val="24"/>
          <w:szCs w:val="24"/>
        </w:rPr>
        <w:t>号公告以及披露于</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日的</w:t>
      </w:r>
      <w:r>
        <w:rPr>
          <w:rFonts w:ascii="宋体" w:hAnsi="宋体" w:cs="宋体" w:eastAsia="宋体" w:hint="default"/>
          <w:sz w:val="24"/>
          <w:szCs w:val="24"/>
        </w:rPr>
        <w:t>2012-057</w:t>
      </w:r>
      <w:r>
        <w:rPr>
          <w:rFonts w:ascii="宋体" w:hAnsi="宋体" w:cs="宋体" w:eastAsia="宋体" w:hint="default"/>
          <w:sz w:val="24"/>
          <w:szCs w:val="24"/>
        </w:rPr>
        <w:t>号公告。 </w:t>
      </w:r>
      <w:r>
        <w:rPr>
          <w:rFonts w:ascii="宋体" w:hAnsi="宋体" w:cs="宋体" w:eastAsia="宋体" w:hint="default"/>
          <w:b/>
          <w:bCs/>
          <w:sz w:val="24"/>
          <w:szCs w:val="24"/>
        </w:rPr>
        <w:t>八、公司子公司重要事项</w:t>
      </w:r>
      <w:r>
        <w:rPr>
          <w:rFonts w:ascii="宋体" w:hAnsi="宋体" w:cs="宋体" w:eastAsia="宋体" w:hint="default"/>
          <w:sz w:val="24"/>
          <w:szCs w:val="24"/>
        </w:rPr>
      </w:r>
    </w:p>
    <w:p>
      <w:pPr>
        <w:pStyle w:val="BodyText"/>
        <w:spacing w:line="297" w:lineRule="auto" w:before="82"/>
        <w:ind w:right="192"/>
        <w:jc w:val="left"/>
      </w:pPr>
      <w:r>
        <w:rPr>
          <w:rFonts w:ascii="宋体" w:hAnsi="宋体" w:cs="宋体" w:eastAsia="宋体" w:hint="default"/>
          <w:spacing w:val="-3"/>
        </w:rPr>
        <w:t>1</w:t>
      </w:r>
      <w:r>
        <w:rPr>
          <w:spacing w:val="-3"/>
        </w:rPr>
        <w:t>、报告期内，经公司第六届董事会第二十六次会议审议，通过《关于子公司华立仪表出</w:t>
      </w:r>
      <w:r>
        <w:rPr/>
        <w:t> 资设立合资公司的议案》，同意公司子公司华立仪表集团股份有限公司和美国</w:t>
      </w:r>
      <w:r>
        <w:rPr>
          <w:spacing w:val="2"/>
        </w:rPr>
        <w:t> </w:t>
      </w:r>
      <w:r>
        <w:rPr>
          <w:rFonts w:ascii="宋体" w:hAnsi="宋体" w:cs="宋体" w:eastAsia="宋体" w:hint="default"/>
        </w:rPr>
        <w:t>Echelon Corporation</w:t>
      </w:r>
      <w:r>
        <w:rPr>
          <w:rFonts w:ascii="宋体" w:hAnsi="宋体" w:cs="宋体" w:eastAsia="宋体" w:hint="default"/>
          <w:spacing w:val="24"/>
        </w:rPr>
        <w:t> </w:t>
      </w:r>
      <w:r>
        <w:rPr>
          <w:spacing w:val="-3"/>
        </w:rPr>
        <w:t>共同出资</w:t>
      </w:r>
      <w:r>
        <w:rPr>
          <w:rFonts w:ascii="宋体" w:hAnsi="宋体" w:cs="宋体" w:eastAsia="宋体" w:hint="default"/>
          <w:spacing w:val="-3"/>
        </w:rPr>
        <w:t>400</w:t>
      </w:r>
      <w:r>
        <w:rPr>
          <w:spacing w:val="-3"/>
        </w:rPr>
        <w:t>万美元在中国杭州市余杭区建立合资经营企业：浙江埃施朗华科技</w:t>
      </w:r>
      <w:r>
        <w:rPr/>
        <w:t> 有限公司。详见披露于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日的</w:t>
      </w:r>
      <w:r>
        <w:rPr>
          <w:rFonts w:ascii="宋体" w:hAnsi="宋体" w:cs="宋体" w:eastAsia="宋体" w:hint="default"/>
        </w:rPr>
        <w:t>2012-016</w:t>
      </w:r>
      <w:r>
        <w:rPr/>
        <w:t>号公告。</w:t>
      </w:r>
    </w:p>
    <w:p>
      <w:pPr>
        <w:pStyle w:val="BodyText"/>
        <w:spacing w:line="297" w:lineRule="auto" w:before="17"/>
        <w:ind w:right="191" w:firstLine="600"/>
        <w:jc w:val="both"/>
      </w:pPr>
      <w:r>
        <w:rPr>
          <w:rFonts w:ascii="宋体" w:hAnsi="宋体" w:cs="宋体" w:eastAsia="宋体" w:hint="default"/>
          <w:spacing w:val="-3"/>
        </w:rPr>
        <w:t>2</w:t>
      </w:r>
      <w:r>
        <w:rPr>
          <w:spacing w:val="-3"/>
        </w:rPr>
        <w:t>、报告期内，经公司第七届董事会第二次会议和</w:t>
      </w:r>
      <w:r>
        <w:rPr>
          <w:rFonts w:ascii="宋体" w:hAnsi="宋体" w:cs="宋体" w:eastAsia="宋体" w:hint="default"/>
          <w:spacing w:val="-3"/>
        </w:rPr>
        <w:t>2012</w:t>
      </w:r>
      <w:r>
        <w:rPr>
          <w:rFonts w:ascii="宋体" w:hAnsi="宋体" w:cs="宋体" w:eastAsia="宋体" w:hint="default"/>
          <w:spacing w:val="-6"/>
        </w:rPr>
        <w:t> </w:t>
      </w:r>
      <w:r>
        <w:rPr/>
        <w:t>年第二次临时股东大会审议，通 过《关于华立仪表为子公司厚达公司担保的议案》，同意公司子公司华立仪表集团股份有限 公司为其子公司杭州厚达自动化系统有限公司提供</w:t>
      </w:r>
      <w:r>
        <w:rPr>
          <w:rFonts w:ascii="宋体" w:hAnsi="宋体" w:cs="宋体" w:eastAsia="宋体" w:hint="default"/>
        </w:rPr>
        <w:t>1,000</w:t>
      </w:r>
      <w:r>
        <w:rPr/>
        <w:t>万元担保额度。详见披露于</w:t>
      </w:r>
      <w:r>
        <w:rPr>
          <w:rFonts w:ascii="宋体" w:hAnsi="宋体" w:cs="宋体" w:eastAsia="宋体" w:hint="default"/>
        </w:rPr>
        <w:t>2012</w:t>
      </w:r>
      <w:r>
        <w:rPr/>
        <w:t>年</w:t>
      </w:r>
      <w:r>
        <w:rPr>
          <w:rFonts w:ascii="宋体" w:hAnsi="宋体" w:cs="宋体" w:eastAsia="宋体" w:hint="default"/>
        </w:rPr>
        <w:t>7 </w:t>
      </w:r>
      <w:r>
        <w:rPr/>
        <w:t>月</w:t>
      </w:r>
      <w:r>
        <w:rPr>
          <w:rFonts w:ascii="宋体" w:hAnsi="宋体" w:cs="宋体" w:eastAsia="宋体" w:hint="default"/>
        </w:rPr>
        <w:t>31</w:t>
      </w:r>
      <w:r>
        <w:rPr/>
        <w:t>日的</w:t>
      </w:r>
      <w:r>
        <w:rPr>
          <w:rFonts w:ascii="宋体" w:hAnsi="宋体" w:cs="宋体" w:eastAsia="宋体" w:hint="default"/>
        </w:rPr>
        <w:t>2012-037</w:t>
      </w:r>
      <w:r>
        <w:rPr/>
        <w:t>号公告</w:t>
      </w:r>
    </w:p>
    <w:p>
      <w:pPr>
        <w:pStyle w:val="BodyText"/>
        <w:spacing w:line="240" w:lineRule="auto" w:before="17"/>
        <w:ind w:left="633" w:right="109" w:firstLine="0"/>
        <w:jc w:val="left"/>
      </w:pPr>
      <w:r>
        <w:rPr>
          <w:rFonts w:ascii="宋体" w:hAnsi="宋体" w:cs="宋体" w:eastAsia="宋体" w:hint="default"/>
          <w:spacing w:val="-3"/>
        </w:rPr>
        <w:t>3</w:t>
      </w:r>
      <w:r>
        <w:rPr>
          <w:spacing w:val="-3"/>
        </w:rPr>
        <w:t>、报告期内，经公司第七届董事会第二次会议和</w:t>
      </w:r>
      <w:r>
        <w:rPr>
          <w:rFonts w:ascii="宋体" w:hAnsi="宋体" w:cs="宋体" w:eastAsia="宋体" w:hint="default"/>
          <w:spacing w:val="-3"/>
        </w:rPr>
        <w:t>2012</w:t>
      </w:r>
      <w:r>
        <w:rPr>
          <w:spacing w:val="-3"/>
        </w:rPr>
        <w:t>年第二次临时股东大会审议，通过</w:t>
      </w:r>
    </w:p>
    <w:p>
      <w:pPr>
        <w:pStyle w:val="BodyText"/>
        <w:spacing w:line="297" w:lineRule="auto" w:before="77"/>
        <w:ind w:right="229" w:firstLine="0"/>
        <w:jc w:val="left"/>
      </w:pPr>
      <w:r>
        <w:rPr/>
        <w:t>《关于华立仪表收购华立科技</w:t>
      </w:r>
      <w:r>
        <w:rPr>
          <w:rFonts w:ascii="宋体" w:hAnsi="宋体" w:cs="宋体" w:eastAsia="宋体" w:hint="default"/>
        </w:rPr>
        <w:t>100%</w:t>
      </w:r>
      <w:r>
        <w:rPr/>
        <w:t>股权的议案》，同意公司子公司华立仪表集团股份有限公 司以</w:t>
      </w:r>
      <w:r>
        <w:rPr>
          <w:rFonts w:ascii="宋体" w:hAnsi="宋体" w:cs="宋体" w:eastAsia="宋体" w:hint="default"/>
        </w:rPr>
        <w:t>5,300</w:t>
      </w:r>
      <w:r>
        <w:rPr/>
        <w:t>万元的价格收购公司控股股东华立集团股份有限公司所持有的浙江华立科技有限 公司</w:t>
      </w:r>
      <w:r>
        <w:rPr>
          <w:rFonts w:ascii="宋体" w:hAnsi="宋体" w:cs="宋体" w:eastAsia="宋体" w:hint="default"/>
        </w:rPr>
        <w:t>100%</w:t>
      </w:r>
      <w:r>
        <w:rPr/>
        <w:t>股权。本次交易已实施完毕。详见披露于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日的</w:t>
      </w:r>
      <w:r>
        <w:rPr>
          <w:rFonts w:ascii="宋体" w:hAnsi="宋体" w:cs="宋体" w:eastAsia="宋体" w:hint="default"/>
        </w:rPr>
        <w:t>2012-037</w:t>
      </w:r>
      <w:r>
        <w:rPr/>
        <w:t>号，</w:t>
      </w:r>
      <w:r>
        <w:rPr>
          <w:rFonts w:ascii="宋体" w:hAnsi="宋体" w:cs="宋体" w:eastAsia="宋体" w:hint="default"/>
        </w:rPr>
        <w:t>2012-040 </w:t>
      </w:r>
      <w:r>
        <w:rPr/>
        <w:t>号公告，披露于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16</w:t>
      </w:r>
      <w:r>
        <w:rPr/>
        <w:t>日的</w:t>
      </w:r>
      <w:r>
        <w:rPr>
          <w:rFonts w:ascii="宋体" w:hAnsi="宋体" w:cs="宋体" w:eastAsia="宋体" w:hint="default"/>
        </w:rPr>
        <w:t>2012-044</w:t>
      </w:r>
      <w:r>
        <w:rPr/>
        <w:t>号公告以及披露于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18</w:t>
      </w:r>
      <w:r>
        <w:rPr/>
        <w:t>日的</w:t>
      </w:r>
      <w:r>
        <w:rPr>
          <w:rFonts w:ascii="宋体" w:hAnsi="宋体" w:cs="宋体" w:eastAsia="宋体" w:hint="default"/>
        </w:rPr>
        <w:t>2012-045</w:t>
      </w:r>
      <w:r>
        <w:rPr/>
        <w:t>号公 告。</w:t>
      </w:r>
    </w:p>
    <w:p>
      <w:pPr>
        <w:pStyle w:val="BodyText"/>
        <w:spacing w:line="297" w:lineRule="auto"/>
        <w:ind w:right="191"/>
        <w:jc w:val="both"/>
      </w:pPr>
      <w:r>
        <w:rPr>
          <w:rFonts w:ascii="宋体" w:hAnsi="宋体" w:cs="宋体" w:eastAsia="宋体" w:hint="default"/>
          <w:spacing w:val="-2"/>
        </w:rPr>
        <w:t>4</w:t>
      </w:r>
      <w:r>
        <w:rPr>
          <w:spacing w:val="-2"/>
        </w:rPr>
        <w:t>、报告期内，公司子公司华立仪表集团股份有限公司成为国家电网公司</w:t>
      </w:r>
      <w:r>
        <w:rPr>
          <w:rFonts w:ascii="宋体" w:hAnsi="宋体" w:cs="宋体" w:eastAsia="宋体" w:hint="default"/>
          <w:spacing w:val="-2"/>
        </w:rPr>
        <w:t>2012</w:t>
      </w:r>
      <w:r>
        <w:rPr>
          <w:spacing w:val="-2"/>
        </w:rPr>
        <w:t>年第一批电</w:t>
      </w:r>
      <w:r>
        <w:rPr/>
        <w:t> </w:t>
      </w:r>
      <w:r>
        <w:rPr>
          <w:spacing w:val="-5"/>
        </w:rPr>
        <w:t>能表（含用电信息采集）招标采购的中标人，中标电能表数量为</w:t>
      </w:r>
      <w:r>
        <w:rPr>
          <w:rFonts w:ascii="宋体" w:hAnsi="宋体" w:cs="宋体" w:eastAsia="宋体" w:hint="default"/>
          <w:spacing w:val="-5"/>
        </w:rPr>
        <w:t>81.21</w:t>
      </w:r>
      <w:r>
        <w:rPr>
          <w:spacing w:val="-5"/>
        </w:rPr>
        <w:t>万台，总金额约为</w:t>
      </w:r>
      <w:r>
        <w:rPr>
          <w:rFonts w:ascii="宋体" w:hAnsi="宋体" w:cs="宋体" w:eastAsia="宋体" w:hint="default"/>
          <w:spacing w:val="-5"/>
        </w:rPr>
        <w:t>18059</w:t>
      </w:r>
      <w:r>
        <w:rPr>
          <w:rFonts w:ascii="宋体" w:hAnsi="宋体" w:cs="宋体" w:eastAsia="宋体" w:hint="default"/>
          <w:spacing w:val="-93"/>
        </w:rPr>
        <w:t> </w:t>
      </w:r>
      <w:r>
        <w:rPr/>
        <w:t>万元。本次交易正在履行中。详见披露于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10</w:t>
      </w:r>
      <w:r>
        <w:rPr/>
        <w:t>日的</w:t>
      </w:r>
      <w:r>
        <w:rPr>
          <w:rFonts w:ascii="宋体" w:hAnsi="宋体" w:cs="宋体" w:eastAsia="宋体" w:hint="default"/>
        </w:rPr>
        <w:t>2012-018</w:t>
      </w:r>
      <w:r>
        <w:rPr/>
        <w:t>号公告。</w:t>
      </w:r>
    </w:p>
    <w:p>
      <w:pPr>
        <w:pStyle w:val="BodyText"/>
        <w:spacing w:line="240" w:lineRule="auto" w:before="17"/>
        <w:ind w:left="633" w:right="109" w:firstLine="0"/>
        <w:jc w:val="left"/>
      </w:pPr>
      <w:r>
        <w:rPr>
          <w:rFonts w:ascii="宋体" w:hAnsi="宋体" w:cs="宋体" w:eastAsia="宋体" w:hint="default"/>
        </w:rPr>
        <w:t>5</w:t>
      </w:r>
      <w:r>
        <w:rPr/>
        <w:t>、报告期内，公司子公司华立仪表集团股份有限公司成为中国南方电网有限责任公司</w:t>
      </w:r>
    </w:p>
    <w:p>
      <w:pPr>
        <w:pStyle w:val="BodyText"/>
        <w:spacing w:line="297" w:lineRule="auto" w:before="77"/>
        <w:ind w:right="109" w:firstLine="0"/>
        <w:jc w:val="left"/>
      </w:pPr>
      <w:r>
        <w:rPr>
          <w:rFonts w:ascii="宋体" w:hAnsi="宋体" w:cs="宋体" w:eastAsia="宋体" w:hint="default"/>
          <w:spacing w:val="-2"/>
        </w:rPr>
        <w:t>2012</w:t>
      </w:r>
      <w:r>
        <w:rPr>
          <w:spacing w:val="-2"/>
        </w:rPr>
        <w:t>年度上半年框架招标电能表类招标项目招标采购的中标人，中标电能表数</w:t>
      </w:r>
      <w:r>
        <w:rPr>
          <w:rFonts w:ascii="宋体" w:hAnsi="宋体" w:cs="宋体" w:eastAsia="宋体" w:hint="default"/>
          <w:spacing w:val="-2"/>
        </w:rPr>
        <w:t>810,449</w:t>
      </w:r>
      <w:r>
        <w:rPr>
          <w:spacing w:val="-2"/>
        </w:rPr>
        <w:t>台，总</w:t>
      </w:r>
      <w:r>
        <w:rPr>
          <w:spacing w:val="-110"/>
        </w:rPr>
        <w:t> </w:t>
      </w:r>
      <w:r>
        <w:rPr>
          <w:spacing w:val="-110"/>
        </w:rPr>
      </w:r>
      <w:r>
        <w:rPr/>
        <w:t>金额约为</w:t>
      </w:r>
      <w:r>
        <w:rPr>
          <w:rFonts w:ascii="宋体" w:hAnsi="宋体" w:cs="宋体" w:eastAsia="宋体" w:hint="default"/>
        </w:rPr>
        <w:t>12,750</w:t>
      </w:r>
      <w:r>
        <w:rPr/>
        <w:t>万元。本次交易正在履行中。详见披露于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24</w:t>
      </w:r>
      <w:r>
        <w:rPr/>
        <w:t>日的</w:t>
      </w:r>
      <w:r>
        <w:rPr>
          <w:rFonts w:ascii="宋体" w:hAnsi="宋体" w:cs="宋体" w:eastAsia="宋体" w:hint="default"/>
        </w:rPr>
        <w:t>2012-023</w:t>
      </w:r>
      <w:r>
        <w:rPr/>
        <w:t>号公告。</w:t>
      </w:r>
    </w:p>
    <w:p>
      <w:pPr>
        <w:pStyle w:val="BodyText"/>
        <w:spacing w:line="297" w:lineRule="auto"/>
        <w:ind w:right="188"/>
        <w:jc w:val="left"/>
      </w:pPr>
      <w:r>
        <w:rPr>
          <w:rFonts w:ascii="宋体" w:hAnsi="宋体" w:cs="宋体" w:eastAsia="宋体" w:hint="default"/>
          <w:spacing w:val="-2"/>
        </w:rPr>
        <w:t>6</w:t>
      </w:r>
      <w:r>
        <w:rPr>
          <w:spacing w:val="-2"/>
        </w:rPr>
        <w:t>、报告期内，公司子公司华立仪表集团股份有限公司成为国家电网公司</w:t>
      </w:r>
      <w:r>
        <w:rPr>
          <w:rFonts w:ascii="宋体" w:hAnsi="宋体" w:cs="宋体" w:eastAsia="宋体" w:hint="default"/>
          <w:spacing w:val="-2"/>
        </w:rPr>
        <w:t>2012</w:t>
      </w:r>
      <w:r>
        <w:rPr>
          <w:spacing w:val="-2"/>
        </w:rPr>
        <w:t>年第二批电</w:t>
      </w:r>
      <w:r>
        <w:rPr/>
        <w:t> 能表（含用电信息采集）招标采购的中标人，中标各类智能电能表</w:t>
      </w:r>
      <w:r>
        <w:rPr>
          <w:rFonts w:ascii="宋体" w:hAnsi="宋体" w:cs="宋体" w:eastAsia="宋体" w:hint="default"/>
        </w:rPr>
        <w:t>1,211,206</w:t>
      </w:r>
      <w:r>
        <w:rPr/>
        <w:t>台，金额约为 </w:t>
      </w:r>
      <w:r>
        <w:rPr>
          <w:rFonts w:ascii="宋体" w:hAnsi="宋体" w:cs="宋体" w:eastAsia="宋体" w:hint="default"/>
          <w:spacing w:val="-2"/>
        </w:rPr>
        <w:t>26,995.36</w:t>
      </w:r>
      <w:r>
        <w:rPr>
          <w:spacing w:val="-2"/>
        </w:rPr>
        <w:t>万元；中标各类集中器及专变采集器终端</w:t>
      </w:r>
      <w:r>
        <w:rPr>
          <w:rFonts w:ascii="宋体" w:hAnsi="宋体" w:cs="宋体" w:eastAsia="宋体" w:hint="default"/>
          <w:spacing w:val="-2"/>
        </w:rPr>
        <w:t>257,556</w:t>
      </w:r>
      <w:r>
        <w:rPr>
          <w:spacing w:val="-2"/>
        </w:rPr>
        <w:t>台，金额约为</w:t>
      </w:r>
      <w:r>
        <w:rPr>
          <w:rFonts w:ascii="宋体" w:hAnsi="宋体" w:cs="宋体" w:eastAsia="宋体" w:hint="default"/>
          <w:spacing w:val="-2"/>
        </w:rPr>
        <w:t>8672.77</w:t>
      </w:r>
      <w:r>
        <w:rPr>
          <w:spacing w:val="-2"/>
        </w:rPr>
        <w:t>万元；合计</w:t>
      </w:r>
      <w:r>
        <w:rPr>
          <w:spacing w:val="-97"/>
        </w:rPr>
        <w:t> </w:t>
      </w:r>
      <w:r>
        <w:rPr>
          <w:spacing w:val="-97"/>
        </w:rPr>
      </w:r>
      <w:r>
        <w:rPr/>
        <w:t>中标金额</w:t>
      </w:r>
      <w:r>
        <w:rPr>
          <w:rFonts w:ascii="宋体" w:hAnsi="宋体" w:cs="宋体" w:eastAsia="宋体" w:hint="default"/>
        </w:rPr>
        <w:t>35,668.14</w:t>
      </w:r>
      <w:r>
        <w:rPr/>
        <w:t>万元。本次交易正在履行中。详见披露于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13</w:t>
      </w:r>
      <w:r>
        <w:rPr/>
        <w:t>日的</w:t>
      </w:r>
      <w:r>
        <w:rPr>
          <w:rFonts w:ascii="宋体" w:hAnsi="宋体" w:cs="宋体" w:eastAsia="宋体" w:hint="default"/>
        </w:rPr>
        <w:t>2012-034</w:t>
      </w:r>
      <w:r>
        <w:rPr/>
        <w:t>号公 告。</w:t>
      </w:r>
    </w:p>
    <w:p>
      <w:pPr>
        <w:pStyle w:val="BodyText"/>
        <w:spacing w:line="240" w:lineRule="auto" w:before="17"/>
        <w:ind w:left="633" w:right="0" w:firstLine="0"/>
        <w:jc w:val="left"/>
      </w:pPr>
      <w:r>
        <w:rPr>
          <w:rFonts w:ascii="宋体" w:hAnsi="宋体" w:cs="宋体" w:eastAsia="宋体" w:hint="default"/>
        </w:rPr>
        <w:t>7</w:t>
      </w:r>
      <w:r>
        <w:rPr/>
        <w:t>、报告期内，公司子公司华立仪表集团股份有限公司成为国家电网公司</w:t>
      </w:r>
      <w:r>
        <w:rPr>
          <w:rFonts w:ascii="宋体" w:hAnsi="宋体" w:cs="宋体" w:eastAsia="宋体" w:hint="default"/>
        </w:rPr>
        <w:t>2012</w:t>
      </w:r>
      <w:r>
        <w:rPr/>
        <w:t>年第三批电</w:t>
      </w:r>
    </w:p>
    <w:p>
      <w:pPr>
        <w:spacing w:after="0" w:line="240" w:lineRule="auto"/>
        <w:jc w:val="left"/>
        <w:sectPr>
          <w:pgSz w:w="11910" w:h="16840"/>
          <w:pgMar w:header="877" w:footer="979" w:top="1100" w:bottom="1160" w:left="980" w:right="940"/>
        </w:sectPr>
      </w:pPr>
    </w:p>
    <w:p>
      <w:pPr>
        <w:spacing w:line="240" w:lineRule="auto" w:before="9"/>
        <w:rPr>
          <w:rFonts w:ascii="宋体" w:hAnsi="宋体" w:cs="宋体" w:eastAsia="宋体" w:hint="default"/>
          <w:sz w:val="22"/>
          <w:szCs w:val="22"/>
        </w:rPr>
      </w:pPr>
    </w:p>
    <w:p>
      <w:pPr>
        <w:pStyle w:val="BodyText"/>
        <w:spacing w:line="297" w:lineRule="auto" w:before="26"/>
        <w:ind w:right="228" w:firstLine="0"/>
        <w:jc w:val="both"/>
      </w:pPr>
      <w:r>
        <w:rPr/>
        <w:t>能表（含用电信息采集）招标采购的中标人，中标各类智能电能表、集中器及专变采集器终 </w:t>
      </w:r>
      <w:r>
        <w:rPr>
          <w:spacing w:val="-2"/>
        </w:rPr>
        <w:t>端</w:t>
      </w:r>
      <w:r>
        <w:rPr>
          <w:rFonts w:ascii="宋体" w:hAnsi="宋体" w:cs="宋体" w:eastAsia="宋体" w:hint="default"/>
          <w:spacing w:val="-2"/>
        </w:rPr>
        <w:t>999,688</w:t>
      </w:r>
      <w:r>
        <w:rPr>
          <w:spacing w:val="-2"/>
        </w:rPr>
        <w:t>台，合计中标金额</w:t>
      </w:r>
      <w:r>
        <w:rPr>
          <w:rFonts w:ascii="宋体" w:hAnsi="宋体" w:cs="宋体" w:eastAsia="宋体" w:hint="default"/>
          <w:spacing w:val="-2"/>
        </w:rPr>
        <w:t>24,096.95</w:t>
      </w:r>
      <w:r>
        <w:rPr>
          <w:spacing w:val="-2"/>
        </w:rPr>
        <w:t>万元。本次交易正在履行中。详见披露于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rFonts w:ascii="宋体" w:hAnsi="宋体" w:cs="宋体" w:eastAsia="宋体" w:hint="default"/>
          <w:spacing w:val="-97"/>
        </w:rPr>
        <w:t> </w:t>
      </w:r>
      <w:r>
        <w:rPr/>
        <w:t>日的</w:t>
      </w:r>
      <w:r>
        <w:rPr>
          <w:rFonts w:ascii="宋体" w:hAnsi="宋体" w:cs="宋体" w:eastAsia="宋体" w:hint="default"/>
        </w:rPr>
        <w:t>2012-046</w:t>
      </w:r>
      <w:r>
        <w:rPr/>
        <w:t>号公告。</w:t>
      </w:r>
    </w:p>
    <w:p>
      <w:pPr>
        <w:pStyle w:val="BodyText"/>
        <w:spacing w:line="297" w:lineRule="auto" w:before="17"/>
        <w:ind w:right="231"/>
        <w:jc w:val="both"/>
      </w:pPr>
      <w:r>
        <w:rPr>
          <w:rFonts w:ascii="宋体" w:hAnsi="宋体" w:cs="宋体" w:eastAsia="宋体" w:hint="default"/>
          <w:spacing w:val="-3"/>
        </w:rPr>
        <w:t>8</w:t>
      </w:r>
      <w:r>
        <w:rPr>
          <w:spacing w:val="-3"/>
        </w:rPr>
        <w:t>、报告期内，公司子公司华立仪表集团股份有限公司之子公司杭州厚达自动化系统有限</w:t>
      </w:r>
      <w:r>
        <w:rPr/>
        <w:t> </w:t>
      </w:r>
      <w:r>
        <w:rPr>
          <w:spacing w:val="-2"/>
        </w:rPr>
        <w:t>公司成为江苏省电力公司</w:t>
      </w:r>
      <w:r>
        <w:rPr>
          <w:rFonts w:ascii="宋体" w:hAnsi="宋体" w:cs="宋体" w:eastAsia="宋体" w:hint="default"/>
          <w:spacing w:val="-2"/>
        </w:rPr>
        <w:t>2012</w:t>
      </w:r>
      <w:r>
        <w:rPr>
          <w:spacing w:val="-2"/>
        </w:rPr>
        <w:t>年主要设备材料第八批项目的中标人，中标金额</w:t>
      </w:r>
      <w:r>
        <w:rPr>
          <w:rFonts w:ascii="宋体" w:hAnsi="宋体" w:cs="宋体" w:eastAsia="宋体" w:hint="default"/>
          <w:spacing w:val="-2"/>
        </w:rPr>
        <w:t>2,080</w:t>
      </w:r>
      <w:r>
        <w:rPr>
          <w:spacing w:val="-2"/>
        </w:rPr>
        <w:t>万元。本</w:t>
      </w:r>
      <w:r>
        <w:rPr>
          <w:spacing w:val="-112"/>
        </w:rPr>
        <w:t> </w:t>
      </w:r>
      <w:r>
        <w:rPr>
          <w:spacing w:val="-112"/>
        </w:rPr>
      </w:r>
      <w:r>
        <w:rPr/>
        <w:t>次交易正在履行中。公司子公司华立仪表集团股份有限公司之子公司杭州厚达自动化系统有 </w:t>
      </w:r>
      <w:r>
        <w:rPr>
          <w:spacing w:val="-2"/>
        </w:rPr>
        <w:t>限公司成为山东电力集团公司</w:t>
      </w:r>
      <w:r>
        <w:rPr>
          <w:rFonts w:ascii="宋体" w:hAnsi="宋体" w:cs="宋体" w:eastAsia="宋体" w:hint="default"/>
          <w:spacing w:val="-2"/>
        </w:rPr>
        <w:t>2012</w:t>
      </w:r>
      <w:r>
        <w:rPr>
          <w:spacing w:val="-2"/>
        </w:rPr>
        <w:t>年第六批设备材料招标采购项目的中标人，中标金额</w:t>
      </w:r>
      <w:r>
        <w:rPr>
          <w:rFonts w:ascii="宋体" w:hAnsi="宋体" w:cs="宋体" w:eastAsia="宋体" w:hint="default"/>
          <w:spacing w:val="-2"/>
        </w:rPr>
        <w:t>4,517</w:t>
      </w:r>
      <w:r>
        <w:rPr>
          <w:rFonts w:ascii="宋体" w:hAnsi="宋体" w:cs="宋体" w:eastAsia="宋体" w:hint="default"/>
          <w:spacing w:val="-110"/>
        </w:rPr>
        <w:t> </w:t>
      </w:r>
      <w:r>
        <w:rPr/>
        <w:t>万元。本次交易正在履行中。详见披露于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9</w:t>
      </w:r>
      <w:r>
        <w:rPr/>
        <w:t>日的</w:t>
      </w:r>
      <w:r>
        <w:rPr>
          <w:rFonts w:ascii="宋体" w:hAnsi="宋体" w:cs="宋体" w:eastAsia="宋体" w:hint="default"/>
        </w:rPr>
        <w:t>2012-047</w:t>
      </w:r>
      <w:r>
        <w:rPr/>
        <w:t>号公告。</w:t>
      </w:r>
    </w:p>
    <w:p>
      <w:pPr>
        <w:pStyle w:val="BodyText"/>
        <w:spacing w:line="297" w:lineRule="auto"/>
        <w:ind w:right="111"/>
        <w:jc w:val="both"/>
      </w:pPr>
      <w:r>
        <w:rPr>
          <w:rFonts w:ascii="宋体" w:hAnsi="宋体" w:cs="宋体" w:eastAsia="宋体" w:hint="default"/>
          <w:spacing w:val="-3"/>
        </w:rPr>
        <w:t>9</w:t>
      </w:r>
      <w:r>
        <w:rPr>
          <w:spacing w:val="-3"/>
        </w:rPr>
        <w:t>、报告期内，公司子公司华立仪表集团股份有限公司成为中国南方电网有限责任公司总</w:t>
      </w:r>
      <w:r>
        <w:rPr/>
        <w:t> 部</w:t>
      </w:r>
      <w:r>
        <w:rPr>
          <w:rFonts w:ascii="宋体" w:hAnsi="宋体" w:cs="宋体" w:eastAsia="宋体" w:hint="default"/>
        </w:rPr>
        <w:t>2012</w:t>
      </w:r>
      <w:r>
        <w:rPr/>
        <w:t>年下半年电能表类设备框架招标项目采购的中标人，中标各类电能表数</w:t>
      </w:r>
      <w:r>
        <w:rPr>
          <w:rFonts w:ascii="宋体" w:hAnsi="宋体" w:cs="宋体" w:eastAsia="宋体" w:hint="default"/>
        </w:rPr>
        <w:t>259,499</w:t>
      </w:r>
      <w:r>
        <w:rPr/>
        <w:t>台，总 </w:t>
      </w:r>
      <w:r>
        <w:rPr>
          <w:spacing w:val="-4"/>
        </w:rPr>
        <w:t>金额为</w:t>
      </w:r>
      <w:r>
        <w:rPr>
          <w:rFonts w:ascii="宋体" w:hAnsi="宋体" w:cs="宋体" w:eastAsia="宋体" w:hint="default"/>
          <w:spacing w:val="-4"/>
        </w:rPr>
        <w:t>3,444.5459</w:t>
      </w:r>
      <w:r>
        <w:rPr>
          <w:spacing w:val="-4"/>
        </w:rPr>
        <w:t>万元。本次交易正在履行中。详见披露于</w:t>
      </w:r>
      <w:r>
        <w:rPr>
          <w:rFonts w:ascii="宋体" w:hAnsi="宋体" w:cs="宋体" w:eastAsia="宋体" w:hint="default"/>
          <w:spacing w:val="-4"/>
        </w:rPr>
        <w:t>2012</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w:t>
      </w:r>
      <w:r>
        <w:rPr>
          <w:spacing w:val="-4"/>
        </w:rPr>
        <w:t>日的</w:t>
      </w:r>
      <w:r>
        <w:rPr>
          <w:rFonts w:ascii="宋体" w:hAnsi="宋体" w:cs="宋体" w:eastAsia="宋体" w:hint="default"/>
          <w:spacing w:val="-4"/>
        </w:rPr>
        <w:t>2012-056</w:t>
      </w:r>
      <w:r>
        <w:rPr>
          <w:spacing w:val="-4"/>
        </w:rPr>
        <w:t>号公告。</w:t>
      </w:r>
    </w:p>
    <w:p>
      <w:pPr>
        <w:pStyle w:val="BodyText"/>
        <w:spacing w:line="297" w:lineRule="auto" w:before="17"/>
        <w:ind w:right="228"/>
        <w:jc w:val="both"/>
      </w:pPr>
      <w:r>
        <w:rPr>
          <w:rFonts w:ascii="宋体" w:hAnsi="宋体" w:cs="宋体" w:eastAsia="宋体" w:hint="default"/>
        </w:rPr>
        <w:t>10</w:t>
      </w:r>
      <w:r>
        <w:rPr/>
        <w:t>、报告期内，公司子公司华立仪表集团股份有限公司成为国家电网公司中</w:t>
      </w:r>
      <w:r>
        <w:rPr>
          <w:rFonts w:ascii="宋体" w:hAnsi="宋体" w:cs="宋体" w:eastAsia="宋体" w:hint="default"/>
        </w:rPr>
        <w:t>2012</w:t>
      </w:r>
      <w:r>
        <w:rPr/>
        <w:t>年第四 </w:t>
      </w:r>
      <w:r>
        <w:rPr>
          <w:spacing w:val="-2"/>
        </w:rPr>
        <w:t>批电能表（含用电信息采集）招标采购的中标人，中标各类智能电能表</w:t>
      </w:r>
      <w:r>
        <w:rPr>
          <w:rFonts w:ascii="宋体" w:hAnsi="宋体" w:cs="宋体" w:eastAsia="宋体" w:hint="default"/>
          <w:spacing w:val="-2"/>
        </w:rPr>
        <w:t>799,779</w:t>
      </w:r>
      <w:r>
        <w:rPr>
          <w:spacing w:val="-2"/>
        </w:rPr>
        <w:t>台，金额约为</w:t>
      </w:r>
      <w:r>
        <w:rPr>
          <w:spacing w:val="-112"/>
        </w:rPr>
        <w:t> </w:t>
      </w:r>
      <w:r>
        <w:rPr>
          <w:spacing w:val="-112"/>
        </w:rPr>
      </w:r>
      <w:r>
        <w:rPr>
          <w:rFonts w:ascii="宋体" w:hAnsi="宋体" w:cs="宋体" w:eastAsia="宋体" w:hint="default"/>
        </w:rPr>
        <w:t>17,410.79</w:t>
      </w:r>
      <w:r>
        <w:rPr/>
        <w:t>万元；中标各类集中器及专变采集器终端</w:t>
      </w:r>
      <w:r>
        <w:rPr>
          <w:rFonts w:ascii="宋体" w:hAnsi="宋体" w:cs="宋体" w:eastAsia="宋体" w:hint="default"/>
        </w:rPr>
        <w:t>173,130</w:t>
      </w:r>
      <w:r>
        <w:rPr/>
        <w:t>台，金额约为</w:t>
      </w:r>
      <w:r>
        <w:rPr>
          <w:rFonts w:ascii="宋体" w:hAnsi="宋体" w:cs="宋体" w:eastAsia="宋体" w:hint="default"/>
        </w:rPr>
        <w:t>3,276.38</w:t>
      </w:r>
      <w:r>
        <w:rPr/>
        <w:t>万元；合 计中标金额</w:t>
      </w:r>
      <w:r>
        <w:rPr>
          <w:rFonts w:ascii="宋体" w:hAnsi="宋体" w:cs="宋体" w:eastAsia="宋体" w:hint="default"/>
        </w:rPr>
        <w:t>20,687.17</w:t>
      </w:r>
      <w:r>
        <w:rPr/>
        <w:t>万元。本次交易正在履行中。详见披露于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6</w:t>
      </w:r>
      <w:r>
        <w:rPr/>
        <w:t>日的</w:t>
      </w:r>
      <w:r>
        <w:rPr>
          <w:rFonts w:ascii="宋体" w:hAnsi="宋体" w:cs="宋体" w:eastAsia="宋体" w:hint="default"/>
        </w:rPr>
        <w:t>2012-059</w:t>
      </w:r>
      <w:r>
        <w:rPr/>
        <w:t>号 公告。</w:t>
      </w:r>
    </w:p>
    <w:p>
      <w:pPr>
        <w:spacing w:after="0" w:line="297" w:lineRule="auto"/>
        <w:jc w:val="both"/>
        <w:sectPr>
          <w:pgSz w:w="11910" w:h="16840"/>
          <w:pgMar w:header="877" w:footer="979"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0"/>
        <w:jc w:val="left"/>
        <w:rPr>
          <w:b w:val="0"/>
          <w:bCs w:val="0"/>
        </w:rPr>
      </w:pP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2"/>
        <w:gridCol w:w="843"/>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股份变动的原因 报告期内，公司不存在股份变动的情形。 股份变动的批准情况</w:t>
      </w:r>
    </w:p>
    <w:p>
      <w:pPr>
        <w:spacing w:line="340" w:lineRule="auto" w:before="2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60" w:lineRule="auto" w:before="39"/>
        <w:ind w:left="152" w:right="414" w:firstLine="0"/>
        <w:jc w:val="left"/>
        <w:rPr>
          <w:rFonts w:ascii="宋体" w:hAnsi="宋体" w:cs="宋体" w:eastAsia="宋体" w:hint="default"/>
          <w:sz w:val="18"/>
          <w:szCs w:val="18"/>
        </w:rPr>
      </w:pPr>
      <w:r>
        <w:rPr>
          <w:rFonts w:ascii="宋体" w:hAnsi="宋体" w:cs="宋体" w:eastAsia="宋体" w:hint="default"/>
          <w:sz w:val="18"/>
          <w:szCs w:val="18"/>
        </w:rPr>
        <w:t>报告期内，公司不存在股份变动的情形。 股份变动对最近一年和最近一期基本每股收益和稀释每股收益、归属于公司普通股股东的每股净资产等财务指标的影响</w:t>
      </w:r>
    </w:p>
    <w:p>
      <w:pPr>
        <w:spacing w:line="338" w:lineRule="auto" w:before="2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line="240" w:lineRule="auto" w:before="8"/>
        <w:rPr>
          <w:rFonts w:ascii="宋体" w:hAnsi="宋体" w:cs="宋体" w:eastAsia="宋体" w:hint="default"/>
          <w:sz w:val="19"/>
          <w:szCs w:val="19"/>
        </w:rPr>
      </w:pPr>
    </w:p>
    <w:p>
      <w:pPr>
        <w:pStyle w:val="Heading3"/>
        <w:spacing w:line="240" w:lineRule="auto" w:before="0"/>
        <w:ind w:right="0"/>
        <w:jc w:val="left"/>
        <w:rPr>
          <w:b w:val="0"/>
          <w:bCs w:val="0"/>
        </w:rPr>
      </w:pPr>
      <w:r>
        <w:rPr/>
        <w:t>二、股东和实际控制人情况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24"/>
        <w:gridCol w:w="961"/>
        <w:gridCol w:w="425"/>
        <w:gridCol w:w="1277"/>
        <w:gridCol w:w="708"/>
        <w:gridCol w:w="850"/>
        <w:gridCol w:w="1261"/>
        <w:gridCol w:w="866"/>
        <w:gridCol w:w="497"/>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44,749</w:t>
            </w:r>
          </w:p>
        </w:tc>
        <w:tc>
          <w:tcPr>
            <w:tcW w:w="40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44,049</w:t>
            </w:r>
          </w:p>
        </w:tc>
      </w:tr>
      <w:tr>
        <w:trPr>
          <w:trHeight w:val="39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024" w:type="dxa"/>
            <w:vMerge w:val="restart"/>
            <w:tcBorders>
              <w:top w:val="single" w:sz="4" w:space="0" w:color="000000"/>
              <w:left w:val="single" w:sz="4" w:space="0" w:color="000000"/>
              <w:right w:val="single" w:sz="4" w:space="0" w:color="000000"/>
            </w:tcBorders>
            <w:shd w:val="clear" w:color="auto" w:fill="D2D2D2"/>
          </w:tcPr>
          <w:p>
            <w:pPr/>
          </w:p>
        </w:tc>
        <w:tc>
          <w:tcPr>
            <w:tcW w:w="96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
        </w:tc>
        <w:tc>
          <w:tcPr>
            <w:tcW w:w="13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02" w:type="dxa"/>
            <w:vMerge/>
            <w:tcBorders>
              <w:left w:val="single" w:sz="4" w:space="0" w:color="000000"/>
              <w:right w:val="single" w:sz="4" w:space="0" w:color="000000"/>
            </w:tcBorders>
            <w:shd w:val="clear" w:color="auto" w:fill="D2D2D2"/>
          </w:tcPr>
          <w:p>
            <w:pPr/>
          </w:p>
        </w:tc>
        <w:tc>
          <w:tcPr>
            <w:tcW w:w="1024" w:type="dxa"/>
            <w:vMerge/>
            <w:tcBorders>
              <w:left w:val="single" w:sz="4" w:space="0" w:color="000000"/>
              <w:right w:val="single" w:sz="4" w:space="0" w:color="000000"/>
            </w:tcBorders>
            <w:shd w:val="clear" w:color="auto" w:fill="D2D2D2"/>
          </w:tcPr>
          <w:p>
            <w:pPr/>
          </w:p>
        </w:tc>
        <w:tc>
          <w:tcPr>
            <w:tcW w:w="961"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261" w:type="dxa"/>
            <w:vMerge/>
            <w:tcBorders>
              <w:left w:val="single" w:sz="4" w:space="0" w:color="000000"/>
              <w:bottom w:val="nil" w:sz="6" w:space="0" w:color="auto"/>
              <w:right w:val="single" w:sz="4" w:space="0" w:color="000000"/>
            </w:tcBorders>
            <w:shd w:val="clear" w:color="auto" w:fill="D2D2D2"/>
          </w:tcPr>
          <w:p>
            <w:pPr/>
          </w:p>
        </w:tc>
        <w:tc>
          <w:tcPr>
            <w:tcW w:w="1363" w:type="dxa"/>
            <w:gridSpan w:val="2"/>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
              <w:ind w:left="93" w:right="75"/>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
        </w:tc>
        <w:tc>
          <w:tcPr>
            <w:tcW w:w="497"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61" w:type="dxa"/>
            <w:vMerge/>
            <w:tcBorders>
              <w:left w:val="single" w:sz="4" w:space="0" w:color="000000"/>
              <w:right w:val="single" w:sz="4" w:space="0" w:color="000000"/>
            </w:tcBorders>
            <w:shd w:val="clear" w:color="auto" w:fill="D2D2D2"/>
          </w:tcPr>
          <w:p>
            <w:pPr/>
          </w:p>
        </w:tc>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报告期末持股数量</w:t>
            </w: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497"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961" w:type="dxa"/>
            <w:vMerge/>
            <w:tcBorders>
              <w:left w:val="single" w:sz="4" w:space="0" w:color="000000"/>
              <w:right w:val="single" w:sz="4" w:space="0" w:color="000000"/>
            </w:tcBorders>
            <w:shd w:val="clear" w:color="auto" w:fill="D2D2D2"/>
          </w:tcPr>
          <w:p>
            <w:pPr/>
          </w:p>
        </w:tc>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7"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024" w:type="dxa"/>
            <w:vMerge w:val="restart"/>
            <w:tcBorders>
              <w:top w:val="nil" w:sz="6" w:space="0" w:color="auto"/>
              <w:left w:val="single" w:sz="4" w:space="0" w:color="000000"/>
              <w:right w:val="single" w:sz="4" w:space="0" w:color="000000"/>
            </w:tcBorders>
            <w:shd w:val="clear" w:color="auto" w:fill="D2D2D2"/>
          </w:tcPr>
          <w:p>
            <w:pPr/>
          </w:p>
        </w:tc>
        <w:tc>
          <w:tcPr>
            <w:tcW w:w="961"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61" w:type="dxa"/>
            <w:vMerge/>
            <w:tcBorders>
              <w:left w:val="single" w:sz="4" w:space="0" w:color="000000"/>
              <w:bottom w:val="single" w:sz="17" w:space="0" w:color="FFFFFF"/>
              <w:right w:val="single" w:sz="4" w:space="0" w:color="000000"/>
            </w:tcBorders>
            <w:shd w:val="clear" w:color="auto" w:fill="D2D2D2"/>
          </w:tcPr>
          <w:p>
            <w:pPr/>
          </w:p>
        </w:tc>
        <w:tc>
          <w:tcPr>
            <w:tcW w:w="866" w:type="dxa"/>
            <w:vMerge/>
            <w:tcBorders>
              <w:left w:val="single" w:sz="4" w:space="0" w:color="000000"/>
              <w:bottom w:val="single" w:sz="17" w:space="0" w:color="FFFFFF"/>
              <w:right w:val="single" w:sz="4" w:space="0" w:color="000000"/>
            </w:tcBorders>
            <w:shd w:val="clear" w:color="auto" w:fill="D2D2D2"/>
          </w:tcPr>
          <w:p>
            <w:pPr/>
          </w:p>
        </w:tc>
        <w:tc>
          <w:tcPr>
            <w:tcW w:w="497" w:type="dxa"/>
            <w:vMerge/>
            <w:tcBorders>
              <w:left w:val="single" w:sz="4" w:space="0" w:color="000000"/>
              <w:bottom w:val="single" w:sz="17" w:space="0" w:color="FFFFFF"/>
              <w:right w:val="single" w:sz="4" w:space="0" w:color="000000"/>
            </w:tcBorders>
            <w:shd w:val="clear" w:color="auto" w:fill="D2D2D2"/>
          </w:tcPr>
          <w:p>
            <w:pPr/>
          </w:p>
        </w:tc>
      </w:tr>
      <w:tr>
        <w:trPr>
          <w:trHeight w:val="145" w:hRule="exact"/>
        </w:trPr>
        <w:tc>
          <w:tcPr>
            <w:tcW w:w="1702" w:type="dxa"/>
            <w:vMerge/>
            <w:tcBorders>
              <w:left w:val="single" w:sz="4" w:space="0" w:color="000000"/>
              <w:right w:val="single" w:sz="4" w:space="0" w:color="000000"/>
            </w:tcBorders>
            <w:shd w:val="clear" w:color="auto" w:fill="D2D2D2"/>
          </w:tcPr>
          <w:p>
            <w:pPr/>
          </w:p>
        </w:tc>
        <w:tc>
          <w:tcPr>
            <w:tcW w:w="1024" w:type="dxa"/>
            <w:vMerge/>
            <w:tcBorders>
              <w:left w:val="single" w:sz="4" w:space="0" w:color="000000"/>
              <w:right w:val="single" w:sz="4" w:space="0" w:color="000000"/>
            </w:tcBorders>
            <w:shd w:val="clear" w:color="auto" w:fill="D2D2D2"/>
          </w:tcPr>
          <w:p>
            <w:pPr/>
          </w:p>
        </w:tc>
        <w:tc>
          <w:tcPr>
            <w:tcW w:w="961" w:type="dxa"/>
            <w:vMerge w:val="restart"/>
            <w:tcBorders>
              <w:top w:val="nil" w:sz="6" w:space="0" w:color="auto"/>
              <w:left w:val="single" w:sz="4" w:space="0" w:color="000000"/>
              <w:right w:val="single" w:sz="4" w:space="0" w:color="000000"/>
            </w:tcBorders>
            <w:shd w:val="clear" w:color="auto" w:fill="D2D2D2"/>
          </w:tcPr>
          <w:p>
            <w:pPr/>
          </w:p>
        </w:tc>
        <w:tc>
          <w:tcPr>
            <w:tcW w:w="1702"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single" w:sz="17" w:space="0" w:color="FFFFFF"/>
              <w:left w:val="single" w:sz="4" w:space="0" w:color="000000"/>
              <w:right w:val="single" w:sz="4" w:space="0" w:color="000000"/>
            </w:tcBorders>
            <w:shd w:val="clear" w:color="auto" w:fill="D2D2D2"/>
          </w:tcPr>
          <w:p>
            <w:pPr/>
          </w:p>
        </w:tc>
        <w:tc>
          <w:tcPr>
            <w:tcW w:w="866" w:type="dxa"/>
            <w:vMerge w:val="restart"/>
            <w:tcBorders>
              <w:top w:val="single" w:sz="17" w:space="0" w:color="FFFFFF"/>
              <w:left w:val="single" w:sz="4" w:space="0" w:color="000000"/>
              <w:right w:val="single" w:sz="4" w:space="0" w:color="000000"/>
            </w:tcBorders>
            <w:shd w:val="clear" w:color="auto" w:fill="D2D2D2"/>
          </w:tcPr>
          <w:p>
            <w:pPr/>
          </w:p>
        </w:tc>
        <w:tc>
          <w:tcPr>
            <w:tcW w:w="497" w:type="dxa"/>
            <w:vMerge w:val="restart"/>
            <w:tcBorders>
              <w:top w:val="single" w:sz="17" w:space="0" w:color="FFFFFF"/>
              <w:left w:val="single" w:sz="4" w:space="0" w:color="000000"/>
              <w:right w:val="single" w:sz="4" w:space="0" w:color="000000"/>
            </w:tcBorders>
            <w:shd w:val="clear" w:color="auto" w:fill="D2D2D2"/>
          </w:tcPr>
          <w:p>
            <w:pP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c>
          <w:tcPr>
            <w:tcW w:w="961" w:type="dxa"/>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华立集团股份有限公 司</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23.52%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114,690,754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114,690,754</w:t>
            </w:r>
          </w:p>
        </w:tc>
        <w:tc>
          <w:tcPr>
            <w:tcW w:w="8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3,710,695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3,710,695</w:t>
            </w:r>
          </w:p>
        </w:tc>
        <w:tc>
          <w:tcPr>
            <w:tcW w:w="8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02"/>
        <w:gridCol w:w="1030"/>
        <w:gridCol w:w="956"/>
        <w:gridCol w:w="1702"/>
        <w:gridCol w:w="708"/>
        <w:gridCol w:w="737"/>
        <w:gridCol w:w="113"/>
        <w:gridCol w:w="1267"/>
        <w:gridCol w:w="860"/>
        <w:gridCol w:w="497"/>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付王妹</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3,190,323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3,190,323</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1,998,320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1,998,320</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海通证券股份有限公 司客户信用交易担保 证券账户</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1,962,310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1,962,310</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1,708,193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1,708,193</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广东证券股份有限公 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1,702,249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1,702,249</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1,654,500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1,654,500</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黄小梅</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1,637,000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刘秀英</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1,599,200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1,599,200</w:t>
            </w:r>
          </w:p>
        </w:tc>
        <w:tc>
          <w:tcPr>
            <w:tcW w:w="86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39"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6" w:right="23"/>
              <w:jc w:val="left"/>
              <w:rPr>
                <w:rFonts w:ascii="宋体" w:hAnsi="宋体" w:cs="宋体" w:eastAsia="宋体" w:hint="default"/>
                <w:sz w:val="18"/>
                <w:szCs w:val="18"/>
              </w:rPr>
            </w:pPr>
            <w:r>
              <w:rPr>
                <w:rFonts w:ascii="宋体" w:hAnsi="宋体" w:cs="宋体" w:eastAsia="宋体" w:hint="default"/>
                <w:spacing w:val="-2"/>
                <w:sz w:val="18"/>
                <w:szCs w:val="18"/>
              </w:rPr>
              <w:t>公司未知上述股东之间是否存在关联关系或属于《上市公司股东持股变动信息披露管理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办法》规定的一致行动人。</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2" w:type="dxa"/>
            <w:gridSpan w:val="2"/>
            <w:vMerge/>
            <w:tcBorders>
              <w:left w:val="single" w:sz="4" w:space="0" w:color="000000"/>
              <w:bottom w:val="nil" w:sz="6" w:space="0" w:color="auto"/>
              <w:right w:val="single" w:sz="4" w:space="0" w:color="000000"/>
            </w:tcBorders>
            <w:shd w:val="clear" w:color="auto" w:fill="D2D2D2"/>
          </w:tcPr>
          <w:p>
            <w:pPr/>
          </w:p>
        </w:tc>
        <w:tc>
          <w:tcPr>
            <w:tcW w:w="4103" w:type="dxa"/>
            <w:gridSpan w:val="4"/>
            <w:vMerge/>
            <w:tcBorders>
              <w:left w:val="single" w:sz="4" w:space="0" w:color="000000"/>
              <w:bottom w:val="nil" w:sz="6" w:space="0" w:color="auto"/>
              <w:right w:val="single" w:sz="4" w:space="0" w:color="000000"/>
            </w:tcBorders>
            <w:shd w:val="clear" w:color="auto" w:fill="D2D2D2"/>
          </w:tcPr>
          <w:p>
            <w:pPr/>
          </w:p>
        </w:tc>
        <w:tc>
          <w:tcPr>
            <w:tcW w:w="1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gridSpan w:val="2"/>
            <w:vMerge/>
            <w:tcBorders>
              <w:left w:val="single" w:sz="4" w:space="0" w:color="000000"/>
              <w:bottom w:val="single" w:sz="4" w:space="0" w:color="000000"/>
              <w:right w:val="single" w:sz="4" w:space="0" w:color="000000"/>
            </w:tcBorders>
            <w:shd w:val="clear" w:color="auto" w:fill="D2D2D2"/>
          </w:tcPr>
          <w:p>
            <w:pPr/>
          </w:p>
        </w:tc>
        <w:tc>
          <w:tcPr>
            <w:tcW w:w="1357"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114,690,754</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114,690,754</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3,710,695</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6" w:right="0"/>
              <w:jc w:val="left"/>
              <w:rPr>
                <w:rFonts w:ascii="Times New Roman" w:hAnsi="Times New Roman" w:cs="Times New Roman" w:eastAsia="Times New Roman" w:hint="default"/>
                <w:sz w:val="18"/>
                <w:szCs w:val="18"/>
              </w:rPr>
            </w:pPr>
            <w:r>
              <w:rPr>
                <w:rFonts w:ascii="Times New Roman"/>
                <w:sz w:val="18"/>
              </w:rPr>
              <w:t>3,710,695</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付王妹</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3,190,323</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3,190,323</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张春</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1,998,320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6" w:right="0"/>
              <w:jc w:val="left"/>
              <w:rPr>
                <w:rFonts w:ascii="Times New Roman" w:hAnsi="Times New Roman" w:cs="Times New Roman" w:eastAsia="Times New Roman" w:hint="default"/>
                <w:sz w:val="18"/>
                <w:szCs w:val="18"/>
              </w:rPr>
            </w:pPr>
            <w:r>
              <w:rPr>
                <w:rFonts w:ascii="Times New Roman"/>
                <w:sz w:val="18"/>
              </w:rPr>
              <w:t>1,998,320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海通证券股份有限公司客户信用 交易担保证券账户</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1,962,310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1,962,310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1,708,193</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6" w:right="0"/>
              <w:jc w:val="left"/>
              <w:rPr>
                <w:rFonts w:ascii="Times New Roman" w:hAnsi="Times New Roman" w:cs="Times New Roman" w:eastAsia="Times New Roman" w:hint="default"/>
                <w:sz w:val="18"/>
                <w:szCs w:val="18"/>
              </w:rPr>
            </w:pPr>
            <w:r>
              <w:rPr>
                <w:rFonts w:ascii="Times New Roman"/>
                <w:sz w:val="18"/>
              </w:rPr>
              <w:t>1,708,193</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广东证券股份有限公司</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1,702,249</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1,702,249</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1,654,500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6" w:right="0"/>
              <w:jc w:val="left"/>
              <w:rPr>
                <w:rFonts w:ascii="Times New Roman" w:hAnsi="Times New Roman" w:cs="Times New Roman" w:eastAsia="Times New Roman" w:hint="default"/>
                <w:sz w:val="18"/>
                <w:szCs w:val="18"/>
              </w:rPr>
            </w:pPr>
            <w:r>
              <w:rPr>
                <w:rFonts w:ascii="Times New Roman"/>
                <w:sz w:val="18"/>
              </w:rPr>
              <w:t>1,654,500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黄小梅</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1,637,000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1,637,000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刘秀英</w:t>
            </w:r>
          </w:p>
        </w:tc>
        <w:tc>
          <w:tcPr>
            <w:tcW w:w="4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1,599,200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6" w:right="0"/>
              <w:jc w:val="left"/>
              <w:rPr>
                <w:rFonts w:ascii="Times New Roman" w:hAnsi="Times New Roman" w:cs="Times New Roman" w:eastAsia="Times New Roman" w:hint="default"/>
                <w:sz w:val="18"/>
                <w:szCs w:val="18"/>
              </w:rPr>
            </w:pPr>
            <w:r>
              <w:rPr>
                <w:rFonts w:ascii="Times New Roman"/>
                <w:sz w:val="18"/>
              </w:rPr>
              <w:t>1,599,200</w:t>
            </w:r>
          </w:p>
        </w:tc>
      </w:tr>
      <w:tr>
        <w:trPr>
          <w:trHeight w:val="133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3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 w:right="23"/>
              <w:jc w:val="left"/>
              <w:rPr>
                <w:rFonts w:ascii="宋体" w:hAnsi="宋体" w:cs="宋体" w:eastAsia="宋体" w:hint="default"/>
                <w:sz w:val="18"/>
                <w:szCs w:val="18"/>
              </w:rPr>
            </w:pPr>
            <w:r>
              <w:rPr>
                <w:rFonts w:ascii="宋体" w:hAnsi="宋体" w:cs="宋体" w:eastAsia="宋体" w:hint="default"/>
                <w:spacing w:val="-2"/>
                <w:sz w:val="18"/>
                <w:szCs w:val="18"/>
              </w:rPr>
              <w:t>公司未知上述股东之间是否存在关联关系或属于《上市公司股东持股变动信息披露管理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办法》规定的一致行动人。</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3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888"/>
        <w:gridCol w:w="1800"/>
        <w:gridCol w:w="1800"/>
        <w:gridCol w:w="1803"/>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肖琪经</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70420699-8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叁亿零叁佰叁拾捌万 元</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4"/>
              <w:jc w:val="both"/>
              <w:rPr>
                <w:rFonts w:ascii="宋体" w:hAnsi="宋体" w:cs="宋体" w:eastAsia="宋体" w:hint="default"/>
                <w:sz w:val="18"/>
                <w:szCs w:val="18"/>
              </w:rPr>
            </w:pPr>
            <w:r>
              <w:rPr>
                <w:rFonts w:ascii="宋体" w:hAnsi="宋体" w:cs="宋体" w:eastAsia="宋体" w:hint="default"/>
                <w:spacing w:val="-6"/>
                <w:sz w:val="18"/>
                <w:szCs w:val="18"/>
              </w:rPr>
              <w:t>危险化学品经营；实业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投资，资产管理，国内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和国际贸易技术服务， 管理咨询，设备租赁， 燃料油（不含成品油） 的销售。</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营业收入稳定增长，盈利能力和财务弹性显著增强，营业规模超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亿元，现金流状况平稳， 未来发展上继续稳健经营、积蓄能量，拓展海外市场。</w:t>
            </w:r>
          </w:p>
        </w:tc>
      </w:tr>
      <w:tr>
        <w:trPr>
          <w:trHeight w:val="1028"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间接持有昆明制药集团股份有限公司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73,550,225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股；间接持有武汉健民药业集团股份有限公司</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32,053,798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股；直接和间接持有上海开创国际海洋资源股份有限公司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33,318,589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5"/>
        <w:ind w:left="152" w:right="7561" w:firstLine="0"/>
        <w:jc w:val="left"/>
        <w:rPr>
          <w:rFonts w:ascii="宋体" w:hAnsi="宋体" w:cs="宋体" w:eastAsia="宋体" w:hint="default"/>
          <w:sz w:val="18"/>
          <w:szCs w:val="18"/>
        </w:rPr>
      </w:pPr>
      <w:r>
        <w:rPr/>
        <w:pict>
          <v:shape style="position:absolute;margin-left:56.400002pt;margin-top:84.301697pt;width:479.3pt;height:9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汪力成</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华立集团股份有限公司董事局主席</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昆明制药集团股份有限公司武汉健民药业集团股份有限公司浙江华智控股股份 有限公司浙江华立科技股份有限公司</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after="0" w:line="3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4"/>
        <w:rPr>
          <w:rFonts w:ascii="宋体" w:hAnsi="宋体" w:cs="宋体" w:eastAsia="宋体" w:hint="default"/>
          <w:sz w:val="27"/>
          <w:szCs w:val="27"/>
        </w:rPr>
      </w:pPr>
    </w:p>
    <w:p>
      <w:pPr>
        <w:spacing w:line="4613" w:lineRule="exact"/>
        <w:ind w:left="366"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857109" cy="292950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8" cstate="print"/>
                    <a:stretch>
                      <a:fillRect/>
                    </a:stretch>
                  </pic:blipFill>
                  <pic:spPr>
                    <a:xfrm>
                      <a:off x="0" y="0"/>
                      <a:ext cx="5857109" cy="2929508"/>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0"/>
        <w:rPr>
          <w:rFonts w:ascii="宋体" w:hAnsi="宋体" w:cs="宋体" w:eastAsia="宋体" w:hint="default"/>
          <w:sz w:val="12"/>
          <w:szCs w:val="12"/>
        </w:rPr>
      </w:pPr>
    </w:p>
    <w:p>
      <w:pPr>
        <w:pStyle w:val="BodyText"/>
        <w:spacing w:line="240" w:lineRule="auto" w:before="26"/>
        <w:ind w:right="0" w:firstLine="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0"/>
        <w:jc w:val="left"/>
        <w:rPr>
          <w:b w:val="0"/>
          <w:bCs w:val="0"/>
        </w:rPr>
      </w:pP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裁、董秘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杜学东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胡子云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鲁春燕</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贺红云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222"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52" w:right="22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97" w:lineRule="auto" w:before="93"/>
        <w:ind w:right="271"/>
        <w:jc w:val="both"/>
      </w:pPr>
      <w:r>
        <w:rPr/>
        <w:t>金美星先生：现任浙江华智控股股份有限公司董事长，华立仪表集团股份有限公司董事 长，华立集团股份有限公司董事；历任华立集团股份有限公司副总裁，华立地产集团有限公 司董事长，华立仪表集团股份有限公司总裁，华正电子集团有限公司董事长，华生矿业有限 公司董事长、总裁。</w:t>
      </w:r>
    </w:p>
    <w:p>
      <w:pPr>
        <w:pStyle w:val="BodyText"/>
        <w:spacing w:line="297" w:lineRule="auto" w:before="17"/>
        <w:ind w:right="269"/>
        <w:jc w:val="both"/>
      </w:pPr>
      <w:r>
        <w:rPr/>
        <w:t>刘浩军先生：现任浙江华智控股股份有限公司董事，武汉健民药业集团股份有限公司董 事，华方医药科技有限公司副总裁，浙江产权交易所有限公司董事；历任浙江华智控股股份 有限公司董事长，华立集团股份有限公司执行董事。</w:t>
      </w:r>
    </w:p>
    <w:p>
      <w:pPr>
        <w:pStyle w:val="BodyText"/>
        <w:spacing w:line="297" w:lineRule="auto" w:before="20"/>
        <w:ind w:right="270"/>
        <w:jc w:val="both"/>
      </w:pPr>
      <w:r>
        <w:rPr/>
        <w:t>郭峻峰先生：现任浙江华智控股股份有限公司董事、总裁，华立仪表集团股份有限公司 董事、总裁，浙江华立科技有限公司执行董事，杭州子蜂软件有限公司董事长，杭州贝特燃 气表有限公司董事长，浙江华立能源技术有限公司董事，浙江埃斯朗华科技有限公司董事； 历任东方通信股份有限公司手机分厂生产部经理、企业技术中心副主任、事业部营销副总经 理、终端营销事业部总经理及东方通信股份有限公司副总裁，中国普天信息产业集团公司总 裁助理兼战略发展部总经理及集团下属北京普天太力公司总经理，韵升控股集团有限公司董 事、总经理，兼任其下属子公司董事、总经理、党委书记，宁波韵升股份有限公司董事和常 务副总经理。</w:t>
      </w:r>
    </w:p>
    <w:p>
      <w:pPr>
        <w:pStyle w:val="BodyText"/>
        <w:spacing w:line="297" w:lineRule="auto"/>
        <w:ind w:right="271"/>
        <w:jc w:val="both"/>
      </w:pPr>
      <w:r>
        <w:rPr/>
        <w:t>熊波先生：现任浙江华智控股股份有限公司董事、董秘、副总裁，华立仪表集团股份有 限公司董事。</w:t>
      </w:r>
    </w:p>
    <w:p>
      <w:pPr>
        <w:pStyle w:val="BodyText"/>
        <w:spacing w:line="297" w:lineRule="auto"/>
        <w:ind w:right="271"/>
        <w:jc w:val="both"/>
      </w:pPr>
      <w:r>
        <w:rPr/>
        <w:t>辛金国先生：现任浙江华智控股股份有限公司董事，杭州电子科技大学教授，宝鼎重工 股份有限公司独立董事，浙江广厦股份有限公司独立董事，昆明制药集团股份有限公司独立 董事。</w:t>
      </w:r>
    </w:p>
    <w:p>
      <w:pPr>
        <w:pStyle w:val="BodyText"/>
        <w:spacing w:line="297" w:lineRule="auto" w:before="17"/>
        <w:ind w:right="96"/>
        <w:jc w:val="left"/>
      </w:pPr>
      <w:r>
        <w:rPr/>
        <w:t>甘为民先生：现任浙江华智控股股份有限公司独立董事，观韬律师事务所合伙人，浙江 省企业法律顾问协会知识产权专业委员会主任，浙江省知识产权讲师团讲师，杭州仲裁委员 会仲裁员，浙商全国理事会理事，晋亿实业股份有限公司独立董事，露笑科技股份有限公司 </w:t>
      </w:r>
      <w:r>
        <w:rPr>
          <w:spacing w:val="-2"/>
        </w:rPr>
        <w:t>独立董事，杭州远方光电信息股份有限公司独立董事，汉嘉设计集团股份有限公司（未上市）</w:t>
      </w:r>
      <w:r>
        <w:rPr/>
        <w:t> 独立董事，沁园集团股份有限公司（未上市）独立董事；历任凯麦律师事务所高级合伙人， 杭州凯麦企业管理咨询有限公司董事长。</w:t>
      </w:r>
    </w:p>
    <w:p>
      <w:pPr>
        <w:spacing w:after="0" w:line="297" w:lineRule="auto"/>
        <w:jc w:val="left"/>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97" w:lineRule="auto" w:before="26"/>
        <w:ind w:right="190"/>
        <w:jc w:val="both"/>
      </w:pPr>
      <w:r>
        <w:rPr/>
        <w:t>张鹏先生：现任浙江华智控股股份有限公司独立董事，深圳大族激光科技股份有限公司 董事，深圳长城开发科技股份有限公司独立董事，深圳顺络电子股份有限公司独立董事，三 维通信股份有限公司独立董事，四川美丰化工股份有限公司独立董事。曾任国信证券有限公 司投资银行事业部副总裁。</w:t>
      </w:r>
    </w:p>
    <w:p>
      <w:pPr>
        <w:pStyle w:val="BodyText"/>
        <w:spacing w:line="297" w:lineRule="auto"/>
        <w:ind w:right="191"/>
        <w:jc w:val="both"/>
      </w:pPr>
      <w:r>
        <w:rPr/>
        <w:t>胡剑先生：现任浙江华智控股股份有限公司监事会主席，华立集团股份有限公司审计监 察部副部长；历任华立集团股份有限公司审计部高级审计师。</w:t>
      </w:r>
    </w:p>
    <w:p>
      <w:pPr>
        <w:pStyle w:val="BodyText"/>
        <w:spacing w:line="297" w:lineRule="auto"/>
        <w:ind w:right="191"/>
        <w:jc w:val="both"/>
      </w:pPr>
      <w:r>
        <w:rPr/>
        <w:t>李宏娅女士：现任浙江华智控股股份有限公司监事，华立集团股份有限公司投资管理部 投资管理主管，武汉健民药业集团股份有限公司监事，昆明制药集团股份有限公司监事；历 任华立集团股份有限公司投资管理部投资管理主管，浙江中瑞江南会计师事务所有限公司业 务助理。</w:t>
      </w:r>
    </w:p>
    <w:p>
      <w:pPr>
        <w:pStyle w:val="BodyText"/>
        <w:spacing w:line="297" w:lineRule="auto"/>
        <w:ind w:right="191"/>
        <w:jc w:val="both"/>
      </w:pPr>
      <w:r>
        <w:rPr/>
        <w:t>王俊先生：现任浙江华智控股股份有限公司监事，华立集团股份有限公司营运管理部营 运经理；历任华立阿巴迪农业（印度尼西亚）有限公司财务经理，华立集团股份有限公司审 计部审计师，浙江新华会计师事务所审计师。</w:t>
      </w:r>
    </w:p>
    <w:p>
      <w:pPr>
        <w:pStyle w:val="BodyText"/>
        <w:spacing w:line="297" w:lineRule="auto" w:before="17"/>
        <w:ind w:right="191"/>
        <w:jc w:val="both"/>
      </w:pPr>
      <w:r>
        <w:rPr/>
        <w:t>李曙虹先生：现任浙江华智控股股份有限公司监事，华立仪表集团股份有限公司审计法 务部部长；历任华立仪表集团股份有限公司审计法务部部长，华立集团股份有限公司高级审 计师，中国联通杭州分公司财务部财务经理。</w:t>
      </w:r>
    </w:p>
    <w:p>
      <w:pPr>
        <w:pStyle w:val="BodyText"/>
        <w:spacing w:line="297" w:lineRule="auto"/>
        <w:ind w:right="191"/>
        <w:jc w:val="both"/>
      </w:pPr>
      <w:r>
        <w:rPr/>
        <w:t>蒋炜先生：现任浙江华智控股股份有限公司监事，华立仪表集团股份有限公司人力资源 部副部长。</w:t>
      </w:r>
    </w:p>
    <w:p>
      <w:pPr>
        <w:pStyle w:val="BodyText"/>
        <w:spacing w:line="297" w:lineRule="auto"/>
        <w:ind w:right="190"/>
        <w:jc w:val="both"/>
      </w:pPr>
      <w:r>
        <w:rPr/>
        <w:t>李帅红女士：现任浙江华智控股股份有限公司财务总监兼财务负责人，华立仪表集团股 份有限公司财务负责人兼资财部部长，浙江埃斯朗华科技有限公司董事；历任杭州联生绝缘 材料有限公司运营总监兼财务负责人。</w:t>
      </w:r>
    </w:p>
    <w:p>
      <w:pPr>
        <w:spacing w:line="240" w:lineRule="auto" w:before="11"/>
        <w:rPr>
          <w:rFonts w:ascii="宋体" w:hAnsi="宋体" w:cs="宋体" w:eastAsia="宋体" w:hint="default"/>
          <w:sz w:val="28"/>
          <w:szCs w:val="2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57" w:firstLine="0"/>
        <w:jc w:val="right"/>
        <w:rPr>
          <w:rFonts w:ascii="宋体" w:hAnsi="宋体" w:cs="宋体" w:eastAsia="宋体" w:hint="default"/>
          <w:sz w:val="18"/>
          <w:szCs w:val="18"/>
        </w:rPr>
      </w:pPr>
      <w:r>
        <w:rPr/>
        <w:pict>
          <v:shape style="position:absolute;margin-left:56.400002pt;margin-top:-210.478256pt;width:479.3pt;height:228.3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2"/>
                            <w:sz w:val="18"/>
                            <w:szCs w:val="18"/>
                          </w:rPr>
                          <w:t> </w:t>
                        </w:r>
                        <w:r>
                          <w:rPr>
                            <w:rFonts w:ascii="宋体" w:hAnsi="宋体" w:cs="宋体" w:eastAsia="宋体" w:hint="default"/>
                            <w:sz w:val="18"/>
                            <w:szCs w:val="18"/>
                          </w:rPr>
                          <w:t>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审计监察部 </w:t>
                        </w:r>
                        <w:r>
                          <w:rPr>
                            <w:rFonts w:ascii="宋体" w:hAnsi="宋体" w:cs="宋体" w:eastAsia="宋体" w:hint="default"/>
                            <w:spacing w:val="-12"/>
                            <w:sz w:val="18"/>
                            <w:szCs w:val="18"/>
                          </w:rPr>
                          <w:t>副部长、高级</w:t>
                        </w:r>
                        <w:r>
                          <w:rPr>
                            <w:rFonts w:ascii="宋体" w:hAnsi="宋体" w:cs="宋体" w:eastAsia="宋体" w:hint="default"/>
                            <w:sz w:val="18"/>
                            <w:szCs w:val="18"/>
                          </w:rPr>
                          <w:t> 审计师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投资管理部 投资管理主 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营运管理部 营运经理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刘浩军任华立集团股份有限公司执行董事。胡剑任华立集团股份有限公司审计监察部副部长、高级审计师</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9"/>
        <w:gridCol w:w="8370"/>
      </w:tblGrid>
      <w:tr>
        <w:trPr>
          <w:trHeight w:val="67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52"/>
              <w:jc w:val="left"/>
              <w:rPr>
                <w:rFonts w:ascii="宋体" w:hAnsi="宋体" w:cs="宋体" w:eastAsia="宋体" w:hint="default"/>
                <w:sz w:val="18"/>
                <w:szCs w:val="18"/>
              </w:rPr>
            </w:pPr>
            <w:r>
              <w:rPr>
                <w:rFonts w:ascii="宋体" w:hAnsi="宋体" w:cs="宋体" w:eastAsia="宋体" w:hint="default"/>
                <w:sz w:val="18"/>
                <w:szCs w:val="18"/>
              </w:rPr>
              <w:t>李宏娅任华立集团股份有限公司投资管理部投资管理主管。王俊任华立集团股份有限公司营运管理部营运 经理。</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48"/>
        <w:gridCol w:w="1573"/>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浙江产权交易所有限公司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杭州贝特燃气表有限公司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浙江华立能源技术有限公司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宝鼎重工股份有限公司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浙江广厦股份有限公司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观韬律师事务所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浙江省企业法律顾问协会知识产权 专业委员会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浙江省知识产权讲师团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讲师</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杭州仲裁委员会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浙商全国理事会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晋亿实业股份有限公司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露笑科技股份有限公司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2"/>
              <w:jc w:val="left"/>
              <w:rPr>
                <w:rFonts w:ascii="宋体" w:hAnsi="宋体" w:cs="宋体" w:eastAsia="宋体" w:hint="default"/>
                <w:sz w:val="18"/>
                <w:szCs w:val="18"/>
              </w:rPr>
            </w:pPr>
            <w:r>
              <w:rPr>
                <w:rFonts w:ascii="宋体" w:hAnsi="宋体" w:cs="宋体" w:eastAsia="宋体" w:hint="default"/>
                <w:sz w:val="18"/>
                <w:szCs w:val="18"/>
              </w:rPr>
              <w:t>汉嘉设计集团股份有限公司（未上 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沁园集团股份有限公司（未上市）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深圳大族激光科技股份有限公司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133"/>
        <w:gridCol w:w="1548"/>
        <w:gridCol w:w="1573"/>
        <w:gridCol w:w="1346"/>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三维通信股份有限公司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人力资源部 副部长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审计法务部 部长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财务负责人 兼资财部部 长</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06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4"/>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6" w:right="52"/>
              <w:jc w:val="left"/>
              <w:rPr>
                <w:rFonts w:ascii="宋体" w:hAnsi="宋体" w:cs="宋体" w:eastAsia="宋体" w:hint="default"/>
                <w:sz w:val="18"/>
                <w:szCs w:val="18"/>
              </w:rPr>
            </w:pPr>
            <w:r>
              <w:rPr>
                <w:rFonts w:ascii="宋体" w:hAnsi="宋体" w:cs="宋体" w:eastAsia="宋体" w:hint="default"/>
                <w:sz w:val="18"/>
                <w:szCs w:val="18"/>
              </w:rPr>
              <w:t>金美星任华立仪表集团股份有限公司董事长。 刘浩军任武汉健民药业集团股份有限公司董事，浙江产权交易所有限公司董事。</w:t>
            </w:r>
          </w:p>
          <w:p>
            <w:pPr>
              <w:pStyle w:val="TableParagraph"/>
              <w:spacing w:line="316" w:lineRule="auto" w:before="29"/>
              <w:ind w:left="26" w:right="52"/>
              <w:jc w:val="both"/>
              <w:rPr>
                <w:rFonts w:ascii="宋体" w:hAnsi="宋体" w:cs="宋体" w:eastAsia="宋体" w:hint="default"/>
                <w:sz w:val="18"/>
                <w:szCs w:val="18"/>
              </w:rPr>
            </w:pPr>
            <w:r>
              <w:rPr>
                <w:rFonts w:ascii="宋体" w:hAnsi="宋体" w:cs="宋体" w:eastAsia="宋体" w:hint="default"/>
                <w:sz w:val="18"/>
                <w:szCs w:val="18"/>
              </w:rPr>
              <w:t>郭峻峰任华立仪表集团股份有限公司董事、总裁，浙江华立科技有限公司执行董事，杭州子蜂软件有限公 司董事长，杭州贝特燃气表有限公司董事长，浙江华立能源技术有限公司董事，浙江埃斯朗华科技有限公 司董事。</w:t>
            </w:r>
          </w:p>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辛金国任杭州电子科技大学教授，宝鼎重工股份有限公司（</w:t>
            </w:r>
            <w:r>
              <w:rPr>
                <w:rFonts w:ascii="Times New Roman" w:hAnsi="Times New Roman" w:cs="Times New Roman" w:eastAsia="Times New Roman" w:hint="default"/>
                <w:sz w:val="18"/>
                <w:szCs w:val="18"/>
              </w:rPr>
              <w:t>002552</w:t>
            </w:r>
            <w:r>
              <w:rPr>
                <w:rFonts w:ascii="宋体" w:hAnsi="宋体" w:cs="宋体" w:eastAsia="宋体" w:hint="default"/>
                <w:sz w:val="18"/>
                <w:szCs w:val="18"/>
              </w:rPr>
              <w:t>）独立董事，浙江广厦股份有限公司</w:t>
            </w:r>
          </w:p>
          <w:p>
            <w:pPr>
              <w:pStyle w:val="TableParagraph"/>
              <w:spacing w:line="314" w:lineRule="auto" w:before="63"/>
              <w:ind w:left="26"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600052</w:t>
            </w:r>
            <w:r>
              <w:rPr>
                <w:rFonts w:ascii="宋体" w:hAnsi="宋体" w:cs="宋体" w:eastAsia="宋体" w:hint="default"/>
                <w:sz w:val="18"/>
                <w:szCs w:val="18"/>
              </w:rPr>
              <w:t>）独立董事，昆明制药集团股份有限公司（</w:t>
            </w:r>
            <w:r>
              <w:rPr>
                <w:rFonts w:ascii="Times New Roman" w:hAnsi="Times New Roman" w:cs="Times New Roman" w:eastAsia="Times New Roman" w:hint="default"/>
                <w:sz w:val="18"/>
                <w:szCs w:val="18"/>
              </w:rPr>
              <w:t>600422</w:t>
            </w:r>
            <w:r>
              <w:rPr>
                <w:rFonts w:ascii="宋体" w:hAnsi="宋体" w:cs="宋体" w:eastAsia="宋体" w:hint="default"/>
                <w:sz w:val="18"/>
                <w:szCs w:val="18"/>
              </w:rPr>
              <w:t>）独立董事。 甘为民任观韬律师事务所合伙人，浙江省企业法律顾问协会知识产权专业委员会主任，浙江省知识产权讲 师团讲师，杭州仲裁委员会仲裁员，浙商全国理事会理事，晋亿实业股份有限公司（</w:t>
            </w:r>
            <w:r>
              <w:rPr>
                <w:rFonts w:ascii="Times New Roman" w:hAnsi="Times New Roman" w:cs="Times New Roman" w:eastAsia="Times New Roman" w:hint="default"/>
                <w:sz w:val="18"/>
                <w:szCs w:val="18"/>
              </w:rPr>
              <w:t>601002</w:t>
            </w:r>
            <w:r>
              <w:rPr>
                <w:rFonts w:ascii="宋体" w:hAnsi="宋体" w:cs="宋体" w:eastAsia="宋体" w:hint="default"/>
                <w:sz w:val="18"/>
                <w:szCs w:val="18"/>
              </w:rPr>
              <w:t>）独立董事， 露笑科技股份有限公司（</w:t>
            </w:r>
            <w:r>
              <w:rPr>
                <w:rFonts w:ascii="Times New Roman" w:hAnsi="Times New Roman" w:cs="Times New Roman" w:eastAsia="Times New Roman" w:hint="default"/>
                <w:sz w:val="18"/>
                <w:szCs w:val="18"/>
              </w:rPr>
              <w:t>002617</w:t>
            </w:r>
            <w:r>
              <w:rPr>
                <w:rFonts w:ascii="宋体" w:hAnsi="宋体" w:cs="宋体" w:eastAsia="宋体" w:hint="default"/>
                <w:sz w:val="18"/>
                <w:szCs w:val="18"/>
              </w:rPr>
              <w:t>）独立董事，杭州远方光电信息股份有限公司（</w:t>
            </w:r>
            <w:r>
              <w:rPr>
                <w:rFonts w:ascii="Times New Roman" w:hAnsi="Times New Roman" w:cs="Times New Roman" w:eastAsia="Times New Roman" w:hint="default"/>
                <w:sz w:val="18"/>
                <w:szCs w:val="18"/>
              </w:rPr>
              <w:t>300306</w:t>
            </w:r>
            <w:r>
              <w:rPr>
                <w:rFonts w:ascii="宋体" w:hAnsi="宋体" w:cs="宋体" w:eastAsia="宋体" w:hint="default"/>
                <w:sz w:val="18"/>
                <w:szCs w:val="18"/>
              </w:rPr>
              <w:t>）独立董事，汉嘉 设计集团股份有限公司（未上市）独立董事，沁园集团股份有限公司（未上市）独立董事。</w:t>
            </w:r>
          </w:p>
          <w:p>
            <w:pPr>
              <w:pStyle w:val="TableParagraph"/>
              <w:spacing w:line="324" w:lineRule="auto" w:before="61"/>
              <w:ind w:left="26" w:right="47"/>
              <w:jc w:val="left"/>
              <w:rPr>
                <w:rFonts w:ascii="宋体" w:hAnsi="宋体" w:cs="宋体" w:eastAsia="宋体" w:hint="default"/>
                <w:sz w:val="18"/>
                <w:szCs w:val="18"/>
              </w:rPr>
            </w:pPr>
            <w:r>
              <w:rPr>
                <w:rFonts w:ascii="宋体" w:hAnsi="宋体" w:cs="宋体" w:eastAsia="宋体" w:hint="default"/>
                <w:sz w:val="18"/>
                <w:szCs w:val="18"/>
              </w:rPr>
              <w:t>张鹏任国信证券有限公司投资银行事业部副总裁，深圳大族激光科技股份有限公司董事，深圳长城开发科 技股份有限公司（</w:t>
            </w:r>
            <w:r>
              <w:rPr>
                <w:rFonts w:ascii="Times New Roman" w:hAnsi="Times New Roman" w:cs="Times New Roman" w:eastAsia="Times New Roman" w:hint="default"/>
                <w:sz w:val="18"/>
                <w:szCs w:val="18"/>
              </w:rPr>
              <w:t>000021</w:t>
            </w:r>
            <w:r>
              <w:rPr>
                <w:rFonts w:ascii="宋体" w:hAnsi="宋体" w:cs="宋体" w:eastAsia="宋体" w:hint="default"/>
                <w:sz w:val="18"/>
                <w:szCs w:val="18"/>
              </w:rPr>
              <w:t>）独立董事，深圳顺络电子股份有限公司（</w:t>
            </w:r>
            <w:r>
              <w:rPr>
                <w:rFonts w:ascii="Times New Roman" w:hAnsi="Times New Roman" w:cs="Times New Roman" w:eastAsia="Times New Roman" w:hint="default"/>
                <w:sz w:val="18"/>
                <w:szCs w:val="18"/>
              </w:rPr>
              <w:t>002138</w:t>
            </w:r>
            <w:r>
              <w:rPr>
                <w:rFonts w:ascii="宋体" w:hAnsi="宋体" w:cs="宋体" w:eastAsia="宋体" w:hint="default"/>
                <w:sz w:val="18"/>
                <w:szCs w:val="18"/>
              </w:rPr>
              <w:t>）独立董事，三维通信股份有 限公司（</w:t>
            </w:r>
            <w:r>
              <w:rPr>
                <w:rFonts w:ascii="Times New Roman" w:hAnsi="Times New Roman" w:cs="Times New Roman" w:eastAsia="Times New Roman" w:hint="default"/>
                <w:sz w:val="18"/>
                <w:szCs w:val="18"/>
              </w:rPr>
              <w:t>002115</w:t>
            </w:r>
            <w:r>
              <w:rPr>
                <w:rFonts w:ascii="宋体" w:hAnsi="宋体" w:cs="宋体" w:eastAsia="宋体" w:hint="default"/>
                <w:sz w:val="18"/>
                <w:szCs w:val="18"/>
              </w:rPr>
              <w:t>）独立董事，四川美丰化工股份有限公司（</w:t>
            </w:r>
            <w:r>
              <w:rPr>
                <w:rFonts w:ascii="Times New Roman" w:hAnsi="Times New Roman" w:cs="Times New Roman" w:eastAsia="Times New Roman" w:hint="default"/>
                <w:sz w:val="18"/>
                <w:szCs w:val="18"/>
              </w:rPr>
              <w:t>000731</w:t>
            </w:r>
            <w:r>
              <w:rPr>
                <w:rFonts w:ascii="宋体" w:hAnsi="宋体" w:cs="宋体" w:eastAsia="宋体" w:hint="default"/>
                <w:sz w:val="18"/>
                <w:szCs w:val="18"/>
              </w:rPr>
              <w:t>）独立董事。 李宏娅任武汉健民药业集团股份有限公司（</w:t>
            </w:r>
            <w:r>
              <w:rPr>
                <w:rFonts w:ascii="Times New Roman" w:hAnsi="Times New Roman" w:cs="Times New Roman" w:eastAsia="Times New Roman" w:hint="default"/>
                <w:sz w:val="18"/>
                <w:szCs w:val="18"/>
              </w:rPr>
              <w:t>600976</w:t>
            </w:r>
            <w:r>
              <w:rPr>
                <w:rFonts w:ascii="宋体" w:hAnsi="宋体" w:cs="宋体" w:eastAsia="宋体" w:hint="default"/>
                <w:sz w:val="18"/>
                <w:szCs w:val="18"/>
              </w:rPr>
              <w:t>）监事、昆明制药集团股份有限公司（</w:t>
            </w:r>
            <w:r>
              <w:rPr>
                <w:rFonts w:ascii="Times New Roman" w:hAnsi="Times New Roman" w:cs="Times New Roman" w:eastAsia="Times New Roman" w:hint="default"/>
                <w:sz w:val="18"/>
                <w:szCs w:val="18"/>
              </w:rPr>
              <w:t>600422</w:t>
            </w:r>
            <w:r>
              <w:rPr>
                <w:rFonts w:ascii="宋体" w:hAnsi="宋体" w:cs="宋体" w:eastAsia="宋体" w:hint="default"/>
                <w:sz w:val="18"/>
                <w:szCs w:val="18"/>
              </w:rPr>
              <w:t>）监事。 蒋炜任华立仪表集团股份有限公司人力资源部副部长。</w:t>
            </w:r>
          </w:p>
          <w:p>
            <w:pPr>
              <w:pStyle w:val="TableParagraph"/>
              <w:spacing w:line="360" w:lineRule="auto" w:before="55"/>
              <w:ind w:left="26" w:right="592"/>
              <w:jc w:val="left"/>
              <w:rPr>
                <w:rFonts w:ascii="宋体" w:hAnsi="宋体" w:cs="宋体" w:eastAsia="宋体" w:hint="default"/>
                <w:sz w:val="18"/>
                <w:szCs w:val="18"/>
              </w:rPr>
            </w:pPr>
            <w:r>
              <w:rPr>
                <w:rFonts w:ascii="宋体" w:hAnsi="宋体" w:cs="宋体" w:eastAsia="宋体" w:hint="default"/>
                <w:sz w:val="18"/>
                <w:szCs w:val="18"/>
              </w:rPr>
              <w:t>李曙虹任华立仪表集团股份有限公司审计法务部部长。 李帅红任华立仪表集团股份有限公司财务负责人兼资财部部长，浙江埃斯朗华科技有限公司董事。</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97" w:lineRule="auto" w:before="109"/>
        <w:ind w:left="633" w:right="173" w:firstLine="0"/>
        <w:jc w:val="left"/>
      </w:pPr>
      <w:r>
        <w:rPr>
          <w:rFonts w:ascii="宋体" w:hAnsi="宋体" w:cs="宋体" w:eastAsia="宋体" w:hint="default"/>
        </w:rPr>
        <w:t>1</w:t>
      </w:r>
      <w:r>
        <w:rPr/>
        <w:t>、报酬的决策程序和确定依据 报告期内，根据公司七届董事会第二次会议，公司通过了《关于 </w:t>
      </w:r>
      <w:r>
        <w:rPr>
          <w:rFonts w:ascii="宋体" w:hAnsi="宋体" w:cs="宋体" w:eastAsia="宋体" w:hint="default"/>
        </w:rPr>
        <w:t>2012 </w:t>
      </w:r>
      <w:r>
        <w:rPr/>
        <w:t>年高管薪酬的议</w:t>
      </w:r>
    </w:p>
    <w:p>
      <w:pPr>
        <w:pStyle w:val="BodyText"/>
        <w:spacing w:line="300" w:lineRule="auto" w:before="17"/>
        <w:ind w:right="173" w:firstLine="0"/>
        <w:jc w:val="left"/>
      </w:pPr>
      <w:r>
        <w:rPr/>
        <w:t>案》，确定了由基本薪酬、季度绩效考核薪酬和年度绩效考核薪酬三部分组成的薪酬方案； 根据公司七届董事会第二次会议决议及公司 </w:t>
      </w:r>
      <w:r>
        <w:rPr>
          <w:rFonts w:ascii="宋体" w:hAnsi="宋体" w:cs="宋体" w:eastAsia="宋体" w:hint="default"/>
        </w:rPr>
        <w:t>2012</w:t>
      </w:r>
      <w:r>
        <w:rPr>
          <w:rFonts w:ascii="宋体" w:hAnsi="宋体" w:cs="宋体" w:eastAsia="宋体" w:hint="default"/>
          <w:spacing w:val="1"/>
        </w:rPr>
        <w:t> </w:t>
      </w:r>
      <w:r>
        <w:rPr/>
        <w:t>年第二次临时股东大会会议决议，公司通</w:t>
      </w:r>
    </w:p>
    <w:p>
      <w:pPr>
        <w:spacing w:after="0" w:line="30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2"/>
          <w:szCs w:val="22"/>
        </w:rPr>
      </w:pPr>
      <w:r>
        <w:rPr/>
        <w:pict>
          <v:shape style="position:absolute;margin-left:143.423004pt;margin-top:310.315613pt;width:91.35pt;height:22.3pt;mso-position-horizontal-relative:page;mso-position-vertical-relative:page;z-index:-8393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副总裁、</w:t>
                  </w:r>
                </w:p>
              </w:txbxContent>
            </v:textbox>
            <w10:wrap type="none"/>
          </v:shape>
        </w:pict>
      </w:r>
      <w:r>
        <w:rPr/>
        <w:pict>
          <v:group style="position:absolute;margin-left:176.539993pt;margin-top:305.089996pt;width:59.35pt;height:28.1pt;mso-position-horizontal-relative:page;mso-position-vertical-relative:page;z-index:-839296" coordorigin="3531,6102" coordsize="1187,562">
            <v:group style="position:absolute;left:3531;top:6102;width:1187;height:156" coordorigin="3531,6102" coordsize="1187,156">
              <v:shape style="position:absolute;left:3531;top:6102;width:1187;height:156" coordorigin="3531,6102" coordsize="1187,156" path="m3531,6258l4717,6258,4717,6102,3531,6102,3531,6258xe" filled="true" fillcolor="#ffffff" stroked="false">
                <v:path arrowok="t"/>
                <v:fill type="solid"/>
              </v:shape>
            </v:group>
            <v:group style="position:absolute;left:3543;top:6258;width:2;height:394" coordorigin="3543,6258" coordsize="2,394">
              <v:shape style="position:absolute;left:3543;top:6258;width:2;height:394" coordorigin="3543,6258" coordsize="0,394" path="m3543,6258l3543,6651e" filled="false" stroked="true" strokeweight="1.2pt" strokecolor="#ffffff">
                <v:path arrowok="t"/>
              </v:shape>
            </v:group>
            <v:group style="position:absolute;left:3555;top:6258;width:1141;height:394" coordorigin="3555,6258" coordsize="1141,394">
              <v:shape style="position:absolute;left:3555;top:6258;width:1141;height:394" coordorigin="3555,6258" coordsize="1141,394" path="m3555,6651l4695,6651,4695,6258,3555,6258,3555,6651xe" filled="true" fillcolor="#ffffff" stroked="false">
                <v:path arrowok="t"/>
                <v:fill type="solid"/>
              </v:shape>
            </v:group>
            <w10:wrap type="none"/>
          </v:group>
        </w:pict>
      </w:r>
    </w:p>
    <w:p>
      <w:pPr>
        <w:pStyle w:val="BodyText"/>
        <w:spacing w:line="297" w:lineRule="auto" w:before="26"/>
        <w:ind w:right="189" w:firstLine="0"/>
        <w:jc w:val="both"/>
      </w:pPr>
      <w:r>
        <w:rPr/>
        <w:t>过了《关于董事长年薪标准的议案》，确定了董事长的年薪标准。在子公司华立仪表集团股 份有限公司兼职的董、监、高人员的薪酬由公司和华立仪表集团股份有限公司按</w:t>
      </w:r>
      <w:r>
        <w:rPr>
          <w:rFonts w:ascii="宋体" w:hAnsi="宋体" w:cs="宋体" w:eastAsia="宋体" w:hint="default"/>
        </w:rPr>
        <w:t>40%</w:t>
      </w:r>
      <w:r>
        <w:rPr/>
        <w:t>：</w:t>
      </w:r>
      <w:r>
        <w:rPr>
          <w:rFonts w:ascii="宋体" w:hAnsi="宋体" w:cs="宋体" w:eastAsia="宋体" w:hint="default"/>
        </w:rPr>
        <w:t>60%</w:t>
      </w:r>
      <w:r>
        <w:rPr/>
        <w:t>分 担，由子公司华立仪表集团股份有限公司统一发放。</w:t>
      </w:r>
    </w:p>
    <w:p>
      <w:pPr>
        <w:pStyle w:val="BodyText"/>
        <w:spacing w:line="300" w:lineRule="auto" w:before="17"/>
        <w:ind w:left="633" w:right="173" w:firstLine="0"/>
        <w:jc w:val="left"/>
      </w:pPr>
      <w:r>
        <w:rPr>
          <w:rFonts w:ascii="宋体" w:hAnsi="宋体" w:cs="宋体" w:eastAsia="宋体" w:hint="default"/>
        </w:rPr>
        <w:t>2</w:t>
      </w:r>
      <w:r>
        <w:rPr/>
        <w:t>、独立董事的报酬 独立董事报酬按每月</w:t>
      </w:r>
      <w:r>
        <w:rPr>
          <w:rFonts w:ascii="宋体" w:hAnsi="宋体" w:cs="宋体" w:eastAsia="宋体" w:hint="default"/>
        </w:rPr>
        <w:t>5000</w:t>
      </w:r>
      <w:r>
        <w:rPr/>
        <w:t>元支付（税后），独立董事出席公司董事会和股东大会的差旅</w:t>
      </w:r>
    </w:p>
    <w:p>
      <w:pPr>
        <w:pStyle w:val="BodyText"/>
        <w:spacing w:line="240" w:lineRule="auto" w:before="14"/>
        <w:ind w:right="0" w:firstLine="0"/>
        <w:jc w:val="both"/>
      </w:pPr>
      <w:r>
        <w:rPr/>
        <w:t>费及按《公司章程》规定行使相关职权所需的合理费用据实报销。</w:t>
      </w:r>
    </w:p>
    <w:p>
      <w:pPr>
        <w:spacing w:before="125"/>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558,190.00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390,304.00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390,304.00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9"/>
              <w:jc w:val="left"/>
              <w:rPr>
                <w:rFonts w:ascii="宋体" w:hAnsi="宋体" w:cs="宋体" w:eastAsia="宋体" w:hint="default"/>
                <w:sz w:val="18"/>
                <w:szCs w:val="18"/>
              </w:rPr>
            </w:pPr>
            <w:r>
              <w:rPr>
                <w:rFonts w:ascii="宋体" w:hAnsi="宋体" w:cs="宋体" w:eastAsia="宋体" w:hint="default"/>
                <w:sz w:val="18"/>
                <w:szCs w:val="18"/>
              </w:rPr>
              <w:t>董事、 董秘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118,220.00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118,220.00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71,428.56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71,428.56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71,428.56</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2"/>
                <w:sz w:val="18"/>
                <w:szCs w:val="18"/>
              </w:rPr>
              <w:t> </w:t>
            </w:r>
            <w:r>
              <w:rPr>
                <w:rFonts w:ascii="宋体" w:hAnsi="宋体" w:cs="宋体" w:eastAsia="宋体" w:hint="default"/>
                <w:sz w:val="18"/>
                <w:szCs w:val="18"/>
              </w:rPr>
              <w:t>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 </w:t>
            </w:r>
            <w:r>
              <w:rPr>
                <w:rFonts w:ascii="宋体" w:hAnsi="宋体" w:cs="宋体" w:eastAsia="宋体" w:hint="default"/>
                <w:spacing w:val="2"/>
                <w:sz w:val="18"/>
                <w:szCs w:val="18"/>
              </w:rPr>
              <w:t> </w:t>
            </w:r>
            <w:r>
              <w:rPr>
                <w:rFonts w:ascii="宋体" w:hAnsi="宋体" w:cs="宋体" w:eastAsia="宋体" w:hint="default"/>
                <w:sz w:val="18"/>
                <w:szCs w:val="18"/>
              </w:rPr>
              <w:t>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118,722.50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160,095.00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170,245.75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170,245.75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201,804.80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201,804.80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杜学东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胡子云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139,817.80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139,817.80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鲁春燕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118,057.50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118,057.50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贺红云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2,189,743.03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3,465,743.03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before="0"/>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六届董事会任期届满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杜学东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六届监事会任期届满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胡子云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六届监事会任期届满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鲁春燕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六届监事会任期届满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贺红云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报告期内，公司核心技术团队或关键技术人员未发生变动。</w:t>
      </w:r>
    </w:p>
    <w:p>
      <w:pPr>
        <w:spacing w:line="240" w:lineRule="auto" w:before="3"/>
        <w:rPr>
          <w:rFonts w:ascii="宋体" w:hAnsi="宋体" w:cs="宋体" w:eastAsia="宋体" w:hint="default"/>
          <w:sz w:val="25"/>
          <w:szCs w:val="25"/>
        </w:rPr>
      </w:pPr>
    </w:p>
    <w:p>
      <w:pPr>
        <w:pStyle w:val="Heading3"/>
        <w:spacing w:line="240" w:lineRule="auto" w:before="0"/>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4013"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日，公司（含控股子公司）共有在职员工</w:t>
      </w:r>
      <w:r>
        <w:rPr>
          <w:rFonts w:ascii="Times New Roman" w:hAnsi="Times New Roman" w:cs="Times New Roman" w:eastAsia="Times New Roman" w:hint="default"/>
          <w:sz w:val="18"/>
          <w:szCs w:val="18"/>
        </w:rPr>
        <w:t>1406</w:t>
      </w:r>
      <w:r>
        <w:rPr>
          <w:rFonts w:ascii="宋体" w:hAnsi="宋体" w:cs="宋体" w:eastAsia="宋体" w:hint="default"/>
          <w:sz w:val="18"/>
          <w:szCs w:val="18"/>
        </w:rPr>
        <w:t>人。 具体情况如下：</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、专业构成：</w:t>
      </w:r>
    </w:p>
    <w:p>
      <w:pPr>
        <w:spacing w:line="240" w:lineRule="auto" w:before="7"/>
        <w:rPr>
          <w:rFonts w:ascii="宋体" w:hAnsi="宋体" w:cs="宋体" w:eastAsia="宋体" w:hint="default"/>
          <w:sz w:val="9"/>
          <w:szCs w:val="9"/>
        </w:rPr>
      </w:pPr>
    </w:p>
    <w:p>
      <w:pPr>
        <w:spacing w:line="5160" w:lineRule="exact"/>
        <w:ind w:left="153"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5276215" cy="3276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5276215" cy="3276600"/>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、教育程度：</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9"/>
        <w:rPr>
          <w:rFonts w:ascii="宋体" w:hAnsi="宋体" w:cs="宋体" w:eastAsia="宋体" w:hint="default"/>
          <w:sz w:val="27"/>
          <w:szCs w:val="27"/>
        </w:rPr>
      </w:pPr>
    </w:p>
    <w:p>
      <w:pPr>
        <w:spacing w:line="5535" w:lineRule="exact"/>
        <w:ind w:left="153"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5277168" cy="35147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5277168" cy="3514725"/>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3"/>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、薪酬政策：</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）公司根据职能、层级确定不同的薪酬形式，主要包括年薪制、岗位工资制、计件制和销售提成制等；</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）每年施行集体调薪，调整幅度在</w:t>
      </w:r>
      <w:r>
        <w:rPr>
          <w:rFonts w:ascii="Times New Roman" w:hAnsi="Times New Roman" w:cs="Times New Roman" w:eastAsia="Times New Roman" w:hint="default"/>
          <w:sz w:val="18"/>
          <w:szCs w:val="18"/>
        </w:rPr>
        <w:t>6%</w:t>
      </w:r>
      <w:r>
        <w:rPr>
          <w:rFonts w:ascii="宋体" w:hAnsi="宋体" w:cs="宋体" w:eastAsia="宋体" w:hint="default"/>
          <w:sz w:val="18"/>
          <w:szCs w:val="18"/>
        </w:rPr>
        <w:t>以上，人员覆盖范围超过</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p>
      <w:pPr>
        <w:spacing w:line="300" w:lineRule="auto" w:before="63"/>
        <w:ind w:left="152"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）公司严格按照国家和地方法律法规以及公司制度为员工缴纳社会保险和住房公积金，并为员工提供就餐补贴、高温补 贴、体检等相关福利。</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、培训计划：</w:t>
      </w:r>
    </w:p>
    <w:p>
      <w:pPr>
        <w:spacing w:line="300" w:lineRule="auto" w:before="63"/>
        <w:ind w:left="152" w:right="14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年人力部完成公司级培训项目</w:t>
      </w:r>
      <w:r>
        <w:rPr>
          <w:rFonts w:ascii="Times New Roman" w:hAnsi="Times New Roman" w:cs="Times New Roman" w:eastAsia="Times New Roman" w:hint="default"/>
          <w:sz w:val="18"/>
          <w:szCs w:val="18"/>
        </w:rPr>
        <w:t>30</w:t>
      </w:r>
      <w:r>
        <w:rPr>
          <w:rFonts w:ascii="宋体" w:hAnsi="宋体" w:cs="宋体" w:eastAsia="宋体" w:hint="default"/>
          <w:sz w:val="18"/>
          <w:szCs w:val="18"/>
        </w:rPr>
        <w:t>项，子项目</w:t>
      </w:r>
      <w:r>
        <w:rPr>
          <w:rFonts w:ascii="Times New Roman" w:hAnsi="Times New Roman" w:cs="Times New Roman" w:eastAsia="Times New Roman" w:hint="default"/>
          <w:sz w:val="18"/>
          <w:szCs w:val="18"/>
        </w:rPr>
        <w:t>236</w:t>
      </w:r>
      <w:r>
        <w:rPr>
          <w:rFonts w:ascii="宋体" w:hAnsi="宋体" w:cs="宋体" w:eastAsia="宋体" w:hint="default"/>
          <w:sz w:val="18"/>
          <w:szCs w:val="18"/>
        </w:rPr>
        <w:t>项，其中内训项目</w:t>
      </w:r>
      <w:r>
        <w:rPr>
          <w:rFonts w:ascii="Times New Roman" w:hAnsi="Times New Roman" w:cs="Times New Roman" w:eastAsia="Times New Roman" w:hint="default"/>
          <w:sz w:val="18"/>
          <w:szCs w:val="18"/>
        </w:rPr>
        <w:t>123</w:t>
      </w:r>
      <w:r>
        <w:rPr>
          <w:rFonts w:ascii="宋体" w:hAnsi="宋体" w:cs="宋体" w:eastAsia="宋体" w:hint="default"/>
          <w:sz w:val="18"/>
          <w:szCs w:val="18"/>
        </w:rPr>
        <w:t>项，外训</w:t>
      </w:r>
      <w:r>
        <w:rPr>
          <w:rFonts w:ascii="Times New Roman" w:hAnsi="Times New Roman" w:cs="Times New Roman" w:eastAsia="Times New Roman" w:hint="default"/>
          <w:sz w:val="18"/>
          <w:szCs w:val="18"/>
        </w:rPr>
        <w:t>113</w:t>
      </w:r>
      <w:r>
        <w:rPr>
          <w:rFonts w:ascii="宋体" w:hAnsi="宋体" w:cs="宋体" w:eastAsia="宋体" w:hint="default"/>
          <w:sz w:val="18"/>
          <w:szCs w:val="18"/>
        </w:rPr>
        <w:t>项，共计</w:t>
      </w:r>
      <w:r>
        <w:rPr>
          <w:rFonts w:ascii="Times New Roman" w:hAnsi="Times New Roman" w:cs="Times New Roman" w:eastAsia="Times New Roman" w:hint="default"/>
          <w:sz w:val="18"/>
          <w:szCs w:val="18"/>
        </w:rPr>
        <w:t>5744</w:t>
      </w:r>
      <w:r>
        <w:rPr>
          <w:rFonts w:ascii="宋体" w:hAnsi="宋体" w:cs="宋体" w:eastAsia="宋体" w:hint="default"/>
          <w:sz w:val="18"/>
          <w:szCs w:val="18"/>
        </w:rPr>
        <w:t>人次参加，培训计 划实施率为</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240" w:lineRule="auto" w:before="11"/>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、需公司承担费用的离退休职工人数：无。</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666"/>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222"/>
        <w:jc w:val="left"/>
        <w:rPr>
          <w:b w:val="0"/>
          <w:bCs w:val="0"/>
        </w:rPr>
      </w:pPr>
      <w:r>
        <w:rPr/>
        <w:t>一、公司治理的基本状况</w:t>
      </w:r>
      <w:r>
        <w:rPr>
          <w:b w:val="0"/>
          <w:bCs w:val="0"/>
        </w:rPr>
      </w:r>
    </w:p>
    <w:p>
      <w:pPr>
        <w:spacing w:line="240" w:lineRule="auto" w:before="12"/>
        <w:rPr>
          <w:rFonts w:ascii="宋体" w:hAnsi="宋体" w:cs="宋体" w:eastAsia="宋体" w:hint="default"/>
          <w:b/>
          <w:bCs/>
          <w:sz w:val="25"/>
          <w:szCs w:val="25"/>
        </w:rPr>
      </w:pPr>
    </w:p>
    <w:p>
      <w:pPr>
        <w:pStyle w:val="BodyText"/>
        <w:spacing w:line="297" w:lineRule="auto" w:before="0"/>
        <w:ind w:right="96"/>
        <w:jc w:val="left"/>
      </w:pPr>
      <w:r>
        <w:rPr/>
        <w:t>报告期内，公司严格按照《公司法》、《证券法》、《上市公司治理准则》、《深圳证 </w:t>
      </w:r>
      <w:r>
        <w:rPr>
          <w:spacing w:val="-2"/>
        </w:rPr>
        <w:t>券交易所股票上市规则》等法律法规及相关规范性文件的要求，不断完善公司法人治理结构，</w:t>
      </w:r>
      <w:r>
        <w:rPr/>
        <w:t> </w:t>
      </w:r>
      <w:r>
        <w:rPr>
          <w:spacing w:val="-2"/>
        </w:rPr>
        <w:t>建立健全内部管理和控制制度，持续深入开展公司治理活动，提高公司规范运作水平。同时，</w:t>
      </w:r>
      <w:r>
        <w:rPr/>
        <w:t> 根据《企业内部控制基本规范》、《企业内部控制配套指引》、《关于</w:t>
      </w:r>
      <w:r>
        <w:rPr>
          <w:rFonts w:ascii="宋体" w:hAnsi="宋体" w:cs="宋体" w:eastAsia="宋体" w:hint="default"/>
        </w:rPr>
        <w:t>2012</w:t>
      </w:r>
      <w:r>
        <w:rPr/>
        <w:t>年主板上市公司 分类分批实施企业内部控制规范体系的通知》、深交所《关于做好上市公司</w:t>
      </w:r>
      <w:r>
        <w:rPr>
          <w:rFonts w:ascii="宋体" w:hAnsi="宋体" w:cs="宋体" w:eastAsia="宋体" w:hint="default"/>
        </w:rPr>
        <w:t>2012</w:t>
      </w:r>
      <w:r>
        <w:rPr/>
        <w:t>年年度报告 披露工作的通知》等要求，公司积极开展内控体系建设，成立内控小组，建立健全公司内部 控制规范体系并有效实施。公司认为：报告期内，公司治理的实际状况基本符合中国证监会 发布的有关上市公司治理的规范性文件要求。</w:t>
      </w:r>
    </w:p>
    <w:p>
      <w:pPr>
        <w:spacing w:before="68"/>
        <w:ind w:left="152" w:right="222"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before="39"/>
        <w:ind w:left="152" w:right="222"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pStyle w:val="BodyText"/>
        <w:spacing w:line="297" w:lineRule="auto" w:before="110"/>
        <w:ind w:right="271"/>
        <w:jc w:val="both"/>
      </w:pPr>
      <w:r>
        <w:rPr/>
        <w:t>报告期内，公司严格遵守《内幕信息知情人登记备案制度》、《外部信息报送和使用管 理制度》、《会计师事务所选聘制度》等制度。并在此次年报的制作披露过程中严格执行。 公司认为：报告期内，公司治理的实际状况基本符合中国证监会发布的有关上市公司治理的 规范性文件要求。</w:t>
      </w:r>
    </w:p>
    <w:p>
      <w:pPr>
        <w:pStyle w:val="BodyText"/>
        <w:spacing w:line="297" w:lineRule="auto" w:before="17"/>
        <w:ind w:right="230"/>
        <w:jc w:val="both"/>
      </w:pPr>
      <w:r>
        <w:rPr>
          <w:rFonts w:ascii="宋体" w:hAnsi="宋体" w:cs="宋体" w:eastAsia="宋体" w:hint="default"/>
          <w:spacing w:val="-3"/>
        </w:rPr>
        <w:t>1</w:t>
      </w:r>
      <w:r>
        <w:rPr>
          <w:spacing w:val="-3"/>
        </w:rPr>
        <w:t>、股东与股东大会：公司按照《公司章程》、《公司股东大会议事规则》和《上市公司</w:t>
      </w:r>
      <w:r>
        <w:rPr/>
        <w:t> 股东大会规范意见》的规定，召集、召开股东大会，平等对待所有股东，保障股东的权利。 公司的关联交易公平合理，没有损害股东的利益。</w:t>
      </w:r>
    </w:p>
    <w:p>
      <w:pPr>
        <w:pStyle w:val="BodyText"/>
        <w:spacing w:line="297" w:lineRule="auto"/>
        <w:ind w:right="96"/>
        <w:jc w:val="left"/>
      </w:pPr>
      <w:r>
        <w:rPr>
          <w:rFonts w:ascii="宋体" w:hAnsi="宋体" w:cs="宋体" w:eastAsia="宋体" w:hint="default"/>
          <w:spacing w:val="-6"/>
        </w:rPr>
        <w:t>2</w:t>
      </w:r>
      <w:r>
        <w:rPr>
          <w:spacing w:val="-6"/>
        </w:rPr>
        <w:t>、控股股东与公司：公司独立开展生产经营活动，具有独立完整的业务及自主经营能力。</w:t>
      </w:r>
      <w:r>
        <w:rPr/>
        <w:t> 在人员、资产、财务、业务、机构等方面与控股股东做到了“五分开”，独立核算，独立承 担责任和风险。公司董事会、监事会、经理层及其它内部机构独立运作。控股股东能依法行 使出资人权利，无干预上市公司决策和生产经营的行为。</w:t>
      </w:r>
    </w:p>
    <w:p>
      <w:pPr>
        <w:pStyle w:val="BodyText"/>
        <w:spacing w:line="297" w:lineRule="auto"/>
        <w:ind w:right="235"/>
        <w:jc w:val="both"/>
      </w:pPr>
      <w:r>
        <w:rPr>
          <w:rFonts w:ascii="宋体" w:hAnsi="宋体" w:cs="宋体" w:eastAsia="宋体" w:hint="default"/>
          <w:spacing w:val="-3"/>
        </w:rPr>
        <w:t>3</w:t>
      </w:r>
      <w:r>
        <w:rPr>
          <w:spacing w:val="-3"/>
        </w:rPr>
        <w:t>、董事与董事会：公司董事候选人的提名和选举程序符合《公司章程》和《公司董事会</w:t>
      </w:r>
      <w:r>
        <w:rPr/>
        <w:t> 议事规则》的规定。董事会的人数及人员构成符合法律、法规的要求。董事会运作规范，权 责明确，董事诚信、勤勉地履行了职责。</w:t>
      </w:r>
    </w:p>
    <w:p>
      <w:pPr>
        <w:pStyle w:val="BodyText"/>
        <w:spacing w:line="240" w:lineRule="auto" w:before="17"/>
        <w:ind w:left="633" w:right="222" w:firstLine="0"/>
        <w:jc w:val="left"/>
      </w:pPr>
      <w:r>
        <w:rPr>
          <w:rFonts w:ascii="宋体" w:hAnsi="宋体" w:cs="宋体" w:eastAsia="宋体" w:hint="default"/>
          <w:spacing w:val="-3"/>
        </w:rPr>
        <w:t>4</w:t>
      </w:r>
      <w:r>
        <w:rPr>
          <w:spacing w:val="-3"/>
        </w:rPr>
        <w:t>、监事与监事会：公司监事会人数及人员构成符合相关法律法规的要求。公司监事根据</w:t>
      </w:r>
    </w:p>
    <w:p>
      <w:pPr>
        <w:pStyle w:val="BodyText"/>
        <w:spacing w:line="297" w:lineRule="auto" w:before="77"/>
        <w:ind w:left="633" w:right="222" w:hanging="481"/>
        <w:jc w:val="left"/>
      </w:pPr>
      <w:r>
        <w:rPr/>
        <w:t>《公司章程》、《监事会议事规则》，认真履行职责，独立行使了监督、检查职能。 </w:t>
      </w:r>
      <w:r>
        <w:rPr>
          <w:rFonts w:ascii="宋体" w:hAnsi="宋体" w:cs="宋体" w:eastAsia="宋体" w:hint="default"/>
          <w:spacing w:val="-3"/>
        </w:rPr>
        <w:t>5</w:t>
      </w:r>
      <w:r>
        <w:rPr>
          <w:spacing w:val="-3"/>
        </w:rPr>
        <w:t>、利益相关者：公司尊重和维护银行及其他债权人、员工、客户、社区等利益相关者的</w:t>
      </w:r>
    </w:p>
    <w:p>
      <w:pPr>
        <w:pStyle w:val="BodyText"/>
        <w:spacing w:line="240" w:lineRule="auto" w:before="20"/>
        <w:ind w:right="222" w:firstLine="0"/>
        <w:jc w:val="left"/>
      </w:pPr>
      <w:r>
        <w:rPr/>
        <w:t>合法权益。</w:t>
      </w:r>
    </w:p>
    <w:p>
      <w:pPr>
        <w:spacing w:after="0" w:line="240" w:lineRule="auto"/>
        <w:jc w:val="left"/>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97" w:lineRule="auto" w:before="26"/>
        <w:ind w:right="0"/>
        <w:jc w:val="left"/>
      </w:pPr>
      <w:r>
        <w:rPr>
          <w:rFonts w:ascii="宋体" w:hAnsi="宋体" w:cs="宋体" w:eastAsia="宋体" w:hint="default"/>
          <w:spacing w:val="-3"/>
        </w:rPr>
        <w:t>6</w:t>
      </w:r>
      <w:r>
        <w:rPr>
          <w:spacing w:val="-3"/>
        </w:rPr>
        <w:t>、信息披露与透明度：公司按法律法规真实、准确、完整、及时地披露有关信息，接待</w:t>
      </w:r>
      <w:r>
        <w:rPr/>
        <w:t> 股东来访和咨询，做好投资者关系管理，使股东和社会公众有平等的机会获得信息。</w:t>
      </w:r>
    </w:p>
    <w:p>
      <w:pPr>
        <w:spacing w:line="240" w:lineRule="auto" w:before="6"/>
        <w:rPr>
          <w:rFonts w:ascii="宋体" w:hAnsi="宋体" w:cs="宋体" w:eastAsia="宋体" w:hint="default"/>
          <w:sz w:val="21"/>
          <w:szCs w:val="21"/>
        </w:rPr>
      </w:pPr>
    </w:p>
    <w:p>
      <w:pPr>
        <w:pStyle w:val="Heading3"/>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5103"/>
        <w:gridCol w:w="852"/>
        <w:gridCol w:w="850"/>
        <w:gridCol w:w="919"/>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3"/>
              <w:ind w:left="24"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 度股东大 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年度董事会工作报告；</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年度监事会工作报告；</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宋体" w:hAnsi="宋体" w:cs="宋体" w:eastAsia="宋体" w:hint="default"/>
                <w:spacing w:val="-3"/>
                <w:sz w:val="18"/>
                <w:szCs w:val="18"/>
              </w:rPr>
              <w:t>年度报告及年度报告摘要；</w:t>
            </w:r>
            <w:r>
              <w:rPr>
                <w:rFonts w:ascii="Times New Roman" w:hAnsi="Times New Roman" w:cs="Times New Roman" w:eastAsia="Times New Roman" w:hint="default"/>
                <w:spacing w:val="-3"/>
                <w:sz w:val="18"/>
                <w:szCs w:val="18"/>
              </w:rPr>
              <w:t>2011 </w:t>
            </w:r>
            <w:r>
              <w:rPr>
                <w:rFonts w:ascii="宋体" w:hAnsi="宋体" w:cs="宋体" w:eastAsia="宋体" w:hint="default"/>
                <w:spacing w:val="-4"/>
                <w:sz w:val="18"/>
                <w:szCs w:val="18"/>
              </w:rPr>
              <w:t>年度财务决算报告；</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年度利 润分配预案；关于选举贺红云先生为公司监事的议案；关于聘请 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年度审计机构的议案；关于计提减值准备的议案；公司</w:t>
            </w:r>
            <w:r>
              <w:rPr>
                <w:rFonts w:ascii="宋体" w:hAnsi="宋体" w:cs="宋体" w:eastAsia="宋体" w:hint="default"/>
                <w:sz w:val="18"/>
                <w:szCs w:val="18"/>
              </w:rPr>
              <w:t> 为控股子公司提供担保额度的议案；华立仪表为华立集团股份有 限公司及其子公司提供担保额度的议案；关于关联担保借款收取 担保费的议案；关于授权公司向华立集团股份有限公司融资的议 案；关于公司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年度日常关联交易预估金额的议案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均通过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5103"/>
        <w:gridCol w:w="852"/>
        <w:gridCol w:w="850"/>
        <w:gridCol w:w="919"/>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关于转让子公司重庆美联制药有限公司股权及债权的议案；董事 会换届选举议案；监事会换届选举议案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均通过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关于华立仪表收购华立科技</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股权的议案；关于修改公司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 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的议案；关于董事长年薪标准为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万元的议案；关于华立 仪表为子公司厚达公司担保的议案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均通过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2012-045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pacing w:val="-1"/>
                <w:sz w:val="18"/>
                <w:szCs w:val="18"/>
              </w:rPr>
              <w:t>关于修改公司</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章程</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的议案；关于选举胡剑先生为公司监事的议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均通过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2012-057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947"/>
        <w:gridCol w:w="6623"/>
      </w:tblGrid>
      <w:tr>
        <w:trPr>
          <w:trHeight w:val="404" w:hRule="exact"/>
        </w:trPr>
        <w:tc>
          <w:tcPr>
            <w:tcW w:w="2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位独立董事均不存在连续两次未亲自出席董事会的情形。</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300" w:lineRule="auto" w:before="31"/>
        <w:ind w:right="174"/>
        <w:jc w:val="left"/>
      </w:pPr>
      <w:r>
        <w:rPr/>
        <w:t>报告期内，公司独立董事辛金国、甘为民、张鹏依照有关规定，客观、真实地对以下事 项向董事会、证券监管部门或全体股东发表独立意见：</w:t>
      </w:r>
    </w:p>
    <w:p>
      <w:pPr>
        <w:pStyle w:val="BodyText"/>
        <w:spacing w:line="300" w:lineRule="auto" w:before="14"/>
        <w:ind w:right="174"/>
        <w:jc w:val="left"/>
      </w:pPr>
      <w:r>
        <w:rPr>
          <w:rFonts w:ascii="宋体" w:hAnsi="宋体" w:cs="宋体" w:eastAsia="宋体" w:hint="default"/>
        </w:rPr>
        <w:t>1</w:t>
      </w:r>
      <w:r>
        <w:rPr/>
        <w:t>、《公司</w:t>
      </w:r>
      <w:r>
        <w:rPr>
          <w:rFonts w:ascii="宋体" w:hAnsi="宋体" w:cs="宋体" w:eastAsia="宋体" w:hint="default"/>
        </w:rPr>
        <w:t>2011</w:t>
      </w:r>
      <w:r>
        <w:rPr/>
        <w:t>年度对外担保情况、控股股东及其他关联方占用资金情况》；（</w:t>
      </w:r>
      <w:r>
        <w:rPr>
          <w:rFonts w:ascii="宋体" w:hAnsi="宋体" w:cs="宋体" w:eastAsia="宋体" w:hint="default"/>
        </w:rPr>
        <w:t>2012</w:t>
      </w:r>
      <w:r>
        <w:rPr/>
        <w:t>年</w:t>
      </w:r>
      <w:r>
        <w:rPr>
          <w:rFonts w:ascii="宋体" w:hAnsi="宋体" w:cs="宋体" w:eastAsia="宋体" w:hint="default"/>
        </w:rPr>
        <w:t>2 </w:t>
      </w:r>
      <w:r>
        <w:rPr/>
        <w:t>月</w:t>
      </w:r>
      <w:r>
        <w:rPr>
          <w:rFonts w:ascii="宋体" w:hAnsi="宋体" w:cs="宋体" w:eastAsia="宋体" w:hint="default"/>
        </w:rPr>
        <w:t>19</w:t>
      </w:r>
      <w:r>
        <w:rPr/>
        <w:t>日）</w:t>
      </w:r>
    </w:p>
    <w:p>
      <w:pPr>
        <w:pStyle w:val="BodyText"/>
        <w:spacing w:line="240" w:lineRule="auto" w:before="15"/>
        <w:ind w:left="633" w:right="0" w:firstLine="0"/>
        <w:jc w:val="left"/>
      </w:pPr>
      <w:r>
        <w:rPr>
          <w:rFonts w:ascii="宋体" w:hAnsi="宋体" w:cs="宋体" w:eastAsia="宋体" w:hint="default"/>
        </w:rPr>
        <w:t>2</w:t>
      </w:r>
      <w:r>
        <w:rPr/>
        <w:t>、《公司</w:t>
      </w:r>
      <w:r>
        <w:rPr>
          <w:rFonts w:ascii="宋体" w:hAnsi="宋体" w:cs="宋体" w:eastAsia="宋体" w:hint="default"/>
        </w:rPr>
        <w:t>2011</w:t>
      </w:r>
      <w:r>
        <w:rPr/>
        <w:t>年度内部控制自我评价报告》；（</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297" w:lineRule="auto" w:before="77"/>
        <w:ind w:right="294"/>
        <w:jc w:val="left"/>
      </w:pPr>
      <w:r>
        <w:rPr>
          <w:rFonts w:ascii="宋体" w:hAnsi="宋体" w:cs="宋体" w:eastAsia="宋体" w:hint="default"/>
        </w:rPr>
        <w:t>3</w:t>
      </w:r>
      <w:r>
        <w:rPr/>
        <w:t>、《公司子公司为华立集团股份有限公司及其子公司提供担保额度的议案》；（</w:t>
      </w:r>
      <w:r>
        <w:rPr>
          <w:rFonts w:ascii="宋体" w:hAnsi="宋体" w:cs="宋体" w:eastAsia="宋体" w:hint="default"/>
        </w:rPr>
        <w:t>2012 </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240" w:lineRule="auto"/>
        <w:ind w:left="633" w:right="0" w:firstLine="0"/>
        <w:jc w:val="left"/>
      </w:pPr>
      <w:r>
        <w:rPr>
          <w:rFonts w:ascii="宋体" w:hAnsi="宋体" w:cs="宋体" w:eastAsia="宋体" w:hint="default"/>
        </w:rPr>
        <w:t>4</w:t>
      </w:r>
      <w:r>
        <w:rPr/>
        <w:t>、《关于关联担保借款收取担保费的议案》；（</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240" w:lineRule="auto" w:before="74"/>
        <w:ind w:left="633" w:right="0" w:firstLine="0"/>
        <w:jc w:val="left"/>
      </w:pPr>
      <w:r>
        <w:rPr>
          <w:rFonts w:ascii="宋体" w:hAnsi="宋体" w:cs="宋体" w:eastAsia="宋体" w:hint="default"/>
        </w:rPr>
        <w:t>5</w:t>
      </w:r>
      <w:r>
        <w:rPr/>
        <w:t>、《关于授权公司向华立集团股份有限公司融资的议案》；（</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240" w:lineRule="auto" w:before="77"/>
        <w:ind w:left="633" w:right="0" w:firstLine="0"/>
        <w:jc w:val="left"/>
      </w:pPr>
      <w:r>
        <w:rPr>
          <w:rFonts w:ascii="宋体" w:hAnsi="宋体" w:cs="宋体" w:eastAsia="宋体" w:hint="default"/>
        </w:rPr>
        <w:t>6</w:t>
      </w:r>
      <w:r>
        <w:rPr/>
        <w:t>、《公司</w:t>
      </w:r>
      <w:r>
        <w:rPr>
          <w:rFonts w:ascii="宋体" w:hAnsi="宋体" w:cs="宋体" w:eastAsia="宋体" w:hint="default"/>
        </w:rPr>
        <w:t>2012</w:t>
      </w:r>
      <w:r>
        <w:rPr/>
        <w:t>年度日常关联交易预估金额的议案》；（</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300" w:lineRule="auto" w:before="74"/>
        <w:ind w:right="138"/>
        <w:jc w:val="left"/>
      </w:pPr>
      <w:r>
        <w:rPr>
          <w:rFonts w:ascii="宋体" w:hAnsi="宋体" w:cs="宋体" w:eastAsia="宋体" w:hint="default"/>
          <w:spacing w:val="-10"/>
        </w:rPr>
        <w:t>7</w:t>
      </w:r>
      <w:r>
        <w:rPr>
          <w:spacing w:val="-10"/>
        </w:rPr>
        <w:t>、《审计机构从事 </w:t>
      </w:r>
      <w:r>
        <w:rPr>
          <w:rFonts w:ascii="宋体" w:hAnsi="宋体" w:cs="宋体" w:eastAsia="宋体" w:hint="default"/>
        </w:rPr>
        <w:t>2011 </w:t>
      </w:r>
      <w:r>
        <w:rPr/>
        <w:t>年度公司审计工作总结报告及聘请公司 </w:t>
      </w:r>
      <w:r>
        <w:rPr>
          <w:rFonts w:ascii="宋体" w:hAnsi="宋体" w:cs="宋体" w:eastAsia="宋体" w:hint="default"/>
        </w:rPr>
        <w:t>2012</w:t>
      </w:r>
      <w:r>
        <w:rPr>
          <w:rFonts w:ascii="宋体" w:hAnsi="宋体" w:cs="宋体" w:eastAsia="宋体" w:hint="default"/>
          <w:spacing w:val="16"/>
        </w:rPr>
        <w:t> </w:t>
      </w:r>
      <w:r>
        <w:rPr/>
        <w:t>年度审计机构的 意见》；（</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pStyle w:val="BodyText"/>
        <w:spacing w:line="240" w:lineRule="auto" w:before="14"/>
        <w:ind w:left="633" w:right="0" w:firstLine="0"/>
        <w:jc w:val="left"/>
      </w:pPr>
      <w:r>
        <w:rPr>
          <w:rFonts w:ascii="宋体" w:hAnsi="宋体" w:cs="宋体" w:eastAsia="宋体" w:hint="default"/>
        </w:rPr>
        <w:t>8</w:t>
      </w:r>
      <w:r>
        <w:rPr/>
        <w:t>、《关于转让子公司重庆美联股权及债权的独立意见》；（</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8</w:t>
      </w:r>
      <w:r>
        <w:rPr/>
        <w:t>日）</w:t>
      </w:r>
    </w:p>
    <w:p>
      <w:pPr>
        <w:pStyle w:val="BodyText"/>
        <w:spacing w:line="240" w:lineRule="auto" w:before="77"/>
        <w:ind w:left="633" w:right="0" w:firstLine="0"/>
        <w:jc w:val="left"/>
      </w:pPr>
      <w:r>
        <w:rPr>
          <w:rFonts w:ascii="宋体" w:hAnsi="宋体" w:cs="宋体" w:eastAsia="宋体" w:hint="default"/>
        </w:rPr>
        <w:t>9</w:t>
      </w:r>
      <w:r>
        <w:rPr/>
        <w:t>、《关于董事会换届议案的独立意见》；（</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29</w:t>
      </w:r>
      <w:r>
        <w:rPr/>
        <w:t>日）</w:t>
      </w:r>
    </w:p>
    <w:p>
      <w:pPr>
        <w:pStyle w:val="BodyText"/>
        <w:spacing w:line="240" w:lineRule="auto" w:before="74"/>
        <w:ind w:left="633" w:right="0" w:firstLine="0"/>
        <w:jc w:val="left"/>
      </w:pPr>
      <w:r>
        <w:rPr>
          <w:rFonts w:ascii="宋体" w:hAnsi="宋体" w:cs="宋体" w:eastAsia="宋体" w:hint="default"/>
        </w:rPr>
        <w:t>10</w:t>
      </w:r>
      <w:r>
        <w:rPr/>
        <w:t>、《关于华立仪表受让华立科技</w:t>
      </w:r>
      <w:r>
        <w:rPr>
          <w:rFonts w:ascii="宋体" w:hAnsi="宋体" w:cs="宋体" w:eastAsia="宋体" w:hint="default"/>
        </w:rPr>
        <w:t>100%</w:t>
      </w:r>
      <w:r>
        <w:rPr/>
        <w:t>股权的独立意见》；（</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w:t>
      </w:r>
    </w:p>
    <w:p>
      <w:pPr>
        <w:pStyle w:val="BodyText"/>
        <w:spacing w:line="240" w:lineRule="auto" w:before="77"/>
        <w:ind w:left="633" w:right="0" w:firstLine="0"/>
        <w:jc w:val="left"/>
      </w:pPr>
      <w:r>
        <w:rPr>
          <w:rFonts w:ascii="宋体" w:hAnsi="宋体" w:cs="宋体" w:eastAsia="宋体" w:hint="default"/>
        </w:rPr>
        <w:t>11</w:t>
      </w:r>
      <w:r>
        <w:rPr/>
        <w:t>、《关于聘任董事会秘书的独立意见》；（</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w:t>
      </w:r>
    </w:p>
    <w:p>
      <w:pPr>
        <w:pStyle w:val="BodyText"/>
        <w:spacing w:line="240" w:lineRule="auto" w:before="74"/>
        <w:ind w:left="633" w:right="0" w:firstLine="0"/>
        <w:jc w:val="left"/>
      </w:pPr>
      <w:r>
        <w:rPr>
          <w:rFonts w:ascii="宋体" w:hAnsi="宋体" w:cs="宋体" w:eastAsia="宋体" w:hint="default"/>
        </w:rPr>
        <w:t>12</w:t>
      </w:r>
      <w:r>
        <w:rPr/>
        <w:t>、《关于</w:t>
      </w:r>
      <w:r>
        <w:rPr>
          <w:rFonts w:ascii="宋体" w:hAnsi="宋体" w:cs="宋体" w:eastAsia="宋体" w:hint="default"/>
        </w:rPr>
        <w:t>2012</w:t>
      </w:r>
      <w:r>
        <w:rPr/>
        <w:t>年高管薪酬的独立意见》；（</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w:t>
      </w:r>
    </w:p>
    <w:p>
      <w:pPr>
        <w:pStyle w:val="BodyText"/>
        <w:spacing w:line="240" w:lineRule="auto" w:before="77"/>
        <w:ind w:left="633" w:right="0" w:firstLine="0"/>
        <w:jc w:val="left"/>
      </w:pPr>
      <w:r>
        <w:rPr>
          <w:rFonts w:ascii="宋体" w:hAnsi="宋体" w:cs="宋体" w:eastAsia="宋体" w:hint="default"/>
        </w:rPr>
        <w:t>13</w:t>
      </w:r>
      <w:r>
        <w:rPr/>
        <w:t>、《关于</w:t>
      </w:r>
      <w:r>
        <w:rPr>
          <w:rFonts w:ascii="宋体" w:hAnsi="宋体" w:cs="宋体" w:eastAsia="宋体" w:hint="default"/>
        </w:rPr>
        <w:t>2012</w:t>
      </w:r>
      <w:r>
        <w:rPr/>
        <w:t>年半年报的独立意见》。（</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29</w:t>
      </w:r>
      <w:r>
        <w:rPr/>
        <w:t>日）</w:t>
      </w:r>
    </w:p>
    <w:p>
      <w:pPr>
        <w:spacing w:line="240" w:lineRule="auto" w:before="0"/>
        <w:rPr>
          <w:rFonts w:ascii="宋体" w:hAnsi="宋体" w:cs="宋体" w:eastAsia="宋体" w:hint="default"/>
          <w:sz w:val="24"/>
          <w:szCs w:val="24"/>
        </w:rPr>
      </w:pPr>
    </w:p>
    <w:p>
      <w:pPr>
        <w:spacing w:line="717" w:lineRule="auto" w:before="162"/>
        <w:ind w:left="152" w:right="4554" w:firstLine="0"/>
        <w:jc w:val="left"/>
        <w:rPr>
          <w:rFonts w:ascii="宋体" w:hAnsi="宋体" w:cs="宋体" w:eastAsia="宋体" w:hint="default"/>
          <w:sz w:val="18"/>
          <w:szCs w:val="18"/>
        </w:rPr>
      </w:pPr>
      <w:r>
        <w:rPr>
          <w:rFonts w:ascii="宋体" w:hAnsi="宋体" w:cs="宋体" w:eastAsia="宋体" w:hint="default"/>
          <w:sz w:val="18"/>
          <w:szCs w:val="18"/>
        </w:rPr>
        <w:t>报告期内，未有独立董事提议召开董事会情况发生； 报告期内，未有独立董事提议聘用或解聘会计师事务所情况发生。</w:t>
      </w:r>
    </w:p>
    <w:p>
      <w:pPr>
        <w:spacing w:after="0" w:line="717"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5"/>
          <w:szCs w:val="25"/>
        </w:rPr>
      </w:pPr>
    </w:p>
    <w:p>
      <w:pPr>
        <w:pStyle w:val="BodyText"/>
        <w:spacing w:line="297" w:lineRule="auto" w:before="0"/>
        <w:ind w:right="270"/>
        <w:jc w:val="both"/>
      </w:pPr>
      <w:r>
        <w:rPr/>
        <w:t>报告期内，公司董事会下设战略委员会根据《公司法》、《上市公司治理准则》、《公 司章程》、《董事会战略委员会议事规则》等相关法律法规及规范性文件的要求，对公司长 期发展战略和重大投资决策进行研究并提出建议。</w:t>
      </w:r>
    </w:p>
    <w:p>
      <w:pPr>
        <w:pStyle w:val="BodyText"/>
        <w:spacing w:line="297" w:lineRule="auto" w:before="17"/>
        <w:ind w:right="271"/>
        <w:jc w:val="both"/>
      </w:pPr>
      <w:r>
        <w:rPr/>
        <w:t>报告期内，公司董事会下设审计委员会根据《公司法》、《上市公司治理准则》、《公 司章程》、《董事会战略委员会议事规则》等相关法律法规及规范性文件的要求，提议聘请 外部审计机构、监督公司内幕审计、负责内外审计的沟通、审核公司财务信息及披露、审查 公司内控制度等。</w:t>
      </w:r>
    </w:p>
    <w:p>
      <w:pPr>
        <w:pStyle w:val="BodyText"/>
        <w:spacing w:line="297" w:lineRule="auto" w:before="17"/>
        <w:ind w:right="271"/>
        <w:jc w:val="both"/>
      </w:pPr>
      <w:r>
        <w:rPr/>
        <w:t>报告期内，公司董事会下设提名委员会根据《公司法》、《上市公司治理准则》、《公 司章程》、《董事会战略委员会议事规则》等相关法律法规及规范性文件的要求，对公司董 事及经理人员进行审查。</w:t>
      </w:r>
    </w:p>
    <w:p>
      <w:pPr>
        <w:pStyle w:val="BodyText"/>
        <w:spacing w:line="240" w:lineRule="auto"/>
        <w:ind w:left="633" w:right="96" w:firstLine="0"/>
        <w:jc w:val="left"/>
      </w:pPr>
      <w:r>
        <w:rPr>
          <w:spacing w:val="-3"/>
        </w:rPr>
        <w:t>报告期内，公司董事会下设薪酬与考核委员会根据《公司法》、《上市公司治理准则》、</w:t>
      </w:r>
    </w:p>
    <w:p>
      <w:pPr>
        <w:pStyle w:val="BodyText"/>
        <w:spacing w:line="297" w:lineRule="auto" w:before="74"/>
        <w:ind w:right="271" w:firstLine="0"/>
        <w:jc w:val="both"/>
      </w:pPr>
      <w:r>
        <w:rPr/>
        <w:t>《公司章程》、《董事会战略委员会议事规则》等相关法律法规及规范性文件的要求，研究 和审查公司董事、高级管理人员的薪酬政策和方案，制定了由基本薪酬、季度绩效考核薪酬 和年度绩效考核薪酬三部分组成薪酬方案，并对公司高级管理人员进行严格的考评，主要考 评指标包括：经济责任指标、质量与安全指标、重点工作推进情况指标等。</w:t>
      </w:r>
    </w:p>
    <w:p>
      <w:pPr>
        <w:spacing w:line="240" w:lineRule="auto" w:before="4"/>
        <w:rPr>
          <w:rFonts w:ascii="宋体" w:hAnsi="宋体" w:cs="宋体" w:eastAsia="宋体" w:hint="default"/>
          <w:sz w:val="21"/>
          <w:szCs w:val="21"/>
        </w:rPr>
      </w:pPr>
    </w:p>
    <w:p>
      <w:pPr>
        <w:pStyle w:val="Heading3"/>
        <w:spacing w:line="240" w:lineRule="auto" w:before="0"/>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650" w:lineRule="exact" w:before="15"/>
        <w:ind w:left="633" w:right="253" w:hanging="481"/>
        <w:jc w:val="left"/>
        <w:rPr>
          <w:rFonts w:ascii="宋体" w:hAnsi="宋体" w:cs="宋体" w:eastAsia="宋体" w:hint="default"/>
          <w:sz w:val="24"/>
          <w:szCs w:val="24"/>
        </w:rPr>
      </w:pP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公司与控股股东在业务、人员、资产、机构、财务上已经做到“五分开”，具有独立完</w:t>
      </w:r>
    </w:p>
    <w:p>
      <w:pPr>
        <w:pStyle w:val="BodyText"/>
        <w:spacing w:line="295" w:lineRule="exact" w:before="0"/>
        <w:ind w:right="0" w:firstLine="0"/>
        <w:jc w:val="both"/>
      </w:pPr>
      <w:r>
        <w:rPr/>
        <w:t>整的业务及自主经营能力，不存在向控股股东报送未公开信息等有违公司治理准则的非规范</w:t>
      </w:r>
    </w:p>
    <w:p>
      <w:pPr>
        <w:pStyle w:val="BodyText"/>
        <w:spacing w:line="240" w:lineRule="auto" w:before="75"/>
        <w:ind w:right="0" w:firstLine="0"/>
        <w:jc w:val="both"/>
      </w:pPr>
      <w:r>
        <w:rPr/>
        <w:t>行为。</w:t>
      </w:r>
    </w:p>
    <w:p>
      <w:pPr>
        <w:pStyle w:val="BodyText"/>
        <w:spacing w:line="240" w:lineRule="auto" w:before="77"/>
        <w:ind w:left="633" w:right="222" w:firstLine="0"/>
        <w:jc w:val="left"/>
      </w:pPr>
      <w:r>
        <w:rPr>
          <w:rFonts w:ascii="宋体" w:hAnsi="宋体" w:cs="宋体" w:eastAsia="宋体" w:hint="default"/>
        </w:rPr>
        <w:t>1</w:t>
      </w:r>
      <w:r>
        <w:rPr/>
        <w:t>、业务方面：公司独立于控股股东，具有独立完整的业务及自主经营能力。</w:t>
      </w:r>
    </w:p>
    <w:p>
      <w:pPr>
        <w:pStyle w:val="BodyText"/>
        <w:spacing w:line="297" w:lineRule="auto" w:before="74"/>
        <w:ind w:right="231"/>
        <w:jc w:val="both"/>
      </w:pPr>
      <w:r>
        <w:rPr>
          <w:rFonts w:ascii="宋体" w:hAnsi="宋体" w:cs="宋体" w:eastAsia="宋体" w:hint="default"/>
          <w:spacing w:val="-3"/>
        </w:rPr>
        <w:t>2</w:t>
      </w:r>
      <w:r>
        <w:rPr>
          <w:spacing w:val="-3"/>
        </w:rPr>
        <w:t>、人员方面：公司在人事、薪酬管理方面进行独立管理；公司与所有员工均签定了劳动</w:t>
      </w:r>
      <w:r>
        <w:rPr/>
        <w:t> 合同，并在公司领取薪酬。公司总裁、副总裁、财务总监、董秘等高级管理人员专职在公司 及控股子公司工作，均在公司领取报酬；控股股东推荐的董事、监事通过合法程序任职，没 有干预公司董事会和股东大会作出的人事任免决定的情况。</w:t>
      </w:r>
    </w:p>
    <w:p>
      <w:pPr>
        <w:pStyle w:val="BodyText"/>
        <w:spacing w:line="300" w:lineRule="auto" w:before="17"/>
        <w:ind w:right="233"/>
        <w:jc w:val="both"/>
      </w:pPr>
      <w:r>
        <w:rPr>
          <w:rFonts w:ascii="宋体" w:hAnsi="宋体" w:cs="宋体" w:eastAsia="宋体" w:hint="default"/>
          <w:spacing w:val="-3"/>
        </w:rPr>
        <w:t>3</w:t>
      </w:r>
      <w:r>
        <w:rPr>
          <w:spacing w:val="-3"/>
        </w:rPr>
        <w:t>、资产方面：公司拥有独立于控股股东的生产系统、辅助生产系统和配套设施、土地使</w:t>
      </w:r>
      <w:r>
        <w:rPr/>
        <w:t> 用权等；公司拥有独立的采购和销售系统。</w:t>
      </w:r>
    </w:p>
    <w:p>
      <w:pPr>
        <w:pStyle w:val="BodyText"/>
        <w:spacing w:line="300" w:lineRule="auto" w:before="15"/>
        <w:ind w:right="96"/>
        <w:jc w:val="left"/>
      </w:pPr>
      <w:r>
        <w:rPr>
          <w:rFonts w:ascii="宋体" w:hAnsi="宋体" w:cs="宋体" w:eastAsia="宋体" w:hint="default"/>
          <w:spacing w:val="-6"/>
        </w:rPr>
        <w:t>4</w:t>
      </w:r>
      <w:r>
        <w:rPr>
          <w:spacing w:val="-6"/>
        </w:rPr>
        <w:t>、机构方面：公司具有完整、独立的法人治理结构，公司的股东大会、董事会、监事会、</w:t>
      </w:r>
      <w:r>
        <w:rPr/>
        <w:t> 经营管理机构等均依法设立，并规范运作；不存在与控股股东合署办公的情况。</w:t>
      </w:r>
    </w:p>
    <w:p>
      <w:pPr>
        <w:spacing w:after="0" w:line="300" w:lineRule="auto"/>
        <w:jc w:val="left"/>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97" w:lineRule="auto" w:before="26"/>
        <w:ind w:right="96"/>
        <w:jc w:val="left"/>
      </w:pPr>
      <w:r>
        <w:rPr>
          <w:rFonts w:ascii="宋体" w:hAnsi="宋体" w:cs="宋体" w:eastAsia="宋体" w:hint="default"/>
          <w:spacing w:val="-6"/>
        </w:rPr>
        <w:t>5</w:t>
      </w:r>
      <w:r>
        <w:rPr>
          <w:spacing w:val="-6"/>
        </w:rPr>
        <w:t>、财务方面：公司设有独立的财务部门，并建立了独立的会计核算体系和财务管理制度，</w:t>
      </w:r>
      <w:r>
        <w:rPr/>
        <w:t> 开立了独立的银行帐户和税务登记号，独立经营纳税。</w:t>
      </w:r>
    </w:p>
    <w:p>
      <w:pPr>
        <w:spacing w:line="240" w:lineRule="auto" w:before="6"/>
        <w:rPr>
          <w:rFonts w:ascii="宋体" w:hAnsi="宋体" w:cs="宋体" w:eastAsia="宋体" w:hint="default"/>
          <w:sz w:val="21"/>
          <w:szCs w:val="21"/>
        </w:rPr>
      </w:pPr>
    </w:p>
    <w:p>
      <w:pPr>
        <w:pStyle w:val="Heading3"/>
        <w:spacing w:line="240" w:lineRule="auto" w:before="0"/>
        <w:ind w:right="222"/>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222" w:firstLine="0"/>
        <w:jc w:val="left"/>
        <w:rPr>
          <w:rFonts w:ascii="宋体" w:hAnsi="宋体" w:cs="宋体" w:eastAsia="宋体" w:hint="default"/>
          <w:sz w:val="18"/>
          <w:szCs w:val="18"/>
        </w:rPr>
      </w:pPr>
      <w:r>
        <w:rPr>
          <w:rFonts w:ascii="宋体" w:hAnsi="宋体" w:cs="宋体" w:eastAsia="宋体" w:hint="default"/>
          <w:sz w:val="18"/>
          <w:szCs w:val="18"/>
        </w:rPr>
        <w:t>公司与控股股东及其附属企业不存在同业竞争。</w:t>
      </w:r>
    </w:p>
    <w:p>
      <w:pPr>
        <w:spacing w:line="650" w:lineRule="exact" w:before="90"/>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pacing w:val="-10"/>
          <w:sz w:val="24"/>
          <w:szCs w:val="24"/>
        </w:rPr>
        <w:t>报告期内，经公司第七届董事会第二次会议审议，通过《关于 </w:t>
      </w:r>
      <w:r>
        <w:rPr>
          <w:rFonts w:ascii="宋体" w:hAnsi="宋体" w:cs="宋体" w:eastAsia="宋体" w:hint="default"/>
          <w:sz w:val="24"/>
          <w:szCs w:val="24"/>
        </w:rPr>
        <w:t>2012</w:t>
      </w:r>
      <w:r>
        <w:rPr>
          <w:rFonts w:ascii="宋体" w:hAnsi="宋体" w:cs="宋体" w:eastAsia="宋体" w:hint="default"/>
          <w:spacing w:val="47"/>
          <w:sz w:val="24"/>
          <w:szCs w:val="24"/>
        </w:rPr>
        <w:t> </w:t>
      </w:r>
      <w:r>
        <w:rPr>
          <w:rFonts w:ascii="宋体" w:hAnsi="宋体" w:cs="宋体" w:eastAsia="宋体" w:hint="default"/>
          <w:spacing w:val="-9"/>
          <w:sz w:val="24"/>
          <w:szCs w:val="24"/>
        </w:rPr>
        <w:t>年高管薪酬的议案》，</w:t>
      </w:r>
    </w:p>
    <w:p>
      <w:pPr>
        <w:pStyle w:val="BodyText"/>
        <w:spacing w:line="296" w:lineRule="exact" w:before="0"/>
        <w:ind w:right="222" w:firstLine="0"/>
        <w:jc w:val="left"/>
      </w:pPr>
      <w:r>
        <w:rPr/>
        <w:t>确定了由基本薪酬、季度绩效考核薪酬和年度绩效考核薪酬三部分组成的薪酬方案。其中基</w:t>
      </w:r>
    </w:p>
    <w:p>
      <w:pPr>
        <w:pStyle w:val="BodyText"/>
        <w:spacing w:line="300" w:lineRule="auto" w:before="74"/>
        <w:ind w:right="254" w:firstLine="0"/>
        <w:jc w:val="left"/>
      </w:pPr>
      <w:r>
        <w:rPr/>
        <w:t>本薪酬（包括月度基本工资和月度职务综合补贴）按月发放；季度绩效考核薪酬在季度结束 后经考核后发放；年度绩效考核薪酬在年度结束后经考核后发放。</w:t>
      </w:r>
    </w:p>
    <w:p>
      <w:pPr>
        <w:pStyle w:val="BodyText"/>
        <w:spacing w:line="297" w:lineRule="auto" w:before="14"/>
        <w:ind w:right="270"/>
        <w:jc w:val="both"/>
      </w:pPr>
      <w:r>
        <w:rPr/>
        <w:t>公司董事会下设的薪酬与考核委员会根据《公司法》、《上市公司治理准则》、《公司 章程》、《董事会战略委员会议事规则》等相关法律法规及规范性文件的要求，对公司高级 管理人员进行严格的考评，主要考评指标包括：经济责任指标、质量与安全指标、重点工作 推进情况指标等。</w:t>
      </w:r>
    </w:p>
    <w:p>
      <w:pPr>
        <w:pStyle w:val="BodyText"/>
        <w:spacing w:line="297" w:lineRule="auto" w:before="17"/>
        <w:ind w:right="270"/>
        <w:jc w:val="both"/>
      </w:pPr>
      <w:r>
        <w:rPr/>
        <w:t>公司目前尚未建立股权激励机制，公司将不断完善内部激励与约束机制，逐渐建立起短 期激励与长期激励相结合的“利益共享、风险共担”的激励体系，推动管理层与公司、股东 利益的紧密结合。</w:t>
      </w:r>
    </w:p>
    <w:p>
      <w:pPr>
        <w:spacing w:after="0" w:line="297" w:lineRule="auto"/>
        <w:jc w:val="both"/>
        <w:sectPr>
          <w:pgSz w:w="11910" w:h="16840"/>
          <w:pgMar w:header="877" w:footer="979"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3666"/>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0"/>
        <w:jc w:val="both"/>
        <w:rPr>
          <w:b w:val="0"/>
          <w:bCs w:val="0"/>
        </w:rPr>
      </w:pPr>
      <w:r>
        <w:rPr/>
        <w:t>一、内部控制建设情况</w:t>
      </w:r>
      <w:r>
        <w:rPr>
          <w:b w:val="0"/>
          <w:bCs w:val="0"/>
        </w:rPr>
      </w:r>
    </w:p>
    <w:p>
      <w:pPr>
        <w:spacing w:line="240" w:lineRule="auto" w:before="12"/>
        <w:rPr>
          <w:rFonts w:ascii="宋体" w:hAnsi="宋体" w:cs="宋体" w:eastAsia="宋体" w:hint="default"/>
          <w:b/>
          <w:bCs/>
          <w:sz w:val="25"/>
          <w:szCs w:val="25"/>
        </w:rPr>
      </w:pPr>
    </w:p>
    <w:p>
      <w:pPr>
        <w:pStyle w:val="BodyText"/>
        <w:spacing w:line="297" w:lineRule="auto" w:before="0"/>
        <w:ind w:right="254"/>
        <w:jc w:val="left"/>
      </w:pPr>
      <w:r>
        <w:rPr/>
        <w:t>报告期内，根据证监会的要求，为提高年报信息披露质量，公司进一步完善了《内幕信 息知情人登记备案制度》、并结合公司已形成的《年报信息披露重大差错责任追究制度》、</w:t>
      </w:r>
    </w:p>
    <w:p>
      <w:pPr>
        <w:pStyle w:val="BodyText"/>
        <w:spacing w:line="297" w:lineRule="auto"/>
        <w:ind w:right="271" w:firstLine="0"/>
        <w:jc w:val="both"/>
      </w:pPr>
      <w:r>
        <w:rPr/>
        <w:t>《外部信息报送和使用管理制度》、《会计师事务所选聘制度》等相关文件在日常工作的方 方面面进行有效的内部控制。目前公司治理的实际情况与中国证监会发布的有关上市公司治 理规范性文件的要求基本相符。</w:t>
      </w:r>
    </w:p>
    <w:p>
      <w:pPr>
        <w:pStyle w:val="BodyText"/>
        <w:spacing w:line="297" w:lineRule="auto" w:before="17"/>
        <w:ind w:right="96"/>
        <w:jc w:val="left"/>
      </w:pPr>
      <w:r>
        <w:rPr/>
        <w:t>同时，根据《企业内部控制基本规范》、《企业内部控制配套指引》、《关于</w:t>
      </w:r>
      <w:r>
        <w:rPr>
          <w:rFonts w:ascii="宋体" w:hAnsi="宋体" w:cs="宋体" w:eastAsia="宋体" w:hint="default"/>
        </w:rPr>
        <w:t>2012</w:t>
      </w:r>
      <w:r>
        <w:rPr/>
        <w:t>年主 板上市公司分类分批实施企业内部控制规范体系的通知》、深交所《关于做好上市公司</w:t>
      </w:r>
      <w:r>
        <w:rPr>
          <w:rFonts w:ascii="宋体" w:hAnsi="宋体" w:cs="宋体" w:eastAsia="宋体" w:hint="default"/>
        </w:rPr>
        <w:t>2012 </w:t>
      </w:r>
      <w:r>
        <w:rPr/>
        <w:t>年年度报告披露工作的通知》等要求，公司积极开展内控体系建设，经公司第六届董事会第 二十六次会议审议，通过《关于公司内部控制规范实施方案的议案》，为建立健全公司内部 </w:t>
      </w:r>
      <w:r>
        <w:rPr>
          <w:spacing w:val="-2"/>
        </w:rPr>
        <w:t>控制规范体系并有效实施，公司成立内控建设领导小组、内控专项工作小组、内控评价小组，</w:t>
      </w:r>
      <w:r>
        <w:rPr/>
        <w:t> 并聘请天健光华管理咨询有限公司负责公司的内控建设评价审计工作，。公司内部控制制度 具有合法性、合理性、有效性和适用性，能够适应公司管理的要求和发展的需要。公司内部 控制活动涵盖法人治理、经营管理、生产活动等各个环节，具有较为科学合理的决策、执行 和监督机制，并在生产经营活动中得到严格遵循和实施。公司按照内部控制制度规范运作， 防范了经营风险，合理保证了资产安全和财务报告及相关信息的真实完整，有利于公司规范 运作和公司治理水平的提高。</w:t>
      </w:r>
    </w:p>
    <w:p>
      <w:pPr>
        <w:spacing w:line="650" w:lineRule="exact" w:before="41"/>
        <w:ind w:left="633" w:right="253" w:hanging="481"/>
        <w:jc w:val="left"/>
        <w:rPr>
          <w:rFonts w:ascii="宋体" w:hAnsi="宋体" w:cs="宋体" w:eastAsia="宋体" w:hint="default"/>
          <w:sz w:val="24"/>
          <w:szCs w:val="24"/>
        </w:rPr>
      </w:pPr>
      <w:r>
        <w:rPr>
          <w:rFonts w:ascii="宋体" w:hAnsi="宋体" w:cs="宋体" w:eastAsia="宋体" w:hint="default"/>
          <w:b/>
          <w:bCs/>
          <w:sz w:val="24"/>
          <w:szCs w:val="24"/>
        </w:rPr>
        <w:t>二、董事会关于内部控制责任的声明</w:t>
      </w:r>
      <w:r>
        <w:rPr>
          <w:rFonts w:ascii="宋体" w:hAnsi="宋体" w:cs="宋体" w:eastAsia="宋体" w:hint="default"/>
          <w:b/>
          <w:bCs/>
          <w:w w:val="99"/>
          <w:sz w:val="24"/>
          <w:szCs w:val="24"/>
        </w:rPr>
        <w:t> </w:t>
      </w:r>
      <w:r>
        <w:rPr>
          <w:rFonts w:ascii="宋体" w:hAnsi="宋体" w:cs="宋体" w:eastAsia="宋体" w:hint="default"/>
          <w:sz w:val="24"/>
          <w:szCs w:val="24"/>
        </w:rPr>
        <w:t>公司董事会及全体董事保证本报告内容不存在任何虚假记载、误导性陈述或重大遗漏，</w:t>
      </w:r>
    </w:p>
    <w:p>
      <w:pPr>
        <w:pStyle w:val="BodyText"/>
        <w:spacing w:line="295" w:lineRule="exact" w:before="0"/>
        <w:ind w:right="0" w:firstLine="0"/>
        <w:jc w:val="both"/>
      </w:pPr>
      <w:r>
        <w:rPr/>
        <w:t>并对报告内容的真实性、准确性和完整性承担个别及连带责任。建立健全并有效实施内部控</w:t>
      </w:r>
    </w:p>
    <w:p>
      <w:pPr>
        <w:pStyle w:val="BodyText"/>
        <w:spacing w:line="297" w:lineRule="auto" w:before="75"/>
        <w:ind w:right="271" w:firstLine="0"/>
        <w:jc w:val="both"/>
      </w:pPr>
      <w:r>
        <w:rPr/>
        <w:t>制是公司董事会的责任；监事会对董事会建立与实施内部控制进行监督；经理层负责组织领 导公司内部控制的日常运行。公司内部控制的目标是：合理保证经营合法合规、资产安全、 财务报告及相关信息真实完整，提高经营效率和效果，促进实现发展战略。由于内部控制存 在固有局限性，故仅能对达到上述目标提供合理保证。公司内部控制范围基本涵盖了所有管 理和业务流程，基本形成了对风险进行事前防范、事中控制、事后监督纠正的内控机制。</w:t>
      </w:r>
    </w:p>
    <w:p>
      <w:pPr>
        <w:spacing w:line="650" w:lineRule="exact" w:before="41"/>
        <w:ind w:left="633" w:right="253" w:hanging="481"/>
        <w:jc w:val="left"/>
        <w:rPr>
          <w:rFonts w:ascii="宋体" w:hAnsi="宋体" w:cs="宋体" w:eastAsia="宋体" w:hint="default"/>
          <w:sz w:val="24"/>
          <w:szCs w:val="24"/>
        </w:rPr>
      </w:pPr>
      <w:r>
        <w:rPr>
          <w:rFonts w:ascii="宋体" w:hAnsi="宋体" w:cs="宋体" w:eastAsia="宋体" w:hint="default"/>
          <w:b/>
          <w:bCs/>
          <w:sz w:val="24"/>
          <w:szCs w:val="24"/>
        </w:rPr>
        <w:t>三、建立财务报告内部控制的依据</w:t>
      </w:r>
      <w:r>
        <w:rPr>
          <w:rFonts w:ascii="宋体" w:hAnsi="宋体" w:cs="宋体" w:eastAsia="宋体" w:hint="default"/>
          <w:b/>
          <w:bCs/>
          <w:w w:val="99"/>
          <w:sz w:val="24"/>
          <w:szCs w:val="24"/>
        </w:rPr>
        <w:t> </w:t>
      </w:r>
      <w:r>
        <w:rPr>
          <w:rFonts w:ascii="宋体" w:hAnsi="宋体" w:cs="宋体" w:eastAsia="宋体" w:hint="default"/>
          <w:sz w:val="24"/>
          <w:szCs w:val="24"/>
        </w:rPr>
        <w:t>公司财务报告内部控制依据《中华人民共和国会计法》、《企业会计准则》、《企业内</w:t>
      </w:r>
    </w:p>
    <w:p>
      <w:pPr>
        <w:pStyle w:val="BodyText"/>
        <w:spacing w:line="295" w:lineRule="exact" w:before="0"/>
        <w:ind w:right="0" w:firstLine="0"/>
        <w:jc w:val="both"/>
      </w:pPr>
      <w:r>
        <w:rPr/>
        <w:t>部控制规范》以及相关企业标准而建立。企业标准包括：《应收账款管理办法》、《坏账界</w:t>
      </w:r>
    </w:p>
    <w:p>
      <w:pPr>
        <w:spacing w:after="0" w:line="295" w:lineRule="exact"/>
        <w:jc w:val="both"/>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pStyle w:val="BodyText"/>
        <w:spacing w:line="297" w:lineRule="auto" w:before="26"/>
        <w:ind w:right="96" w:firstLine="0"/>
        <w:jc w:val="left"/>
      </w:pPr>
      <w:r>
        <w:rPr>
          <w:spacing w:val="-6"/>
        </w:rPr>
        <w:t>定和赔偿管理办法》、《库存商品管理办法》、《内幕信息知情人登记备案管理办法》、《子</w:t>
      </w:r>
      <w:r>
        <w:rPr>
          <w:spacing w:val="-82"/>
        </w:rPr>
        <w:t> </w:t>
      </w:r>
      <w:r>
        <w:rPr>
          <w:spacing w:val="-82"/>
        </w:rPr>
      </w:r>
      <w:r>
        <w:rPr>
          <w:spacing w:val="-2"/>
        </w:rPr>
        <w:t>公司日常信息内部报告管理办法》、《档案管理办法》、《对外信息披露管理办法》等建立。</w:t>
      </w:r>
    </w:p>
    <w:p>
      <w:pPr>
        <w:spacing w:line="240" w:lineRule="auto" w:before="6"/>
        <w:rPr>
          <w:rFonts w:ascii="宋体" w:hAnsi="宋体" w:cs="宋体" w:eastAsia="宋体" w:hint="default"/>
          <w:sz w:val="21"/>
          <w:szCs w:val="21"/>
        </w:rPr>
      </w:pPr>
    </w:p>
    <w:p>
      <w:pPr>
        <w:pStyle w:val="Heading3"/>
        <w:spacing w:line="240" w:lineRule="auto" w:before="0"/>
        <w:ind w:right="222"/>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b/>
          <w:bCs/>
          <w:sz w:val="18"/>
          <w:szCs w:val="18"/>
        </w:rPr>
      </w:pPr>
    </w:p>
    <w:p>
      <w:pPr>
        <w:spacing w:line="465" w:lineRule="auto" w:before="26"/>
        <w:ind w:left="633" w:right="2173" w:hanging="481"/>
        <w:jc w:val="left"/>
        <w:rPr>
          <w:rFonts w:ascii="宋体" w:hAnsi="宋体" w:cs="宋体" w:eastAsia="宋体" w:hint="default"/>
          <w:sz w:val="24"/>
          <w:szCs w:val="24"/>
        </w:rPr>
      </w:pPr>
      <w:r>
        <w:rPr>
          <w:rFonts w:ascii="宋体" w:hAnsi="宋体" w:cs="宋体" w:eastAsia="宋体" w:hint="default"/>
          <w:b/>
          <w:bCs/>
          <w:sz w:val="24"/>
          <w:szCs w:val="24"/>
        </w:rPr>
        <w:t>五、年度报告重大差错责任追究制度的建立与执行情况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z w:val="24"/>
          <w:szCs w:val="24"/>
        </w:rPr>
        <w:t>公司已建立《年报信息披露重大差错责任追究制度》，并严格执行。</w:t>
      </w:r>
    </w:p>
    <w:p>
      <w:pPr>
        <w:spacing w:after="0" w:line="465" w:lineRule="auto"/>
        <w:jc w:val="left"/>
        <w:rPr>
          <w:rFonts w:ascii="宋体" w:hAnsi="宋体" w:cs="宋体" w:eastAsia="宋体" w:hint="default"/>
          <w:sz w:val="24"/>
          <w:szCs w:val="24"/>
        </w:rPr>
        <w:sectPr>
          <w:pgSz w:w="11910" w:h="16840"/>
          <w:pgMar w:header="877" w:footer="979"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3666"/>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22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8-54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before="49"/>
        <w:ind w:left="3590" w:right="366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BodyText"/>
        <w:spacing w:line="300" w:lineRule="auto" w:before="107"/>
        <w:ind w:left="633" w:right="218" w:firstLine="0"/>
        <w:jc w:val="left"/>
        <w:rPr>
          <w:rFonts w:ascii="宋体" w:hAnsi="宋体" w:cs="宋体" w:eastAsia="宋体" w:hint="default"/>
        </w:rPr>
      </w:pPr>
      <w:r>
        <w:rPr/>
        <w:t>浙江华智控股股份有限公司全体股东： </w:t>
      </w:r>
      <w:r>
        <w:rPr>
          <w:spacing w:val="-5"/>
        </w:rPr>
        <w:t>我们审计了后附的浙江华智控股股份有限公司（以下简称华智控股）财务报表，包括</w:t>
      </w:r>
      <w:r>
        <w:rPr>
          <w:rFonts w:ascii="宋体" w:hAnsi="宋体" w:cs="宋体" w:eastAsia="宋体" w:hint="default"/>
          <w:spacing w:val="-5"/>
        </w:rPr>
        <w:t>2012</w:t>
      </w:r>
    </w:p>
    <w:p>
      <w:pPr>
        <w:pStyle w:val="BodyText"/>
        <w:spacing w:line="300" w:lineRule="auto" w:before="14"/>
        <w:ind w:right="254" w:firstLine="0"/>
        <w:jc w:val="left"/>
      </w:pP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2012</w:t>
      </w:r>
      <w:r>
        <w:rPr/>
        <w:t>年度的合并及母公司利润表、合并及母公司现 金流量表、合并及母公司所有者权益变动表，以及财务报表附注。</w:t>
      </w:r>
    </w:p>
    <w:p>
      <w:pPr>
        <w:spacing w:line="240" w:lineRule="auto" w:before="0"/>
        <w:rPr>
          <w:rFonts w:ascii="宋体" w:hAnsi="宋体" w:cs="宋体" w:eastAsia="宋体" w:hint="default"/>
          <w:sz w:val="31"/>
          <w:szCs w:val="31"/>
        </w:rPr>
      </w:pPr>
    </w:p>
    <w:p>
      <w:pPr>
        <w:pStyle w:val="BodyText"/>
        <w:spacing w:line="297" w:lineRule="auto" w:before="0"/>
        <w:ind w:left="633" w:right="222" w:firstLine="0"/>
        <w:jc w:val="left"/>
      </w:pPr>
      <w:r>
        <w:rPr/>
        <w:t>一、管理层对财务报表的责任 </w:t>
      </w:r>
      <w:r>
        <w:rPr>
          <w:spacing w:val="-3"/>
        </w:rPr>
        <w:t>编制和公允列报财务报表是管理层的责任，这种责任包括：（</w:t>
      </w:r>
      <w:r>
        <w:rPr>
          <w:rFonts w:ascii="宋体" w:hAnsi="宋体" w:cs="宋体" w:eastAsia="宋体" w:hint="default"/>
          <w:spacing w:val="-3"/>
        </w:rPr>
        <w:t>1</w:t>
      </w:r>
      <w:r>
        <w:rPr>
          <w:spacing w:val="-3"/>
        </w:rPr>
        <w:t>）按照企业会计准则的规</w:t>
      </w:r>
    </w:p>
    <w:p>
      <w:pPr>
        <w:pStyle w:val="BodyText"/>
        <w:spacing w:line="297" w:lineRule="auto"/>
        <w:ind w:right="222" w:firstLine="0"/>
        <w:jc w:val="left"/>
      </w:pPr>
      <w:r>
        <w:rPr>
          <w:spacing w:val="-3"/>
        </w:rPr>
        <w:t>定编制财务报表，并使其实现公允反映；（</w:t>
      </w:r>
      <w:r>
        <w:rPr>
          <w:rFonts w:ascii="宋体" w:hAnsi="宋体" w:cs="宋体" w:eastAsia="宋体" w:hint="default"/>
          <w:spacing w:val="-3"/>
        </w:rPr>
        <w:t>2</w:t>
      </w:r>
      <w:r>
        <w:rPr>
          <w:spacing w:val="-3"/>
        </w:rPr>
        <w:t>）设计、执行和维护必要的内部控制，以使财务</w:t>
      </w:r>
      <w:r>
        <w:rPr>
          <w:spacing w:val="-81"/>
        </w:rPr>
        <w:t> </w:t>
      </w:r>
      <w:r>
        <w:rPr>
          <w:spacing w:val="-81"/>
        </w:rPr>
      </w:r>
      <w:r>
        <w:rPr/>
        <w:t>报表不存在由于舞弊或错误导致的重大错报。</w:t>
      </w:r>
    </w:p>
    <w:p>
      <w:pPr>
        <w:spacing w:line="240" w:lineRule="auto" w:before="3"/>
        <w:rPr>
          <w:rFonts w:ascii="宋体" w:hAnsi="宋体" w:cs="宋体" w:eastAsia="宋体" w:hint="default"/>
          <w:sz w:val="31"/>
          <w:szCs w:val="31"/>
        </w:rPr>
      </w:pPr>
    </w:p>
    <w:p>
      <w:pPr>
        <w:pStyle w:val="BodyText"/>
        <w:spacing w:line="300" w:lineRule="auto" w:before="0"/>
        <w:ind w:left="633" w:right="253" w:firstLine="0"/>
        <w:jc w:val="left"/>
      </w:pPr>
      <w:r>
        <w:rPr/>
        <w:t>二、注册会计师的责任 我们的责任是在执行审计工作的基础上对财务报表发表审计意见。我们按照中国注册会</w:t>
      </w:r>
    </w:p>
    <w:p>
      <w:pPr>
        <w:pStyle w:val="BodyText"/>
        <w:spacing w:line="300" w:lineRule="auto" w:before="14"/>
        <w:ind w:right="254" w:firstLine="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297" w:lineRule="auto" w:before="15"/>
        <w:ind w:right="96"/>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BodyText"/>
        <w:spacing w:line="240" w:lineRule="auto"/>
        <w:ind w:left="633" w:right="222" w:firstLine="0"/>
        <w:jc w:val="left"/>
      </w:pPr>
      <w:r>
        <w:rPr/>
        <w:t>我们相信，我们获取的审计证据是充分、适当的，为发表审计意见提供了基础。</w:t>
      </w:r>
    </w:p>
    <w:p>
      <w:pPr>
        <w:spacing w:line="240" w:lineRule="auto" w:before="8"/>
        <w:rPr>
          <w:rFonts w:ascii="宋体" w:hAnsi="宋体" w:cs="宋体" w:eastAsia="宋体" w:hint="default"/>
          <w:sz w:val="35"/>
          <w:szCs w:val="35"/>
        </w:rPr>
      </w:pPr>
    </w:p>
    <w:p>
      <w:pPr>
        <w:pStyle w:val="BodyText"/>
        <w:spacing w:line="297" w:lineRule="auto" w:before="0"/>
        <w:ind w:left="633" w:right="253" w:firstLine="0"/>
        <w:jc w:val="left"/>
      </w:pPr>
      <w:r>
        <w:rPr/>
        <w:t>三、审计意见 我们认为，华智控股财务报表在所有重大方面按照企业会计准则的规定编制，公允反映</w:t>
      </w:r>
    </w:p>
    <w:p>
      <w:pPr>
        <w:pStyle w:val="BodyText"/>
        <w:spacing w:line="240" w:lineRule="auto" w:before="20"/>
        <w:ind w:right="222" w:firstLine="0"/>
        <w:jc w:val="left"/>
      </w:pPr>
      <w:r>
        <w:rPr/>
        <w:t>了华智控股</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2012</w:t>
      </w:r>
      <w:r>
        <w:rPr/>
        <w:t>年度的合并及母公司经营成果</w:t>
      </w:r>
    </w:p>
    <w:p>
      <w:pPr>
        <w:spacing w:after="0" w:line="240" w:lineRule="auto"/>
        <w:jc w:val="left"/>
        <w:sectPr>
          <w:pgSz w:w="11910" w:h="16840"/>
          <w:pgMar w:header="877" w:footer="979" w:top="1100" w:bottom="1160" w:left="980" w:right="900"/>
        </w:sectPr>
      </w:pPr>
    </w:p>
    <w:p>
      <w:pPr>
        <w:spacing w:line="240" w:lineRule="auto" w:before="9"/>
        <w:rPr>
          <w:rFonts w:ascii="宋体" w:hAnsi="宋体" w:cs="宋体" w:eastAsia="宋体" w:hint="default"/>
          <w:sz w:val="22"/>
          <w:szCs w:val="22"/>
        </w:rPr>
      </w:pPr>
    </w:p>
    <w:p>
      <w:pPr>
        <w:spacing w:line="496" w:lineRule="auto" w:before="26"/>
        <w:ind w:left="152" w:right="8328" w:firstLine="0"/>
        <w:jc w:val="left"/>
        <w:rPr>
          <w:rFonts w:ascii="宋体" w:hAnsi="宋体" w:cs="宋体" w:eastAsia="宋体" w:hint="default"/>
          <w:sz w:val="24"/>
          <w:szCs w:val="24"/>
        </w:rPr>
      </w:pPr>
      <w:r>
        <w:rPr>
          <w:rFonts w:ascii="宋体" w:hAnsi="宋体" w:cs="宋体" w:eastAsia="宋体" w:hint="default"/>
          <w:sz w:val="24"/>
          <w:szCs w:val="24"/>
        </w:rPr>
        <w:t>和现金流量。 </w:t>
      </w:r>
      <w:r>
        <w:rPr>
          <w:rFonts w:ascii="宋体" w:hAnsi="宋体" w:cs="宋体" w:eastAsia="宋体" w:hint="default"/>
          <w:b/>
          <w:bCs/>
          <w:sz w:val="24"/>
          <w:szCs w:val="24"/>
        </w:rPr>
        <w:t>二、财务报表</w:t>
      </w:r>
      <w:r>
        <w:rPr>
          <w:rFonts w:ascii="宋体" w:hAnsi="宋体" w:cs="宋体" w:eastAsia="宋体" w:hint="default"/>
          <w:sz w:val="24"/>
          <w:szCs w:val="24"/>
        </w:rPr>
      </w:r>
    </w:p>
    <w:p>
      <w:pPr>
        <w:spacing w:before="89"/>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2876"/>
        <w:gridCol w:w="3303"/>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364,317,511.54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362,864,382.17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43,223,263.48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31,074,171.39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629,700,222.61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471,942,852.64</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63,192,788.23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28,755,762.78</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43,284,601.60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41,175,305.97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225,180,531.38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177,200,330.74</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1,368,898,918.84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1,113,012,805.69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14,609,234.07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13,057,725.34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380"/>
        <w:gridCol w:w="2876"/>
        <w:gridCol w:w="3303"/>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453,505,306.29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510,468,404.43</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897,636.27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410,637.77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6,886,741.22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6,724,081.92</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148,878,270.34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164,453,104.13</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2,666,705.96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3,255,559.21</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18,894,779.39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15,313,381.19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646,338,673.54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713,682,893.99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2,015,237,592.38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1,826,695,699.68</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428,165,440.00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428,000,000.00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6"/>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133,229,600.00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133,936,310.00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502,602,739.84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380,931,854.87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57,768,978.03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20,572,374.01</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6"/>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21,609,600.31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5,718,285.24</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40,233,588.41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18,239,506.42</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8,169,592.89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15,668,847.19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258,229,457.15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302,835,345.46</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380"/>
        <w:gridCol w:w="2876"/>
        <w:gridCol w:w="3303"/>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1,450,008,996.63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1,305,902,523.19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1,463,198,996.63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1,305,902,523.19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9,149,973.75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37,397,677.11</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40,657,199.52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40,657,199.52</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76"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-175,482,285.69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-188,062,627.28</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-1,119,847.16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-1,654,369.47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360,937,035.42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376,069,874.88</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191,101,560.33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144,723,301.61</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552,038,595.75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520,793,176.49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8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2,015,237,592.38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1,826,695,699.68</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1"/>
        <w:gridCol w:w="3005"/>
        <w:gridCol w:w="3291"/>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40"/>
        <w:gridCol w:w="3016"/>
        <w:gridCol w:w="330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6,876,601.08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2,962,328.13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1,306.72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19,878,554.50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15,622,846.18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65,910,538.54</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42,379,308.48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68,872,866.67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320,425,869.79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320,425,869.79</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31,810,849.99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39,795,332.75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6,218,311.66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12,217,322.04</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7,292,343.28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17,326,601.53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365,747,374.72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389,765,126.11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408,126,683.20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458,637,992.78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40"/>
        <w:gridCol w:w="3016"/>
        <w:gridCol w:w="330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648,370.30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3,932,281.63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235,430.10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256,983.61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-15,681.13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6,408,364.00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14,335,027.53</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265,592,848.51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306,516,874.78</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276,801,613.41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321,108,885.92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276,801,613.41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321,108,885.92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119,506,224.01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119,506,224.01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28,791,805.68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-504,704,954.90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-498,500,917.83</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0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131,325,069.79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137,529,106.86</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0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408,126,683.20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458,637,992.78</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1,767,888,581.05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1,757,044,980.43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1,767,888,581.05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1,757,044,980.43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1,742,381,480.62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1,733,871,769.56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1,299,174,038.39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1,353,080,529.71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15,123,573.68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8,347,853.46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169,965,816.63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143,473,914.66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196,622,785.57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182,785,290.97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41,977,022.13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41,008,495.71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5,175,685.05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-32,083,740.31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21,654,881.69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-6,576,639.88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44,828,092.56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59,606,177.87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15,852,042.58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1,214,363.92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916,257.36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535,413.11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686,583.04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51,815,174.07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59,763,877.78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2,589,963.36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10,756,667.26</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49,225,210.71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49,007,210.52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2,208,185.92</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23,420,537.27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32,291,915.69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25,804,673.44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16,715,294.83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-456,692.20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-1,383,024.62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48,768,518.51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47,624,185.90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23,955,059.58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31,540,533.06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24,813,458.93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16,083,652.84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2,208,185.92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578" w:val="left" w:leader="none"/>
          <w:tab w:pos="7721" w:val="left" w:leader="none"/>
        </w:tabs>
        <w:spacing w:before="125"/>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38,241,075.25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1,788,357.57</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37,527,985.80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1,431,741.60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104,332.51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97,849.77</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85,039.04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8,410,806.30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5,302,884.27</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16,781,911.74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16,518,516.13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6,008,147.49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21,641,195.85</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21,515,741.70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-9,161,405.93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-43,203,830.05</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13,086,485.75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880,666.42</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94,858.64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1,485.00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94,736.10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1,485.00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3,830,221.18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-42,324,648.63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10,034,258.25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-3,246,179.38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-39,078,469.25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2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2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-39,078,469.25</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1,563,514,432.12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1,374,840,657.39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18,161,498.52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23,027,926.06</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252,680,464.55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384,849,219.87</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1,834,356,395.19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1,782,717,803.32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1,044,042,596.82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954,549,989.01</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168,030,936.76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184,624,869.89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123,219,872.14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78,367,119.36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449,832,738.92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421,971,320.03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1,785,126,144.64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1,639,513,298.29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49,230,250.55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143,204,505.03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45,050,000.00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6,591,000.00</w:t>
            </w: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15,185,200.23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41,624,116.50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60,235,200.23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86,775,116.50</w:t>
            </w: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17,446,195.05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39,525,041.02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14,791,501.40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11,610,218.00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53,477,487.50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85,715,183.95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51,135,259.02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-25,479,983.72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35,639,857.48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1,485,801.17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324,185.06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1,485,801.17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324,185.06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883,127,097.60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776,000,000.00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123,338,210.14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102,013,526.26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1,007,951,108.91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878,337,711.32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892,961,657.60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762,000,000.00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47,786,831.24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49,203,210.04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16,517,120.42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19,417,080.92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63,187,780.00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196,779,770.14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1,003,936,268.84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1,007,982,980.18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4,014,840.07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-129,645,268.86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21,079.61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-1,627,466.02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27,786,186.51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47,571,627.63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307,228,445.03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259,656,817.40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253"/>
        <w:gridCol w:w="2693"/>
        <w:gridCol w:w="2624"/>
      </w:tblGrid>
      <w:tr>
        <w:trPr>
          <w:trHeight w:val="40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6" w:right="0"/>
              <w:jc w:val="left"/>
              <w:rPr>
                <w:rFonts w:ascii="Times New Roman" w:hAnsi="Times New Roman" w:cs="Times New Roman" w:eastAsia="Times New Roman" w:hint="default"/>
                <w:sz w:val="18"/>
                <w:szCs w:val="18"/>
              </w:rPr>
            </w:pPr>
            <w:r>
              <w:rPr>
                <w:rFonts w:ascii="Times New Roman"/>
                <w:sz w:val="18"/>
              </w:rPr>
              <w:t>335,014,631.54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307,228,445.03</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704"/>
        <w:gridCol w:w="2624"/>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46,890,348.50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347,349.00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30,084,375.67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180,447,326.68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76,974,724.17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180,794,675.68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61,568,696.70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737,069.90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1,295,710.72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1,755,742.63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1,341,740.34</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55,665,941.47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103,753,758.38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119,727,450.70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106,391,209.44</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-42,752,726.53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74,403,466.24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39,500,000.00</w:t>
            </w:r>
            <w:r>
              <w:rPr>
                <w:rFonts w:ascii="Times New Roman"/>
                <w:sz w:val="18"/>
              </w:rPr>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15,115,261.01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1,763,734.00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54,615,261.01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1,763,734.00</w:t>
            </w: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2,875.00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2,875.00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54,593,663.01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1,760,859.00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3"/>
        <w:gridCol w:w="2693"/>
        <w:gridCol w:w="2624"/>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7,926,663.53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1,654,950.00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7,926,663.53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76,654,950.00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-7,926,663.53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-76,654,950.00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3,914,272.95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-490,624.76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2,962,328.13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3,452,952.89</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6,876,601.08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2,962,328.13</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21"/>
          <w:footerReference w:type="default" r:id="rId22"/>
          <w:pgSz w:w="16840" w:h="11910" w:orient="landscape"/>
          <w:pgMar w:header="867" w:footer="980" w:top="1060" w:bottom="1160" w:left="1300" w:right="1300"/>
          <w:pgNumType w:start="66"/>
        </w:sectPr>
      </w:pPr>
    </w:p>
    <w:p>
      <w:pPr>
        <w:spacing w:line="36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1300"/>
          <w:cols w:num="2" w:equalWidth="0">
            <w:col w:w="3201" w:space="10040"/>
            <w:col w:w="999"/>
          </w:cols>
        </w:sectPr>
      </w:pP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44"/>
        <w:gridCol w:w="1331"/>
        <w:gridCol w:w="1277"/>
        <w:gridCol w:w="708"/>
        <w:gridCol w:w="850"/>
        <w:gridCol w:w="1136"/>
        <w:gridCol w:w="708"/>
        <w:gridCol w:w="1416"/>
        <w:gridCol w:w="1136"/>
        <w:gridCol w:w="1418"/>
        <w:gridCol w:w="1416"/>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1139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8561"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61" w:type="dxa"/>
            <w:gridSpan w:val="8"/>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86" w:right="26" w:hanging="452"/>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6"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37,397,677.11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-188,062,627.28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-1,654,369.47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144,723,301.61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520,793,176.49</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37,397,677.11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-188,062,627.28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-1,654,369.47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144,723,301.61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520,793,176.49</w:t>
            </w: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-28,247,703.36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12,580,341.59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534,522.31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46,378,258.72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31,245,419.26</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23,420,537.27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25,804,673.44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49,225,210.71</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534,522.31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-991,214.51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-456,692.20</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23,420,537.27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534,522.31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24,813,458.93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48,768,518.51</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-28,247,703.36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-10,840,195.68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1,947,303.67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-37,140,595.37</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67"/>
        <w:gridCol w:w="1321"/>
        <w:gridCol w:w="1277"/>
        <w:gridCol w:w="708"/>
        <w:gridCol w:w="850"/>
        <w:gridCol w:w="1136"/>
        <w:gridCol w:w="708"/>
        <w:gridCol w:w="1416"/>
        <w:gridCol w:w="1136"/>
        <w:gridCol w:w="1418"/>
        <w:gridCol w:w="1416"/>
        <w:gridCol w:w="238"/>
      </w:tblGrid>
      <w:tr>
        <w:trPr>
          <w:trHeight w:val="418" w:hRule="exact"/>
        </w:trPr>
        <w:tc>
          <w:tcPr>
            <w:tcW w:w="23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-28,247,703.36</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-10,840,195.68</w:t>
            </w:r>
          </w:p>
        </w:tc>
        <w:tc>
          <w:tcPr>
            <w:tcW w:w="113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-39,087,899.04</w:t>
            </w:r>
          </w:p>
        </w:tc>
        <w:tc>
          <w:tcPr>
            <w:tcW w:w="238" w:type="dxa"/>
            <w:vMerge w:val="restart"/>
            <w:tcBorders>
              <w:top w:val="single" w:sz="6" w:space="0" w:color="000000"/>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19,617,496.12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19,617,496.12</w:t>
            </w: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-9,462,234.32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-9,462,234.32</w:t>
            </w: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29,079,730.44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29,079,730.44</w:t>
            </w: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9,149,973.75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-175,482,285.69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-1,119,847.16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191,101,560.33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552,038,595.75</w:t>
            </w:r>
          </w:p>
        </w:tc>
        <w:tc>
          <w:tcPr>
            <w:tcW w:w="238"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44"/>
        <w:gridCol w:w="1331"/>
        <w:gridCol w:w="1277"/>
        <w:gridCol w:w="708"/>
        <w:gridCol w:w="850"/>
        <w:gridCol w:w="1136"/>
        <w:gridCol w:w="708"/>
        <w:gridCol w:w="1416"/>
        <w:gridCol w:w="1136"/>
        <w:gridCol w:w="1418"/>
        <w:gridCol w:w="1416"/>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1139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8561"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38"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61" w:type="dxa"/>
            <w:gridSpan w:val="8"/>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6" w:right="26" w:hanging="452"/>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6"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44" w:type="dxa"/>
            <w:vMerge/>
            <w:tcBorders>
              <w:left w:val="single" w:sz="4" w:space="0" w:color="000000"/>
              <w:right w:val="single" w:sz="4" w:space="0" w:color="000000"/>
            </w:tcBorders>
            <w:shd w:val="clear" w:color="auto" w:fill="D2D2D2"/>
          </w:tcPr>
          <w:p>
            <w:pPr/>
          </w:p>
        </w:tc>
        <w:tc>
          <w:tcPr>
            <w:tcW w:w="133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19,593,925.17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-213,909,051.19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147,810,448.01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480,981,529.67</w:t>
            </w: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28,247,703.36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788,940.18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9,651,892.01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38,688,535.55</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47,841,628.53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-213,120,111.01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157,462,340.02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519,670,065.22</w:t>
            </w:r>
          </w:p>
        </w:tc>
      </w:tr>
      <w:tr>
        <w:trPr>
          <w:trHeight w:val="71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-10,443,951.42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25,057,483.73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-751,382.63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-12,739,038.41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1,123,111.27</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32,291,915.69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16,715,294.83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49,007,210.52</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-751,382.63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-631,641.99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-1,383,024.62</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32,291,915.69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-751,382.63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16,083,652.84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47,624,185.90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-10,443,951.42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-7,234,431.96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-9,480,569.34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-27,158,952.72</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324,185.00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324,185.00</w:t>
            </w:r>
          </w:p>
        </w:tc>
      </w:tr>
      <w:tr>
        <w:trPr>
          <w:trHeight w:val="71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-10,443,951.42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-7,234,431.96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-9,804,754.34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-27,483,137.72</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31"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-19,342,121.91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-19,342,121.91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30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67"/>
        <w:gridCol w:w="1321"/>
        <w:gridCol w:w="1277"/>
        <w:gridCol w:w="708"/>
        <w:gridCol w:w="850"/>
        <w:gridCol w:w="1136"/>
        <w:gridCol w:w="708"/>
        <w:gridCol w:w="1416"/>
        <w:gridCol w:w="1136"/>
        <w:gridCol w:w="1418"/>
        <w:gridCol w:w="1416"/>
        <w:gridCol w:w="238"/>
      </w:tblGrid>
      <w:tr>
        <w:trPr>
          <w:trHeight w:val="418" w:hRule="exact"/>
        </w:trPr>
        <w:tc>
          <w:tcPr>
            <w:tcW w:w="23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238" w:type="dxa"/>
            <w:vMerge w:val="restart"/>
            <w:tcBorders>
              <w:top w:val="single" w:sz="6" w:space="0" w:color="000000"/>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-19,342,121.91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-19,342,121.91</w:t>
            </w: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487,731,995.00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37,397,677.11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40,657,199.52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-188,062,627.28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-1,654,369.47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144,723,301.61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520,793,176.49</w:t>
            </w:r>
          </w:p>
        </w:tc>
        <w:tc>
          <w:tcPr>
            <w:tcW w:w="238" w:type="dxa"/>
            <w:vMerge/>
            <w:tcBorders>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tabs>
          <w:tab w:pos="3545" w:val="left" w:leader="none"/>
          <w:tab w:pos="7688"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after="0"/>
        <w:jc w:val="left"/>
        <w:rPr>
          <w:rFonts w:ascii="宋体" w:hAnsi="宋体" w:cs="宋体" w:eastAsia="宋体" w:hint="default"/>
          <w:sz w:val="18"/>
          <w:szCs w:val="18"/>
        </w:rPr>
        <w:sectPr>
          <w:pgSz w:w="16840" w:h="11910" w:orient="landscape"/>
          <w:pgMar w:header="867" w:footer="980" w:top="1060" w:bottom="1160" w:left="132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6840" w:h="11910" w:orient="landscape"/>
          <w:pgMar w:header="867" w:footer="980" w:top="1060" w:bottom="1160" w:left="1300" w:right="1300"/>
        </w:sectPr>
      </w:pPr>
    </w:p>
    <w:p>
      <w:pPr>
        <w:spacing w:line="36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1300"/>
          <w:cols w:num="2" w:equalWidth="0">
            <w:col w:w="3201" w:space="10040"/>
            <w:col w:w="999"/>
          </w:cols>
        </w:sectPr>
      </w:pP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53"/>
        <w:gridCol w:w="1505"/>
        <w:gridCol w:w="1702"/>
        <w:gridCol w:w="1416"/>
        <w:gridCol w:w="1135"/>
        <w:gridCol w:w="1277"/>
        <w:gridCol w:w="1417"/>
        <w:gridCol w:w="1418"/>
        <w:gridCol w:w="1416"/>
      </w:tblGrid>
      <w:tr>
        <w:trPr>
          <w:trHeight w:val="40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111" w:hanging="449"/>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1505" w:type="dxa"/>
            <w:vMerge/>
            <w:tcBorders>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1505"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-498,500,917.83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137,529,106.86</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-498,500,917.83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137,529,106.86</w:t>
            </w: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300"/>
        </w:sectPr>
      </w:pPr>
    </w:p>
    <w:p>
      <w:pPr>
        <w:spacing w:line="240" w:lineRule="auto" w:before="2"/>
        <w:rPr>
          <w:rFonts w:ascii="Times New Roman" w:hAnsi="Times New Roman" w:cs="Times New Roman" w:eastAsia="Times New Roman" w:hint="default"/>
          <w:sz w:val="3"/>
          <w:szCs w:val="3"/>
        </w:rPr>
      </w:pPr>
      <w:r>
        <w:rPr/>
        <w:pict>
          <v:shape style="position:absolute;margin-left:153.960007pt;margin-top:177.866013pt;width:115.15pt;height:19.6pt;mso-position-horizontal-relative:page;mso-position-vertical-relative:page;z-index:-8392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53.960007pt;margin-top:197.930008pt;width:115.15pt;height:19.6pt;mso-position-horizontal-relative:page;mso-position-vertical-relative:page;z-index:-8391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97.179993pt;margin-top:177.866013pt;width:71.95pt;height:39.65pt;mso-position-horizontal-relative:page;mso-position-vertical-relative:page;z-index:-839152" coordorigin="3944,3557" coordsize="1439,793">
            <v:group style="position:absolute;left:3944;top:3557;width:1439;height:392" coordorigin="3944,3557" coordsize="1439,392">
              <v:shape style="position:absolute;left:3944;top:3557;width:1439;height:392" coordorigin="3944,3557" coordsize="1439,392" path="m3944,3949l5382,3949,5382,3557,3944,3557,3944,3949xe" filled="true" fillcolor="#ffffff" stroked="false">
                <v:path arrowok="t"/>
                <v:fill type="solid"/>
              </v:shape>
            </v:group>
            <v:group style="position:absolute;left:3944;top:3959;width:1439;height:392" coordorigin="3944,3959" coordsize="1439,392">
              <v:shape style="position:absolute;left:3944;top:3959;width:1439;height:392" coordorigin="3944,3959" coordsize="1439,392" path="m3944,4350l5382,4350,5382,3959,3944,3959,3944,43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477"/>
        <w:gridCol w:w="1493"/>
        <w:gridCol w:w="1702"/>
        <w:gridCol w:w="1416"/>
        <w:gridCol w:w="1135"/>
        <w:gridCol w:w="1277"/>
        <w:gridCol w:w="1417"/>
        <w:gridCol w:w="1418"/>
        <w:gridCol w:w="1416"/>
        <w:gridCol w:w="238"/>
      </w:tblGrid>
      <w:tr>
        <w:trPr>
          <w:trHeight w:val="418" w:hRule="exact"/>
        </w:trPr>
        <w:tc>
          <w:tcPr>
            <w:tcW w:w="24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93"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238" w:type="dxa"/>
            <w:vMerge w:val="restart"/>
            <w:tcBorders>
              <w:top w:val="single" w:sz="6" w:space="0" w:color="000000"/>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4" w:hRule="exact"/>
        </w:trPr>
        <w:tc>
          <w:tcPr>
            <w:tcW w:w="247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1493" w:type="dxa"/>
            <w:tcBorders>
              <w:top w:val="single" w:sz="4" w:space="0" w:color="000000"/>
              <w:left w:val="single" w:sz="9" w:space="0" w:color="FFFFFF"/>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1493" w:type="dxa"/>
            <w:tcBorders>
              <w:top w:val="single" w:sz="4" w:space="0" w:color="000000"/>
              <w:left w:val="single" w:sz="9" w:space="0" w:color="FFFFFF"/>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7" w:right="0"/>
              <w:jc w:val="left"/>
              <w:rPr>
                <w:rFonts w:ascii="Times New Roman" w:hAnsi="Times New Roman" w:cs="Times New Roman" w:eastAsia="Times New Roman" w:hint="default"/>
                <w:sz w:val="18"/>
                <w:szCs w:val="18"/>
              </w:rPr>
            </w:pPr>
            <w:r>
              <w:rPr>
                <w:rFonts w:ascii="Times New Roman"/>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-504,704,954.90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6" w:right="0"/>
              <w:jc w:val="left"/>
              <w:rPr>
                <w:rFonts w:ascii="Times New Roman" w:hAnsi="Times New Roman" w:cs="Times New Roman" w:eastAsia="Times New Roman" w:hint="default"/>
                <w:sz w:val="18"/>
                <w:szCs w:val="18"/>
              </w:rPr>
            </w:pPr>
            <w:r>
              <w:rPr>
                <w:rFonts w:ascii="Times New Roman"/>
                <w:sz w:val="18"/>
              </w:rPr>
              <w:t>131,325,069.79</w:t>
            </w:r>
          </w:p>
        </w:tc>
        <w:tc>
          <w:tcPr>
            <w:tcW w:w="238"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72"/>
        <w:gridCol w:w="1486"/>
        <w:gridCol w:w="1702"/>
        <w:gridCol w:w="1416"/>
        <w:gridCol w:w="1135"/>
        <w:gridCol w:w="1277"/>
        <w:gridCol w:w="1417"/>
        <w:gridCol w:w="1418"/>
        <w:gridCol w:w="1416"/>
      </w:tblGrid>
      <w:tr>
        <w:trPr>
          <w:trHeight w:val="40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1" w:right="101" w:hanging="449"/>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1486" w:type="dxa"/>
            <w:vMerge/>
            <w:tcBorders>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1486"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-459,422,448.58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176,607,576.11</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-459,422,448.58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176,607,576.11</w:t>
            </w: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-39,078,469.25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-39,078,469.25</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-39,078,469.25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-39,078,469.25</w:t>
            </w: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-39,078,469.25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-39,078,469.25</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86"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300"/>
        </w:sectPr>
      </w:pPr>
    </w:p>
    <w:p>
      <w:pPr>
        <w:spacing w:line="240" w:lineRule="auto" w:before="11"/>
        <w:rPr>
          <w:rFonts w:ascii="宋体" w:hAnsi="宋体" w:cs="宋体" w:eastAsia="宋体" w:hint="default"/>
          <w:sz w:val="2"/>
          <w:szCs w:val="2"/>
        </w:rPr>
      </w:pPr>
      <w:r>
        <w:rPr/>
        <w:pict>
          <v:shape style="position:absolute;margin-left:154.914001pt;margin-top:97.460007pt;width:114.2pt;height:19.6pt;mso-position-horizontal-relative:page;mso-position-vertical-relative:page;z-index:-8391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54.936996pt;margin-top:117.500008pt;width:114.15pt;height:19.6pt;mso-position-horizontal-relative:page;mso-position-vertical-relative:page;z-index:-8390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97.059998pt;margin-top:96.920006pt;width:72.05pt;height:40.7pt;mso-position-horizontal-relative:page;mso-position-vertical-relative:page;z-index:-839056" coordorigin="3941,1938" coordsize="1441,814">
            <v:group style="position:absolute;left:3952;top:1949;width:2;height:392" coordorigin="3952,1949" coordsize="2,392">
              <v:shape style="position:absolute;left:3952;top:1949;width:2;height:392" coordorigin="3952,1949" coordsize="0,392" path="m3952,1949l3952,2340e" filled="false" stroked="true" strokeweight="1.08pt" strokecolor="#ffffff">
                <v:path arrowok="t"/>
              </v:shape>
            </v:group>
            <v:group style="position:absolute;left:3963;top:1949;width:1419;height:392" coordorigin="3963,1949" coordsize="1419,392">
              <v:shape style="position:absolute;left:3963;top:1949;width:1419;height:392" coordorigin="3963,1949" coordsize="1419,392" path="m3963,2340l5382,2340,5382,1949,3963,1949,3963,2340xe" filled="true" fillcolor="#ffffff" stroked="false">
                <v:path arrowok="t"/>
                <v:fill type="solid"/>
              </v:shape>
            </v:group>
            <v:group style="position:absolute;left:3952;top:2350;width:2;height:392" coordorigin="3952,2350" coordsize="2,392">
              <v:shape style="position:absolute;left:3952;top:2350;width:2;height:392" coordorigin="3952,2350" coordsize="0,392" path="m3952,2350l3952,2741e" filled="false" stroked="true" strokeweight="1.08pt" strokecolor="#ffffff">
                <v:path arrowok="t"/>
              </v:shape>
            </v:group>
            <v:group style="position:absolute;left:3963;top:2350;width:1419;height:392" coordorigin="3963,2350" coordsize="1419,392">
              <v:shape style="position:absolute;left:3963;top:2350;width:1419;height:392" coordorigin="3963,2350" coordsize="1419,392" path="m3963,2741l5382,2741,5382,2350,3963,2350,3963,274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496"/>
        <w:gridCol w:w="1474"/>
        <w:gridCol w:w="1702"/>
        <w:gridCol w:w="1416"/>
        <w:gridCol w:w="1135"/>
        <w:gridCol w:w="1277"/>
        <w:gridCol w:w="1417"/>
        <w:gridCol w:w="1418"/>
        <w:gridCol w:w="1416"/>
        <w:gridCol w:w="238"/>
      </w:tblGrid>
      <w:tr>
        <w:trPr>
          <w:trHeight w:val="418" w:hRule="exact"/>
        </w:trPr>
        <w:tc>
          <w:tcPr>
            <w:tcW w:w="249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238" w:type="dxa"/>
            <w:vMerge w:val="restart"/>
            <w:tcBorders>
              <w:top w:val="single" w:sz="6" w:space="0" w:color="000000"/>
              <w:left w:val="single" w:sz="4" w:space="0" w:color="000000"/>
              <w:right w:val="nil" w:sz="6" w:space="0" w:color="auto"/>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8" w:type="dxa"/>
            <w:vMerge/>
            <w:tcBorders>
              <w:left w:val="single" w:sz="4" w:space="0" w:color="000000"/>
              <w:right w:val="nil" w:sz="6" w:space="0" w:color="auto"/>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Times New Roman" w:hAnsi="Times New Roman" w:cs="Times New Roman" w:eastAsia="Times New Roman" w:hint="default"/>
                <w:sz w:val="18"/>
                <w:szCs w:val="18"/>
              </w:rPr>
            </w:pPr>
            <w:r>
              <w:rPr>
                <w:rFonts w:ascii="Times New Roman"/>
                <w:sz w:val="18"/>
              </w:rPr>
              <w:t>487,731,995.00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7" w:right="0"/>
              <w:jc w:val="left"/>
              <w:rPr>
                <w:rFonts w:ascii="Times New Roman" w:hAnsi="Times New Roman" w:cs="Times New Roman" w:eastAsia="Times New Roman" w:hint="default"/>
                <w:sz w:val="18"/>
                <w:szCs w:val="18"/>
              </w:rPr>
            </w:pPr>
            <w:r>
              <w:rPr>
                <w:rFonts w:ascii="Times New Roman"/>
                <w:sz w:val="18"/>
              </w:rPr>
              <w:t>119,506,224.01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28,791,805.68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-498,500,917.83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6" w:right="0"/>
              <w:jc w:val="left"/>
              <w:rPr>
                <w:rFonts w:ascii="Times New Roman" w:hAnsi="Times New Roman" w:cs="Times New Roman" w:eastAsia="Times New Roman" w:hint="default"/>
                <w:sz w:val="18"/>
                <w:szCs w:val="18"/>
              </w:rPr>
            </w:pPr>
            <w:r>
              <w:rPr>
                <w:rFonts w:ascii="Times New Roman"/>
                <w:sz w:val="18"/>
              </w:rPr>
              <w:t>137,529,106.86</w:t>
            </w:r>
          </w:p>
        </w:tc>
        <w:tc>
          <w:tcPr>
            <w:tcW w:w="238" w:type="dxa"/>
            <w:vMerge/>
            <w:tcBorders>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tabs>
          <w:tab w:pos="3545" w:val="left" w:leader="none"/>
          <w:tab w:pos="7688"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r>
      <w:r>
        <w:rPr>
          <w:rFonts w:ascii="宋体" w:hAnsi="宋体" w:cs="宋体" w:eastAsia="宋体" w:hint="default"/>
          <w:spacing w:val="-1"/>
          <w:sz w:val="18"/>
          <w:szCs w:val="18"/>
        </w:rPr>
        <w:t>主管会计工作负责人：郭峻峰</w:t>
        <w:tab/>
      </w:r>
      <w:r>
        <w:rPr>
          <w:rFonts w:ascii="宋体" w:hAnsi="宋体" w:cs="宋体" w:eastAsia="宋体" w:hint="default"/>
          <w:sz w:val="18"/>
          <w:szCs w:val="18"/>
        </w:rPr>
        <w:t>会计机构负责人：李帅红</w:t>
      </w:r>
    </w:p>
    <w:p>
      <w:pPr>
        <w:spacing w:after="0"/>
        <w:jc w:val="left"/>
        <w:rPr>
          <w:rFonts w:ascii="宋体" w:hAnsi="宋体" w:cs="宋体" w:eastAsia="宋体" w:hint="default"/>
          <w:sz w:val="18"/>
          <w:szCs w:val="18"/>
        </w:rPr>
        <w:sectPr>
          <w:pgSz w:w="16840" w:h="11910" w:orient="landscape"/>
          <w:pgMar w:header="867" w:footer="980" w:top="1060" w:bottom="1160" w:left="13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ind w:right="114"/>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line="259" w:lineRule="auto" w:before="0"/>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浙江华智控股股份有限公司（以下简称公司或本公司）系由重庆华智控股股份有限公司更名而来。其</w:t>
      </w:r>
      <w:r>
        <w:rPr>
          <w:rFonts w:ascii="宋体" w:hAnsi="宋体" w:cs="宋体" w:eastAsia="宋体" w:hint="default"/>
          <w:w w:val="100"/>
          <w:sz w:val="21"/>
          <w:szCs w:val="21"/>
        </w:rPr>
        <w:t> </w:t>
      </w:r>
      <w:r>
        <w:rPr>
          <w:rFonts w:ascii="宋体" w:hAnsi="宋体" w:cs="宋体" w:eastAsia="宋体" w:hint="default"/>
          <w:sz w:val="21"/>
          <w:szCs w:val="21"/>
        </w:rPr>
        <w:t>前身为重庆川仪股份有限公司，系于</w:t>
      </w:r>
      <w:r>
        <w:rPr>
          <w:rFonts w:ascii="Times New Roman" w:hAnsi="Times New Roman" w:cs="Times New Roman" w:eastAsia="Times New Roman" w:hint="default"/>
          <w:sz w:val="21"/>
          <w:szCs w:val="21"/>
        </w:rPr>
        <w:t>1993</w:t>
      </w:r>
      <w:r>
        <w:rPr>
          <w:rFonts w:ascii="宋体" w:hAnsi="宋体" w:cs="宋体" w:eastAsia="宋体" w:hint="default"/>
          <w:sz w:val="21"/>
          <w:szCs w:val="21"/>
        </w:rPr>
        <w:t>年经重庆市体改委体改发</w:t>
      </w:r>
      <w:r>
        <w:rPr>
          <w:rFonts w:ascii="Times New Roman" w:hAnsi="Times New Roman" w:cs="Times New Roman" w:eastAsia="Times New Roman" w:hint="default"/>
          <w:sz w:val="21"/>
          <w:szCs w:val="21"/>
        </w:rPr>
        <w:t>[93]30</w:t>
      </w:r>
      <w:r>
        <w:rPr>
          <w:rFonts w:ascii="宋体" w:hAnsi="宋体" w:cs="宋体" w:eastAsia="宋体" w:hint="default"/>
          <w:sz w:val="21"/>
          <w:szCs w:val="21"/>
        </w:rPr>
        <w:t>号文批准设立的定向募集股份有</w:t>
      </w:r>
      <w:r>
        <w:rPr>
          <w:rFonts w:ascii="宋体" w:hAnsi="宋体" w:cs="宋体" w:eastAsia="宋体" w:hint="default"/>
          <w:spacing w:val="-56"/>
          <w:sz w:val="21"/>
          <w:szCs w:val="21"/>
        </w:rPr>
        <w:t> </w:t>
      </w:r>
      <w:r>
        <w:rPr>
          <w:rFonts w:ascii="宋体" w:hAnsi="宋体" w:cs="宋体" w:eastAsia="宋体" w:hint="default"/>
          <w:spacing w:val="-2"/>
          <w:sz w:val="21"/>
          <w:szCs w:val="21"/>
        </w:rPr>
        <w:t>限公司，于</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月和</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月分别进行了股权转让和重大资产重组，华方医药科技有限公司（原名华立产业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集团有限公司，以下简称华方医药）成为公司第一大股东。</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月公司更名为重庆华立控股股份有限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公司，</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月更名为重庆华立药业股份有限公司。根据</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日华方医药与华立集团股份有限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公司（以下简称华立集团）签订的股权转让合同，华方医药将持有公司</w:t>
      </w:r>
      <w:r>
        <w:rPr>
          <w:rFonts w:ascii="Times New Roman" w:hAnsi="Times New Roman" w:cs="Times New Roman" w:eastAsia="Times New Roman" w:hint="default"/>
          <w:spacing w:val="-3"/>
          <w:sz w:val="21"/>
          <w:szCs w:val="21"/>
        </w:rPr>
        <w:t>23.52%</w:t>
      </w:r>
      <w:r>
        <w:rPr>
          <w:rFonts w:ascii="宋体" w:hAnsi="宋体" w:cs="宋体" w:eastAsia="宋体" w:hint="default"/>
          <w:spacing w:val="-3"/>
          <w:sz w:val="21"/>
          <w:szCs w:val="21"/>
        </w:rPr>
        <w:t>的股份转让给华立集团，华</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立集团成为公司第一大股东。</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日，公司名称变更为重庆华智控股股份有限公司。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公司更名为浙江华智控股股份有限公司。</w:t>
      </w:r>
    </w:p>
    <w:p>
      <w:pPr>
        <w:spacing w:line="256" w:lineRule="auto" w:before="20"/>
        <w:ind w:left="152" w:right="2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宋体" w:hAnsi="宋体" w:cs="宋体" w:eastAsia="宋体" w:hint="default"/>
          <w:sz w:val="21"/>
          <w:szCs w:val="21"/>
        </w:rPr>
        <w:t>年公司经批准向社会公开发行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股股票，同年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4,500</w:t>
      </w:r>
      <w:r>
        <w:rPr>
          <w:rFonts w:ascii="宋体" w:hAnsi="宋体" w:cs="宋体" w:eastAsia="宋体" w:hint="default"/>
          <w:sz w:val="21"/>
          <w:szCs w:val="21"/>
        </w:rPr>
        <w:t>万股人民币普通股股票在深交所挂</w:t>
      </w:r>
      <w:r>
        <w:rPr>
          <w:rFonts w:ascii="宋体" w:hAnsi="宋体" w:cs="宋体" w:eastAsia="宋体" w:hint="default"/>
          <w:w w:val="100"/>
          <w:sz w:val="21"/>
          <w:szCs w:val="21"/>
        </w:rPr>
        <w:t> </w:t>
      </w:r>
      <w:r>
        <w:rPr>
          <w:rFonts w:ascii="宋体" w:hAnsi="宋体" w:cs="宋体" w:eastAsia="宋体" w:hint="default"/>
          <w:spacing w:val="-3"/>
          <w:sz w:val="21"/>
          <w:szCs w:val="21"/>
        </w:rPr>
        <w:t>牌上市。经历次增资，截至</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日，公司注册资本</w:t>
      </w:r>
      <w:r>
        <w:rPr>
          <w:rFonts w:ascii="Times New Roman" w:hAnsi="Times New Roman" w:cs="Times New Roman" w:eastAsia="Times New Roman" w:hint="default"/>
          <w:spacing w:val="-3"/>
          <w:sz w:val="21"/>
          <w:szCs w:val="21"/>
        </w:rPr>
        <w:t>487,731,995.00</w:t>
      </w:r>
      <w:r>
        <w:rPr>
          <w:rFonts w:ascii="宋体" w:hAnsi="宋体" w:cs="宋体" w:eastAsia="宋体" w:hint="default"/>
          <w:spacing w:val="-3"/>
          <w:sz w:val="21"/>
          <w:szCs w:val="21"/>
        </w:rPr>
        <w:t>元，股份</w:t>
      </w:r>
      <w:r>
        <w:rPr>
          <w:rFonts w:ascii="Times New Roman" w:hAnsi="Times New Roman" w:cs="Times New Roman" w:eastAsia="Times New Roman" w:hint="default"/>
          <w:spacing w:val="-3"/>
          <w:sz w:val="21"/>
          <w:szCs w:val="21"/>
        </w:rPr>
        <w:t>487,731,995</w:t>
      </w:r>
      <w:r>
        <w:rPr>
          <w:rFonts w:ascii="宋体" w:hAnsi="宋体" w:cs="宋体" w:eastAsia="宋体" w:hint="default"/>
          <w:spacing w:val="-3"/>
          <w:sz w:val="21"/>
          <w:szCs w:val="21"/>
        </w:rPr>
        <w:t>股，均为无</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限售条件流通股。</w:t>
      </w:r>
    </w:p>
    <w:p>
      <w:pPr>
        <w:spacing w:line="273" w:lineRule="auto" w:before="22"/>
        <w:ind w:left="152" w:right="114" w:firstLine="420"/>
        <w:jc w:val="left"/>
        <w:rPr>
          <w:rFonts w:ascii="宋体" w:hAnsi="宋体" w:cs="宋体" w:eastAsia="宋体" w:hint="default"/>
          <w:sz w:val="21"/>
          <w:szCs w:val="21"/>
        </w:rPr>
      </w:pPr>
      <w:r>
        <w:rPr>
          <w:rFonts w:ascii="宋体" w:hAnsi="宋体" w:cs="宋体" w:eastAsia="宋体" w:hint="default"/>
          <w:sz w:val="21"/>
          <w:szCs w:val="21"/>
        </w:rPr>
        <w:t>本公司属仪器仪表行业。公司经营范围：仪器仪表、仪表元器件、家用电器、电子产品、电工器材及</w:t>
      </w:r>
      <w:r>
        <w:rPr>
          <w:rFonts w:ascii="宋体" w:hAnsi="宋体" w:cs="宋体" w:eastAsia="宋体" w:hint="default"/>
          <w:w w:val="100"/>
          <w:sz w:val="21"/>
          <w:szCs w:val="21"/>
        </w:rPr>
        <w:t> </w:t>
      </w:r>
      <w:r>
        <w:rPr>
          <w:rFonts w:ascii="宋体" w:hAnsi="宋体" w:cs="宋体" w:eastAsia="宋体" w:hint="default"/>
          <w:spacing w:val="-2"/>
          <w:sz w:val="21"/>
          <w:szCs w:val="21"/>
        </w:rPr>
        <w:t>原材料、机电一体化设备、计算机及工业控制软件的销售，电力自动化系统、电力信息系统开发、设计及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相关产品的销售，电力电子设备及电网终端设备、电力通讯设备、高低压电器的开发、设计、销售，电力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管理软件的技术开发、技术服务，仪器仪表技术开发、技术咨询、技术服务，计算机网络信息技术开发，</w:t>
      </w:r>
      <w:r>
        <w:rPr>
          <w:rFonts w:ascii="宋体" w:hAnsi="宋体" w:cs="宋体" w:eastAsia="宋体" w:hint="default"/>
          <w:w w:val="100"/>
          <w:sz w:val="21"/>
          <w:szCs w:val="21"/>
        </w:rPr>
        <w:t> </w:t>
      </w:r>
      <w:r>
        <w:rPr>
          <w:rFonts w:ascii="宋体" w:hAnsi="宋体" w:cs="宋体" w:eastAsia="宋体" w:hint="default"/>
          <w:spacing w:val="-2"/>
          <w:sz w:val="21"/>
          <w:szCs w:val="21"/>
        </w:rPr>
        <w:t>仪器仪表新产品的科技开发及咨询服务，从事投资业务，本企业生产的仪器仪表、仪表元器件的配送（不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含货物运输）及相关配送信息咨询服务，货物进出口，技术进出口（以上经营范围不含国家法律法规禁止、</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限制和许可经营的项目）。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before="0"/>
        <w:ind w:right="114"/>
        <w:jc w:val="left"/>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spacing w:line="506" w:lineRule="auto" w:before="0"/>
        <w:ind w:left="405" w:right="3917" w:hanging="25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590" w:lineRule="atLeast" w:before="117"/>
        <w:ind w:left="573" w:right="11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本公司所编制的财务报表符合企业会计准则的要求，真实、完整地反映了公司的财务状况、经营成果</w:t>
      </w:r>
    </w:p>
    <w:p>
      <w:pPr>
        <w:spacing w:before="37"/>
        <w:ind w:left="152" w:right="114" w:firstLine="0"/>
        <w:jc w:val="left"/>
        <w:rPr>
          <w:rFonts w:ascii="宋体" w:hAnsi="宋体" w:cs="宋体" w:eastAsia="宋体" w:hint="default"/>
          <w:sz w:val="21"/>
          <w:szCs w:val="21"/>
        </w:rPr>
      </w:pPr>
      <w:r>
        <w:rPr>
          <w:rFonts w:ascii="宋体" w:hAnsi="宋体" w:cs="宋体" w:eastAsia="宋体" w:hint="default"/>
          <w:sz w:val="21"/>
          <w:szCs w:val="21"/>
        </w:rPr>
        <w:t>和现金流量等有关信息。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after="0"/>
        <w:jc w:val="left"/>
        <w:rPr>
          <w:rFonts w:ascii="宋体" w:hAnsi="宋体" w:cs="宋体" w:eastAsia="宋体" w:hint="default"/>
          <w:sz w:val="21"/>
          <w:szCs w:val="21"/>
        </w:rPr>
        <w:sectPr>
          <w:headerReference w:type="default" r:id="rId23"/>
          <w:footerReference w:type="default" r:id="rId24"/>
          <w:pgSz w:w="11910" w:h="16840"/>
          <w:pgMar w:header="877" w:footer="979" w:top="1100" w:bottom="1160" w:left="980" w:right="920"/>
          <w:pgNumType w:start="74"/>
        </w:sectPr>
      </w:pPr>
    </w:p>
    <w:p>
      <w:pPr>
        <w:spacing w:line="240" w:lineRule="auto" w:before="12"/>
        <w:rPr>
          <w:rFonts w:ascii="宋体" w:hAnsi="宋体" w:cs="宋体" w:eastAsia="宋体" w:hint="default"/>
          <w:sz w:val="20"/>
          <w:szCs w:val="20"/>
        </w:rPr>
      </w:pPr>
    </w:p>
    <w:p>
      <w:pPr>
        <w:spacing w:before="36"/>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600" w:lineRule="atLeast" w:before="12"/>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公司在企业合并中取得的资产和负债，按照合并日在被合并方的账面价值计量。公司取得的净资产账</w:t>
      </w:r>
    </w:p>
    <w:p>
      <w:pPr>
        <w:spacing w:line="273"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5"/>
          <w:sz w:val="21"/>
          <w:szCs w:val="21"/>
        </w:rPr>
        <w:t>面价值与支付的合并对价账面价值（或发行股份面值总额）的差额，调整资本公积；资本公积不足冲减的，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调整留存收益。</w:t>
      </w:r>
    </w:p>
    <w:p>
      <w:pPr>
        <w:spacing w:line="240" w:lineRule="auto" w:before="6"/>
        <w:rPr>
          <w:rFonts w:ascii="宋体" w:hAnsi="宋体" w:cs="宋体" w:eastAsia="宋体" w:hint="default"/>
          <w:sz w:val="24"/>
          <w:szCs w:val="24"/>
        </w:rPr>
      </w:pPr>
    </w:p>
    <w:p>
      <w:pPr>
        <w:spacing w:line="59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公司在购买日对合并成本大于合并中取得的被购买方可辨认净资产公允价值份额的差额，确认为商</w:t>
      </w:r>
    </w:p>
    <w:p>
      <w:pPr>
        <w:spacing w:line="273" w:lineRule="auto" w:before="37"/>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誉；如果合并成本小于合并中取得的被购买方可辨认净资产公允价值份额，首先对取得的被购买方各项可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辨认资产、负债及或有负债的公允价值以及合并成本的计量进行复核，经复核后合并成本仍小于合并中取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590" w:lineRule="atLeast" w:before="24"/>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母公司将其控制的所有子公司纳入合并财务报表的合并范围。合并财务报表以母公司及其子公司的财</w:t>
      </w:r>
    </w:p>
    <w:p>
      <w:pPr>
        <w:spacing w:line="273"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2"/>
          <w:sz w:val="21"/>
          <w:szCs w:val="21"/>
        </w:rPr>
        <w:t>务报表为基础，根据其他有关资料，按照权益法调整对子公司的长期股权投资后，由母公司按照《企业会</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合并财务报表》编制。</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590" w:lineRule="atLeast" w:before="25"/>
        <w:ind w:left="573" w:right="11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列示于现金流量表中的现金是指库存现金以及可以随时用于支付的存款。现金等价物是指企业持有的</w:t>
      </w:r>
    </w:p>
    <w:p>
      <w:pPr>
        <w:spacing w:before="37"/>
        <w:ind w:left="152" w:right="114" w:firstLine="0"/>
        <w:jc w:val="left"/>
        <w:rPr>
          <w:rFonts w:ascii="宋体" w:hAnsi="宋体" w:cs="宋体" w:eastAsia="宋体" w:hint="default"/>
          <w:sz w:val="21"/>
          <w:szCs w:val="21"/>
        </w:rPr>
      </w:pPr>
      <w:r>
        <w:rPr>
          <w:rFonts w:ascii="宋体" w:hAnsi="宋体" w:cs="宋体" w:eastAsia="宋体" w:hint="default"/>
          <w:sz w:val="21"/>
          <w:szCs w:val="21"/>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73" w:lineRule="auto" w:before="0"/>
        <w:ind w:left="152" w:right="114" w:firstLine="420"/>
        <w:jc w:val="left"/>
        <w:rPr>
          <w:rFonts w:ascii="宋体" w:hAnsi="宋体" w:cs="宋体" w:eastAsia="宋体" w:hint="default"/>
          <w:sz w:val="21"/>
          <w:szCs w:val="21"/>
        </w:rPr>
      </w:pPr>
      <w:r>
        <w:rPr>
          <w:rFonts w:ascii="宋体" w:hAnsi="宋体" w:cs="宋体" w:eastAsia="宋体" w:hint="default"/>
          <w:spacing w:val="-2"/>
          <w:sz w:val="21"/>
          <w:szCs w:val="21"/>
        </w:rPr>
        <w:t>外币交易在初始确认时，采用交易发生日的即期汇率折算为人民币金额。资产负债表日，外币货币性</w:t>
      </w:r>
      <w:r>
        <w:rPr>
          <w:rFonts w:ascii="宋体" w:hAnsi="宋体" w:cs="宋体" w:eastAsia="宋体" w:hint="default"/>
          <w:w w:val="100"/>
          <w:sz w:val="21"/>
          <w:szCs w:val="21"/>
        </w:rPr>
        <w:t> </w:t>
      </w:r>
      <w:r>
        <w:rPr>
          <w:rFonts w:ascii="宋体" w:hAnsi="宋体" w:cs="宋体" w:eastAsia="宋体" w:hint="default"/>
          <w:spacing w:val="-2"/>
          <w:sz w:val="21"/>
          <w:szCs w:val="21"/>
        </w:rPr>
        <w:t>项目采用资产负债表日即期汇率折算，因汇率不同而产生的汇兑差额，除与购建符合资本化条件资产有关</w:t>
      </w:r>
    </w:p>
    <w:p>
      <w:pPr>
        <w:spacing w:after="0" w:line="273" w:lineRule="auto"/>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spacing w:line="273" w:lineRule="auto" w:before="36"/>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的外币专门借款本金及利息的汇兑差额外，计入当期损益；以历史成本计量的外币非货币性项目仍采用交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易发生日的即期汇率折算，不改变其人民币金额；以公允价值计量的外币非货币性项目，采用公允价值确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定日的即期汇率折算，差额计入当期损益或资本公积。</w:t>
      </w:r>
    </w:p>
    <w:p>
      <w:pPr>
        <w:spacing w:line="240" w:lineRule="auto" w:before="13"/>
        <w:rPr>
          <w:rFonts w:ascii="宋体" w:hAnsi="宋体" w:cs="宋体" w:eastAsia="宋体" w:hint="default"/>
          <w:sz w:val="22"/>
          <w:szCs w:val="22"/>
        </w:rPr>
      </w:pPr>
    </w:p>
    <w:p>
      <w:pPr>
        <w:spacing w:line="61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spacing w:line="256" w:lineRule="auto" w:before="21"/>
        <w:ind w:left="152" w:right="157" w:firstLine="0"/>
        <w:jc w:val="both"/>
        <w:rPr>
          <w:rFonts w:ascii="宋体" w:hAnsi="宋体" w:cs="宋体" w:eastAsia="宋体" w:hint="default"/>
          <w:sz w:val="21"/>
          <w:szCs w:val="21"/>
        </w:rPr>
      </w:pPr>
      <w:r>
        <w:rPr>
          <w:rFonts w:ascii="宋体" w:hAnsi="宋体" w:cs="宋体" w:eastAsia="宋体" w:hint="default"/>
          <w:sz w:val="21"/>
          <w:szCs w:val="21"/>
        </w:rPr>
        <w:t>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项目外，其他项目采用交易发生日的即期汇率折算；利润表中的收入和费用项目，采用全年平均汇率</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折算。按照上述折算产生的外币财务报表折算差额，在资产负债表中所有者权益项目下单独列示。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金融资产在初始确认时划分为以下四类：以公允价值计量且其变动计入当期损益的金融资产（包括交</w:t>
      </w:r>
    </w:p>
    <w:p>
      <w:pPr>
        <w:spacing w:line="273" w:lineRule="auto" w:before="37"/>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易性金融资产和指定为以公允价值计量且其变动计入当期损益的金融资产）、持有至到期投资、贷款和应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收款项、可供出售金融资产。</w:t>
      </w:r>
    </w:p>
    <w:p>
      <w:pPr>
        <w:spacing w:line="273" w:lineRule="auto" w:before="7"/>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金融负债在初始确认时划分为以下两类：以公允价值计量且其变动计入当期损益的金融负债（包括交</w:t>
      </w:r>
      <w:r>
        <w:rPr>
          <w:rFonts w:ascii="宋体" w:hAnsi="宋体" w:cs="宋体" w:eastAsia="宋体" w:hint="default"/>
          <w:w w:val="100"/>
          <w:sz w:val="21"/>
          <w:szCs w:val="21"/>
        </w:rPr>
        <w:t> </w:t>
      </w:r>
      <w:r>
        <w:rPr>
          <w:rFonts w:ascii="宋体" w:hAnsi="宋体" w:cs="宋体" w:eastAsia="宋体" w:hint="default"/>
          <w:sz w:val="21"/>
          <w:szCs w:val="21"/>
        </w:rPr>
        <w:t>易性金融负债和指定为以公允价值计量且其变动计入当期损益的金融负债）、其他金融负债。</w:t>
      </w:r>
    </w:p>
    <w:p>
      <w:pPr>
        <w:spacing w:line="240" w:lineRule="auto" w:before="7"/>
        <w:rPr>
          <w:rFonts w:ascii="宋体" w:hAnsi="宋体" w:cs="宋体" w:eastAsia="宋体" w:hint="default"/>
          <w:sz w:val="24"/>
          <w:szCs w:val="24"/>
        </w:rPr>
      </w:pPr>
    </w:p>
    <w:p>
      <w:pPr>
        <w:spacing w:line="59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公司成为金融工具合同的一方时，确认一项金融资产或金融负债。初始确认金融资产或金融负债时，</w:t>
      </w:r>
    </w:p>
    <w:p>
      <w:pPr>
        <w:spacing w:line="273" w:lineRule="auto" w:before="37"/>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按照公允价值计量；对于以公允价值计量且其变动计入当期损益的金融资产和金融负债，相关交易费用直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接计入当期损益；对于其他类别的金融资产或金融负债，相关交易费用计入初始确认金额。</w:t>
      </w:r>
    </w:p>
    <w:p>
      <w:pPr>
        <w:spacing w:line="266" w:lineRule="auto" w:before="7"/>
        <w:ind w:left="152" w:right="124" w:firstLine="420"/>
        <w:jc w:val="both"/>
        <w:rPr>
          <w:rFonts w:ascii="宋体" w:hAnsi="宋体" w:cs="宋体" w:eastAsia="宋体" w:hint="default"/>
          <w:sz w:val="21"/>
          <w:szCs w:val="21"/>
        </w:rPr>
      </w:pPr>
      <w:r>
        <w:rPr>
          <w:rFonts w:ascii="宋体" w:hAnsi="宋体" w:cs="宋体" w:eastAsia="宋体" w:hint="default"/>
          <w:spacing w:val="-2"/>
          <w:sz w:val="21"/>
          <w:szCs w:val="21"/>
        </w:rPr>
        <w:t>公司按照公允价值对金融资产进行后续计量，且不扣除将来处置该金融资产时可能发生的交易费用，</w:t>
      </w:r>
      <w:r>
        <w:rPr>
          <w:rFonts w:ascii="宋体" w:hAnsi="宋体" w:cs="宋体" w:eastAsia="宋体" w:hint="default"/>
          <w:w w:val="100"/>
          <w:sz w:val="21"/>
          <w:szCs w:val="21"/>
        </w:rPr>
        <w:t> </w:t>
      </w:r>
      <w:r>
        <w:rPr>
          <w:rFonts w:ascii="宋体" w:hAnsi="宋体" w:cs="宋体" w:eastAsia="宋体" w:hint="default"/>
          <w:spacing w:val="-3"/>
          <w:sz w:val="21"/>
          <w:szCs w:val="21"/>
        </w:rPr>
        <w:t>但下列情况除外：</w:t>
      </w:r>
      <w:r>
        <w:rPr>
          <w:rFonts w:ascii="Times New Roman" w:hAnsi="Times New Roman" w:cs="Times New Roman" w:eastAsia="Times New Roman" w:hint="default"/>
          <w:spacing w:val="-3"/>
          <w:sz w:val="21"/>
          <w:szCs w:val="21"/>
        </w:rPr>
        <w:t>(1) </w:t>
      </w:r>
      <w:r>
        <w:rPr>
          <w:rFonts w:ascii="宋体" w:hAnsi="宋体" w:cs="宋体" w:eastAsia="宋体" w:hint="default"/>
          <w:spacing w:val="-3"/>
          <w:sz w:val="21"/>
          <w:szCs w:val="21"/>
        </w:rPr>
        <w:t>持有至到期投资以及贷款和应收款项采用实际利率法，按摊余成本计量；</w:t>
      </w:r>
      <w:r>
        <w:rPr>
          <w:rFonts w:ascii="Times New Roman" w:hAnsi="Times New Roman" w:cs="Times New Roman" w:eastAsia="Times New Roman" w:hint="default"/>
          <w:spacing w:val="-3"/>
          <w:sz w:val="21"/>
          <w:szCs w:val="21"/>
        </w:rPr>
        <w:t>(2) </w:t>
      </w:r>
      <w:r>
        <w:rPr>
          <w:rFonts w:ascii="宋体" w:hAnsi="宋体" w:cs="宋体" w:eastAsia="宋体" w:hint="default"/>
          <w:spacing w:val="-3"/>
          <w:sz w:val="21"/>
          <w:szCs w:val="21"/>
        </w:rPr>
        <w:t>在活跃</w:t>
      </w:r>
      <w:r>
        <w:rPr>
          <w:rFonts w:ascii="宋体" w:hAnsi="宋体" w:cs="宋体" w:eastAsia="宋体" w:hint="default"/>
          <w:spacing w:val="-52"/>
          <w:sz w:val="21"/>
          <w:szCs w:val="21"/>
        </w:rPr>
        <w:t> </w:t>
      </w:r>
      <w:r>
        <w:rPr>
          <w:rFonts w:ascii="宋体" w:hAnsi="宋体" w:cs="宋体" w:eastAsia="宋体" w:hint="default"/>
          <w:spacing w:val="-2"/>
          <w:sz w:val="21"/>
          <w:szCs w:val="21"/>
        </w:rPr>
        <w:t>市场中没有报价且其公允价值不能可靠计量的权益工具投资，以及与该权益工具挂钩并须通过交付该权益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工具结算的衍生金融资产，按照成本计量。</w:t>
      </w:r>
    </w:p>
    <w:p>
      <w:pPr>
        <w:spacing w:line="261" w:lineRule="auto" w:before="14"/>
        <w:ind w:left="152" w:right="146" w:firstLine="420"/>
        <w:jc w:val="both"/>
        <w:rPr>
          <w:rFonts w:ascii="宋体" w:hAnsi="宋体" w:cs="宋体" w:eastAsia="宋体" w:hint="default"/>
          <w:sz w:val="21"/>
          <w:szCs w:val="21"/>
        </w:rPr>
      </w:pPr>
      <w:r>
        <w:rPr>
          <w:rFonts w:ascii="宋体" w:hAnsi="宋体" w:cs="宋体" w:eastAsia="宋体" w:hint="default"/>
          <w:sz w:val="21"/>
          <w:szCs w:val="21"/>
        </w:rPr>
        <w:t>公司采用实际利率法，按摊余成本对金融负债进行后续计量，但下列情况除外：</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且其变动计入当期损益的金融负债，按照公允价值计量，且不扣除将来结清金融负债时可能发生的交易费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用；</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与在活跃市场中没有报价、公允价值不能可靠计量的权益工具挂钩并须通过交付该权益工具结算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的衍生金融负债，按照成本计量；</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不属于指定为以公允价值计量且其变动计入当期损益的金融负债的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财务担保合同，或没有指定为以公允价值计量且其变动计入当期损益并将以低于市场利率贷款的贷款承</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诺，在初始确认后按照下列两项金额之中的较高者进行后续计量：</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按照《企业会计准则第</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或有</w:t>
      </w:r>
      <w:r>
        <w:rPr>
          <w:rFonts w:ascii="宋体" w:hAnsi="宋体" w:cs="宋体" w:eastAsia="宋体" w:hint="default"/>
          <w:spacing w:val="-92"/>
          <w:sz w:val="21"/>
          <w:szCs w:val="21"/>
        </w:rPr>
        <w:t> </w:t>
      </w:r>
      <w:r>
        <w:rPr>
          <w:rFonts w:ascii="宋体" w:hAnsi="宋体" w:cs="宋体" w:eastAsia="宋体" w:hint="default"/>
          <w:spacing w:val="-5"/>
          <w:sz w:val="21"/>
          <w:szCs w:val="21"/>
        </w:rPr>
        <w:t>事项》确定的金额；</w:t>
      </w:r>
      <w:r>
        <w:rPr>
          <w:rFonts w:ascii="Times New Roman" w:hAnsi="Times New Roman" w:cs="Times New Roman" w:eastAsia="Times New Roman" w:hint="default"/>
          <w:spacing w:val="-5"/>
          <w:sz w:val="21"/>
          <w:szCs w:val="21"/>
        </w:rPr>
        <w:t>2) </w:t>
      </w:r>
      <w:r>
        <w:rPr>
          <w:rFonts w:ascii="宋体" w:hAnsi="宋体" w:cs="宋体" w:eastAsia="宋体" w:hint="default"/>
          <w:spacing w:val="-3"/>
          <w:sz w:val="21"/>
          <w:szCs w:val="21"/>
        </w:rPr>
        <w:t>初始确认金额扣除按照《企业会计准则第</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收入》的原则确定的累积摊销额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后的余额。</w:t>
      </w:r>
    </w:p>
    <w:p>
      <w:pPr>
        <w:spacing w:line="264" w:lineRule="auto" w:before="18"/>
        <w:ind w:left="152" w:right="146" w:firstLine="420"/>
        <w:jc w:val="both"/>
        <w:rPr>
          <w:rFonts w:ascii="宋体" w:hAnsi="宋体" w:cs="宋体" w:eastAsia="宋体" w:hint="default"/>
          <w:sz w:val="21"/>
          <w:szCs w:val="21"/>
        </w:rPr>
      </w:pPr>
      <w:r>
        <w:rPr>
          <w:rFonts w:ascii="宋体" w:hAnsi="宋体" w:cs="宋体" w:eastAsia="宋体" w:hint="default"/>
          <w:spacing w:val="-3"/>
          <w:sz w:val="21"/>
          <w:szCs w:val="21"/>
        </w:rPr>
        <w:t>金融资产或金融负债公允价值变动形成的利得或损失，除与套期保值有关外，按照如下方法处理：</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以公允价值计量且其变动计入当期损益的金融资产或金融负债公允价值变动形成的利得或损失，计入公允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价值变动损益；在资产持有期间所取得的利息或现金股利，确认为投资收益；处置时，将实际收到的金额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与初始入账金额之间的差额确认为投资收益，同时调整公允价值变动损益。</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可供出售金融资产的公允</w:t>
      </w:r>
      <w:r>
        <w:rPr>
          <w:rFonts w:ascii="宋体" w:hAnsi="宋体" w:cs="宋体" w:eastAsia="宋体" w:hint="default"/>
          <w:w w:val="100"/>
          <w:sz w:val="21"/>
          <w:szCs w:val="21"/>
        </w:rPr>
        <w:t> </w:t>
      </w:r>
      <w:r>
        <w:rPr>
          <w:rFonts w:ascii="宋体" w:hAnsi="宋体" w:cs="宋体" w:eastAsia="宋体" w:hint="default"/>
          <w:spacing w:val="-2"/>
          <w:sz w:val="21"/>
          <w:szCs w:val="21"/>
        </w:rPr>
        <w:t>价值变动计入资本公积；持有期间按实际利率法计算的利息，计入投资收益；可供出售权益工具投资的现</w:t>
      </w:r>
    </w:p>
    <w:p>
      <w:pPr>
        <w:spacing w:after="0" w:line="264" w:lineRule="auto"/>
        <w:jc w:val="both"/>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line="273" w:lineRule="auto" w:before="36"/>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金股利，于被投资单位宣告发放股利时计入投资收益；处置时，将实际收到的金额与账面价值扣除原直接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计入资本公积的公允价值变动累计额之后的差额确认为投资收益。</w:t>
      </w:r>
    </w:p>
    <w:p>
      <w:pPr>
        <w:spacing w:line="240" w:lineRule="auto" w:before="10"/>
        <w:rPr>
          <w:rFonts w:ascii="宋体" w:hAnsi="宋体" w:cs="宋体" w:eastAsia="宋体" w:hint="default"/>
          <w:sz w:val="23"/>
          <w:szCs w:val="23"/>
        </w:rPr>
      </w:pPr>
    </w:p>
    <w:p>
      <w:pPr>
        <w:spacing w:line="60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公司已将金融资产所有权上几乎所有的风险和报酬转移给了转入方的，终止确认该金融资产；保留了</w:t>
      </w:r>
    </w:p>
    <w:p>
      <w:pPr>
        <w:spacing w:line="261" w:lineRule="auto" w:before="37"/>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金融资产所有权上几乎所有的风险和报酬的，继续确认所转移的金融资产，并将收到的对价确认为一项金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融负债。公司既没有转移也没有保留金融资产所有权上几乎所有的风险和报酬的，分别下列情况处理：</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pacing w:val="25"/>
          <w:sz w:val="21"/>
          <w:szCs w:val="21"/>
        </w:rPr>
      </w:r>
      <w:r>
        <w:rPr>
          <w:rFonts w:ascii="宋体" w:hAnsi="宋体" w:cs="宋体" w:eastAsia="宋体" w:hint="default"/>
          <w:sz w:val="21"/>
          <w:szCs w:val="21"/>
        </w:rPr>
        <w:t>放弃了对该金融资产控制的，终止确认该金融资产；</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未放弃对该金融资产控制的，按照继续涉入所转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移金融资产的程度确认有关金融资产，并相应确认有关负债。</w:t>
      </w:r>
    </w:p>
    <w:p>
      <w:pPr>
        <w:spacing w:line="261" w:lineRule="auto" w:before="19"/>
        <w:ind w:left="152" w:right="206" w:firstLine="420"/>
        <w:jc w:val="both"/>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所转移金融资产</w:t>
      </w:r>
      <w:r>
        <w:rPr>
          <w:rFonts w:ascii="宋体" w:hAnsi="宋体" w:cs="宋体" w:eastAsia="宋体" w:hint="default"/>
          <w:w w:val="100"/>
          <w:sz w:val="21"/>
          <w:szCs w:val="21"/>
        </w:rPr>
        <w:t> </w:t>
      </w:r>
      <w:r>
        <w:rPr>
          <w:rFonts w:ascii="宋体" w:hAnsi="宋体" w:cs="宋体" w:eastAsia="宋体" w:hint="default"/>
          <w:sz w:val="21"/>
          <w:szCs w:val="21"/>
        </w:rPr>
        <w:t>的账面价值；</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因转移而收到的对价，与原直接计入所有者权益的公允价值变动累计额之和。金融资产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部分转移满足终止确认条件的，将所转移金融资产整体的账面价值，在终止确认部分和未终止确认部分之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间，按照各自的相对公允价值进行分摊，并将下列两项金额的差额计入当期损益：</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终止确认部分的账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面价值；</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终止确认部分的对价，与原直接计入所有者权益的公允价值变动累计额中对应终止确认部分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的金额之和。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line="506" w:lineRule="auto"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当金融负债的现时义务全部或部分解除时，相应终止确认该金融负债或其一部分。</w:t>
      </w:r>
    </w:p>
    <w:p>
      <w:pPr>
        <w:spacing w:line="600" w:lineRule="atLeast" w:before="106"/>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存在活跃市场的金融资产或金融负债，以活跃市场的报价确定其公允价值；不存在活跃市场的金融资</w:t>
      </w:r>
    </w:p>
    <w:p>
      <w:pPr>
        <w:spacing w:line="273" w:lineRule="auto" w:before="37"/>
        <w:ind w:left="152" w:right="185" w:firstLine="0"/>
        <w:jc w:val="both"/>
        <w:rPr>
          <w:rFonts w:ascii="宋体" w:hAnsi="宋体" w:cs="宋体" w:eastAsia="宋体" w:hint="default"/>
          <w:sz w:val="21"/>
          <w:szCs w:val="21"/>
        </w:rPr>
      </w:pPr>
      <w:r>
        <w:rPr>
          <w:rFonts w:ascii="宋体" w:hAnsi="宋体" w:cs="宋体" w:eastAsia="宋体" w:hint="default"/>
          <w:spacing w:val="-2"/>
          <w:sz w:val="21"/>
          <w:szCs w:val="21"/>
        </w:rPr>
        <w:t>产或金融负债，采用估值技术（包括参考熟悉情况并自愿交易的各方最近进行的市场交易中使用的价格、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参照实质上相同的其他金融工具的当前公允价值、现金流量折现法和期权定价模型等）确定其公允价值；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初始取得或源生的金融资产或承担的金融负债，以市场交易价格作为确定其公允价值的基础。</w:t>
      </w:r>
    </w:p>
    <w:p>
      <w:pPr>
        <w:spacing w:line="240" w:lineRule="auto" w:before="7"/>
        <w:rPr>
          <w:rFonts w:ascii="宋体" w:hAnsi="宋体" w:cs="宋体" w:eastAsia="宋体" w:hint="default"/>
          <w:sz w:val="24"/>
          <w:szCs w:val="24"/>
        </w:rPr>
      </w:pPr>
    </w:p>
    <w:p>
      <w:pPr>
        <w:spacing w:line="59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spacing w:line="273" w:lineRule="auto" w:before="37"/>
        <w:ind w:left="573" w:right="114" w:hanging="421"/>
        <w:jc w:val="left"/>
        <w:rPr>
          <w:rFonts w:ascii="宋体" w:hAnsi="宋体" w:cs="宋体" w:eastAsia="宋体" w:hint="default"/>
          <w:sz w:val="21"/>
          <w:szCs w:val="21"/>
        </w:rPr>
      </w:pPr>
      <w:r>
        <w:rPr>
          <w:rFonts w:ascii="宋体" w:hAnsi="宋体" w:cs="宋体" w:eastAsia="宋体" w:hint="default"/>
          <w:sz w:val="21"/>
          <w:szCs w:val="21"/>
        </w:rPr>
        <w:t>检查，如有客观证据表明该金融资产发生减值的，计提减值准备。</w:t>
      </w:r>
      <w:r>
        <w:rPr>
          <w:rFonts w:ascii="宋体" w:hAnsi="宋体" w:cs="宋体" w:eastAsia="宋体" w:hint="default"/>
          <w:w w:val="100"/>
          <w:sz w:val="21"/>
          <w:szCs w:val="21"/>
        </w:rPr>
        <w:t> </w:t>
      </w:r>
      <w:r>
        <w:rPr>
          <w:rFonts w:ascii="宋体" w:hAnsi="宋体" w:cs="宋体" w:eastAsia="宋体" w:hint="default"/>
          <w:spacing w:val="-2"/>
          <w:sz w:val="21"/>
          <w:szCs w:val="21"/>
        </w:rPr>
        <w:t>对单项金额重大的金融资产单独进行减值测试；对单项金额不重大的金融资产，可以单独进行减值测</w:t>
      </w:r>
    </w:p>
    <w:p>
      <w:pPr>
        <w:spacing w:line="273" w:lineRule="auto" w:before="7"/>
        <w:ind w:left="152" w:right="103" w:firstLine="0"/>
        <w:jc w:val="both"/>
        <w:rPr>
          <w:rFonts w:ascii="宋体" w:hAnsi="宋体" w:cs="宋体" w:eastAsia="宋体" w:hint="default"/>
          <w:sz w:val="21"/>
          <w:szCs w:val="21"/>
        </w:rPr>
      </w:pPr>
      <w:r>
        <w:rPr>
          <w:rFonts w:ascii="宋体" w:hAnsi="宋体" w:cs="宋体" w:eastAsia="宋体" w:hint="default"/>
          <w:spacing w:val="-7"/>
          <w:sz w:val="21"/>
          <w:szCs w:val="21"/>
        </w:rPr>
        <w:t>试，或包括在具有类似信用风险特征的金融资产组合中进行减值测试；单独测试未发生减值的金融资产（包</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括单项金额重大和不重大的金融资产），包括在具有类似信用风险特征的金融资产组合中再进行减值测试。</w:t>
      </w:r>
    </w:p>
    <w:p>
      <w:pPr>
        <w:spacing w:line="273" w:lineRule="auto" w:before="7"/>
        <w:ind w:left="152" w:right="114" w:firstLine="420"/>
        <w:jc w:val="left"/>
        <w:rPr>
          <w:rFonts w:ascii="宋体" w:hAnsi="宋体" w:cs="宋体" w:eastAsia="宋体" w:hint="default"/>
          <w:sz w:val="21"/>
          <w:szCs w:val="21"/>
        </w:rPr>
      </w:pPr>
      <w:r>
        <w:rPr>
          <w:rFonts w:ascii="宋体" w:hAnsi="宋体" w:cs="宋体" w:eastAsia="宋体" w:hint="default"/>
          <w:sz w:val="21"/>
          <w:szCs w:val="21"/>
        </w:rPr>
        <w:t>按摊余成本计量的金融资产，期末有客观证据表明其发生了减值的，根据其账面价值高于预计未来现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金流量现值之间的差额确认减值损失。在活跃市场中没有报价且其公允价值不能可靠计量的权益工具投</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资，或与该权益工具挂钩并须通过交付该权益工具结算的衍生金融资产发生减值时，将该权益工具投资或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衍生金融资产的账面价值，高于按照类似金融资产当时市场收益率对未来现金流量折现确定的现值之间的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差额，确认为减值损失。可供出售金融资产的公允价值发生较大幅度下降，或在综合考虑各种相关因素后， </w:t>
      </w:r>
      <w:r>
        <w:rPr>
          <w:rFonts w:ascii="宋体" w:hAnsi="宋体" w:cs="宋体" w:eastAsia="宋体" w:hint="default"/>
          <w:spacing w:val="-5"/>
          <w:sz w:val="21"/>
          <w:szCs w:val="21"/>
        </w:rPr>
      </w:r>
      <w:r>
        <w:rPr>
          <w:rFonts w:ascii="宋体" w:hAnsi="宋体" w:cs="宋体" w:eastAsia="宋体" w:hint="default"/>
          <w:spacing w:val="-2"/>
          <w:sz w:val="21"/>
          <w:szCs w:val="21"/>
        </w:rPr>
        <w:t>预期这种下降趋势属于非暂时性的，确认其减值损失，并将原直接计入所有者权益的公允价值累计损失一</w:t>
      </w:r>
    </w:p>
    <w:p>
      <w:pPr>
        <w:spacing w:after="0" w:line="273" w:lineRule="auto"/>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并转出计入减值损失。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的应收款项，确定为单项金额 重大的应收款项。</w:t>
            </w:r>
          </w:p>
        </w:tc>
      </w:tr>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8"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spacing w:before="36"/>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14" w:firstLine="0"/>
        <w:jc w:val="left"/>
        <w:rPr>
          <w:rFonts w:ascii="宋体" w:hAnsi="宋体" w:cs="宋体" w:eastAsia="宋体" w:hint="default"/>
          <w:sz w:val="18"/>
          <w:szCs w:val="18"/>
        </w:rPr>
      </w:pPr>
      <w:r>
        <w:rPr>
          <w:rFonts w:ascii="宋体" w:hAnsi="宋体" w:cs="宋体" w:eastAsia="宋体" w:hint="default"/>
          <w:spacing w:val="-2"/>
          <w:sz w:val="18"/>
          <w:szCs w:val="18"/>
        </w:rPr>
        <w:t>存货是指本公司在日常活动中持有以备出售的产成品或商品、处在生产过程中的在产品、在生产过程或提供劳务过程中耗用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的材料和物料等。主要包括原材料、包装物、低值易耗品、委托加工物资、在产品、自制半成品、发出商品、库存商品等。</w:t>
      </w:r>
    </w:p>
    <w:p>
      <w:pPr>
        <w:spacing w:line="240" w:lineRule="auto" w:before="10"/>
        <w:rPr>
          <w:rFonts w:ascii="宋体" w:hAnsi="宋体" w:cs="宋体" w:eastAsia="宋体" w:hint="default"/>
          <w:sz w:val="22"/>
          <w:szCs w:val="22"/>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4"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spacing w:before="94"/>
        <w:ind w:left="573" w:right="114" w:firstLine="0"/>
        <w:jc w:val="left"/>
        <w:rPr>
          <w:rFonts w:ascii="宋体" w:hAnsi="宋体" w:cs="宋体" w:eastAsia="宋体" w:hint="default"/>
          <w:sz w:val="21"/>
          <w:szCs w:val="21"/>
        </w:rPr>
      </w:pPr>
      <w:r>
        <w:rPr>
          <w:rFonts w:ascii="宋体" w:hAnsi="宋体" w:cs="宋体" w:eastAsia="宋体" w:hint="default"/>
          <w:sz w:val="21"/>
          <w:szCs w:val="21"/>
        </w:rPr>
        <w:t>存货发出时，采用加权平均法确定发出存货的实际成本。</w:t>
      </w:r>
    </w:p>
    <w:p>
      <w:pPr>
        <w:spacing w:line="240" w:lineRule="auto" w:before="0"/>
        <w:rPr>
          <w:rFonts w:ascii="宋体" w:hAnsi="宋体" w:cs="宋体" w:eastAsia="宋体" w:hint="default"/>
          <w:sz w:val="26"/>
          <w:szCs w:val="26"/>
        </w:rPr>
      </w:pPr>
    </w:p>
    <w:p>
      <w:pPr>
        <w:spacing w:line="60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资产负债表日，存货采用成本与可变现净值孰低计量，按照单个存货成本高于可变现净值的差额计提</w:t>
      </w:r>
    </w:p>
    <w:p>
      <w:pPr>
        <w:spacing w:line="273"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2"/>
          <w:sz w:val="21"/>
          <w:szCs w:val="21"/>
        </w:rPr>
        <w:t>存货跌价准备。直接用于出售的存货，在正常生产经营过程中以该存货的估计售价减去估计的销售费用和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相关税费后的金额确定其可变现净值；需要经过加工的存货，在正常生产经营过程中以所生产的产成品的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估计售价减去至完工时估计将要发生的成本、估计的销售费用和相关税费后的金额确定其可变现净值；资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产负债表日，同一项存货中一部分有合同价格约定、其他部分不存在合同价格的，分别确定其可变现净值， </w:t>
      </w:r>
      <w:r>
        <w:rPr>
          <w:rFonts w:ascii="宋体" w:hAnsi="宋体" w:cs="宋体" w:eastAsia="宋体" w:hint="default"/>
          <w:spacing w:val="-5"/>
          <w:sz w:val="21"/>
          <w:szCs w:val="21"/>
        </w:rPr>
      </w:r>
      <w:r>
        <w:rPr>
          <w:rFonts w:ascii="宋体" w:hAnsi="宋体" w:cs="宋体" w:eastAsia="宋体" w:hint="default"/>
          <w:sz w:val="21"/>
          <w:szCs w:val="21"/>
        </w:rPr>
        <w:t>并与其对应的成本进行比较，分别确定存货跌价准备的计提或转回的金额。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4"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73" w:lineRule="auto" w:before="96"/>
        <w:ind w:left="152" w:right="114" w:firstLine="420"/>
        <w:jc w:val="left"/>
        <w:rPr>
          <w:rFonts w:ascii="宋体" w:hAnsi="宋体" w:cs="宋体" w:eastAsia="宋体" w:hint="default"/>
          <w:sz w:val="21"/>
          <w:szCs w:val="21"/>
        </w:rPr>
      </w:pPr>
      <w:r>
        <w:rPr>
          <w:rFonts w:ascii="宋体" w:hAnsi="宋体" w:cs="宋体" w:eastAsia="宋体" w:hint="default"/>
          <w:spacing w:val="-2"/>
          <w:sz w:val="21"/>
          <w:szCs w:val="21"/>
        </w:rPr>
        <w:t>本公司的存货盘存制度为永续盘存制。本公司定期对存货进行清查，盘盈利得和盘亏损失计入当期损</w:t>
      </w:r>
      <w:r>
        <w:rPr>
          <w:rFonts w:ascii="宋体" w:hAnsi="宋体" w:cs="宋体" w:eastAsia="宋体" w:hint="default"/>
          <w:w w:val="100"/>
          <w:sz w:val="21"/>
          <w:szCs w:val="21"/>
        </w:rPr>
        <w:t> </w:t>
      </w:r>
      <w:r>
        <w:rPr>
          <w:rFonts w:ascii="宋体" w:hAnsi="宋体" w:cs="宋体" w:eastAsia="宋体" w:hint="default"/>
          <w:sz w:val="21"/>
          <w:szCs w:val="21"/>
        </w:rPr>
        <w:t>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before="8"/>
        <w:ind w:left="573" w:right="114" w:firstLine="0"/>
        <w:jc w:val="left"/>
        <w:rPr>
          <w:rFonts w:ascii="宋体" w:hAnsi="宋体" w:cs="宋体" w:eastAsia="宋体" w:hint="default"/>
          <w:sz w:val="21"/>
          <w:szCs w:val="21"/>
        </w:rPr>
      </w:pPr>
      <w:r>
        <w:rPr>
          <w:rFonts w:ascii="宋体" w:hAnsi="宋体" w:cs="宋体" w:eastAsia="宋体" w:hint="default"/>
          <w:sz w:val="21"/>
          <w:szCs w:val="21"/>
        </w:rPr>
        <w:t>按照一次转销法进行摊销。</w:t>
      </w:r>
    </w:p>
    <w:p>
      <w:pPr>
        <w:spacing w:line="240" w:lineRule="auto" w:before="0"/>
        <w:rPr>
          <w:rFonts w:ascii="宋体" w:hAnsi="宋体" w:cs="宋体" w:eastAsia="宋体" w:hint="default"/>
          <w:sz w:val="20"/>
          <w:szCs w:val="20"/>
        </w:rPr>
      </w:pPr>
    </w:p>
    <w:p>
      <w:pPr>
        <w:spacing w:line="357" w:lineRule="auto" w:before="149"/>
        <w:ind w:left="152" w:right="803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before="8"/>
        <w:ind w:left="573" w:right="114" w:firstLine="0"/>
        <w:jc w:val="left"/>
        <w:rPr>
          <w:rFonts w:ascii="宋体" w:hAnsi="宋体" w:cs="宋体" w:eastAsia="宋体" w:hint="default"/>
          <w:sz w:val="21"/>
          <w:szCs w:val="21"/>
        </w:rPr>
      </w:pPr>
      <w:r>
        <w:rPr>
          <w:rFonts w:ascii="宋体" w:hAnsi="宋体" w:cs="宋体" w:eastAsia="宋体" w:hint="default"/>
          <w:sz w:val="21"/>
          <w:szCs w:val="21"/>
        </w:rPr>
        <w:t>按照一次转销法进行摊销。</w:t>
      </w:r>
    </w:p>
    <w:p>
      <w:pPr>
        <w:spacing w:after="0"/>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07" w:lineRule="auto" w:before="0"/>
        <w:ind w:left="152" w:right="21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同一控制下的企业合并形成的，合并方以支付现金、转让非现金资产、承担债务或发行权益性证券作为合并对价的，在</w:t>
      </w:r>
      <w:r>
        <w:rPr>
          <w:rFonts w:ascii="宋体" w:hAnsi="宋体" w:cs="宋体" w:eastAsia="宋体" w:hint="default"/>
          <w:w w:val="99"/>
          <w:sz w:val="18"/>
          <w:szCs w:val="18"/>
        </w:rPr>
        <w:t> </w:t>
      </w:r>
      <w:r>
        <w:rPr>
          <w:rFonts w:ascii="宋体" w:hAnsi="宋体" w:cs="宋体" w:eastAsia="宋体" w:hint="default"/>
          <w:spacing w:val="-2"/>
          <w:w w:val="99"/>
          <w:sz w:val="18"/>
          <w:szCs w:val="18"/>
        </w:rPr>
        <w:t>合并日按照取得被合并方所有者权益账面价值的份额作为其初始投资成本。长期股权投资初始投资成本与支付的合并对价的</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z w:val="18"/>
          <w:szCs w:val="18"/>
        </w:rPr>
        <w:t>账面价值或发行股份的面值总额之间的差额调整资本公积；资本公积不足冲减的，调整留存收益。</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非同一控制下的企业</w:t>
      </w:r>
      <w:r>
        <w:rPr>
          <w:rFonts w:ascii="宋体" w:hAnsi="宋体" w:cs="宋体" w:eastAsia="宋体" w:hint="default"/>
          <w:w w:val="99"/>
          <w:sz w:val="18"/>
          <w:szCs w:val="18"/>
        </w:rPr>
        <w:t> </w:t>
      </w:r>
      <w:r>
        <w:rPr>
          <w:rFonts w:ascii="宋体" w:hAnsi="宋体" w:cs="宋体" w:eastAsia="宋体" w:hint="default"/>
          <w:sz w:val="18"/>
          <w:szCs w:val="18"/>
        </w:rPr>
        <w:t>合并形成的，在购买日按照支付的合并对价的公允价值作为其初始投资成本。</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除企业合并形成以外的：以支付现金取得</w:t>
      </w:r>
      <w:r>
        <w:rPr>
          <w:rFonts w:ascii="宋体" w:hAnsi="宋体" w:cs="宋体" w:eastAsia="宋体" w:hint="default"/>
          <w:w w:val="99"/>
          <w:sz w:val="18"/>
          <w:szCs w:val="18"/>
        </w:rPr>
        <w:t> </w:t>
      </w:r>
      <w:r>
        <w:rPr>
          <w:rFonts w:ascii="宋体" w:hAnsi="宋体" w:cs="宋体" w:eastAsia="宋体" w:hint="default"/>
          <w:spacing w:val="-2"/>
          <w:sz w:val="18"/>
          <w:szCs w:val="18"/>
        </w:rPr>
        <w:t>的，按照实际支付的购买价款作为其初始投资成本；以发行权益性证券取得的，按照发行权益性证券的公允价值作为其初始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w w:val="99"/>
          <w:sz w:val="18"/>
          <w:szCs w:val="18"/>
        </w:rPr>
        <w:t>投资成本；投资者投入的，按照投资合同或协议约定的价值作为其初始投资成本（合同或协议约定价值不公允的除外）。</w:t>
      </w:r>
      <w:r>
        <w:rPr>
          <w:rFonts w:ascii="宋体" w:hAnsi="宋体" w:cs="宋体" w:eastAsia="宋体" w:hint="default"/>
          <w:spacing w:val="-2"/>
          <w:sz w:val="18"/>
          <w:szCs w:val="18"/>
        </w:rPr>
      </w:r>
    </w:p>
    <w:p>
      <w:pPr>
        <w:spacing w:line="240" w:lineRule="auto" w:before="5"/>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211" w:firstLine="0"/>
        <w:jc w:val="both"/>
        <w:rPr>
          <w:rFonts w:ascii="宋体" w:hAnsi="宋体" w:cs="宋体" w:eastAsia="宋体" w:hint="default"/>
          <w:sz w:val="18"/>
          <w:szCs w:val="18"/>
        </w:rPr>
      </w:pPr>
      <w:r>
        <w:rPr>
          <w:rFonts w:ascii="宋体" w:hAnsi="宋体" w:cs="宋体" w:eastAsia="宋体" w:hint="default"/>
          <w:spacing w:val="-2"/>
          <w:sz w:val="18"/>
          <w:szCs w:val="18"/>
        </w:rPr>
        <w:t>对被投资单位能够实施控制的长期股权投资采用成本法核算，在编制合并财务报表时按照权益法进行调整；对不具有共同控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制或重大影响，并且在活跃市场中没有报价、公允价值不能可靠计量的长期股权投资，采用成本法核算；对具有共同控制或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重大影响的长期股权投资，采用权益法核算。</w:t>
      </w:r>
    </w:p>
    <w:p>
      <w:pPr>
        <w:spacing w:line="240" w:lineRule="auto" w:before="8"/>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124" w:firstLine="0"/>
        <w:jc w:val="both"/>
        <w:rPr>
          <w:rFonts w:ascii="宋体" w:hAnsi="宋体" w:cs="宋体" w:eastAsia="宋体" w:hint="default"/>
          <w:sz w:val="18"/>
          <w:szCs w:val="18"/>
        </w:rPr>
      </w:pPr>
      <w:r>
        <w:rPr>
          <w:rFonts w:ascii="宋体" w:hAnsi="宋体" w:cs="宋体" w:eastAsia="宋体" w:hint="default"/>
          <w:spacing w:val="-2"/>
          <w:sz w:val="18"/>
          <w:szCs w:val="18"/>
        </w:rPr>
        <w:t>按照合同约定，与被投资单位相关的重要财务和经营决策需要分享控制权的投资方一致同意的，认定为共同控制；对被投资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单位的财务和经营政策有参与决策的权力，但并不能够控制或者与其他方一起共同控制这些政策的制定的，认定为重大影响。</w:t>
      </w:r>
    </w:p>
    <w:p>
      <w:pPr>
        <w:spacing w:line="614" w:lineRule="exact" w:before="52"/>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对子公司、联营企业及合营企业的投资，在资产负债表日有客观证据表明其发生减值的，按照账面价</w:t>
      </w:r>
    </w:p>
    <w:p>
      <w:pPr>
        <w:spacing w:line="219"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值高于可收回金额的差额计提相应的减值准备；对被投资单位不具有共同控制或重大影响、在活跃市场中</w:t>
      </w:r>
    </w:p>
    <w:p>
      <w:pPr>
        <w:spacing w:line="256"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4"/>
          <w:sz w:val="21"/>
          <w:szCs w:val="21"/>
        </w:rPr>
        <w:t>没有报价、公允价值不能可靠计量的长期股权投资，按照《企业会计准则第</w:t>
      </w:r>
      <w:r>
        <w:rPr>
          <w:rFonts w:ascii="Times New Roman" w:hAnsi="Times New Roman" w:cs="Times New Roman" w:eastAsia="Times New Roman" w:hint="default"/>
          <w:spacing w:val="-4"/>
          <w:sz w:val="21"/>
          <w:szCs w:val="21"/>
        </w:rPr>
        <w:t>22</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金融工具确认和计量》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的规定计提相应的减值准备。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固定资产是指为生产商品、提供劳务、出租或经营管理而持有的，使用年限超过一个会计年度的有形资产。</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573" w:right="141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从其达到预定可使用状态的次月起采用年限平均法计提折旧。</w:t>
      </w:r>
    </w:p>
    <w:p>
      <w:pPr>
        <w:spacing w:after="0" w:line="506" w:lineRule="auto"/>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spacing w:line="261" w:lineRule="auto" w:before="0"/>
        <w:ind w:left="152" w:right="0" w:firstLine="420"/>
        <w:jc w:val="left"/>
        <w:rPr>
          <w:rFonts w:ascii="宋体" w:hAnsi="宋体" w:cs="宋体" w:eastAsia="宋体" w:hint="default"/>
          <w:sz w:val="22"/>
          <w:szCs w:val="22"/>
        </w:rPr>
      </w:pPr>
      <w:r>
        <w:rPr>
          <w:rFonts w:ascii="宋体" w:hAnsi="宋体" w:cs="宋体" w:eastAsia="宋体" w:hint="default"/>
          <w:i/>
          <w:spacing w:val="-3"/>
          <w:w w:val="95"/>
          <w:sz w:val="22"/>
          <w:szCs w:val="22"/>
        </w:rPr>
        <w:t>资产负债表日，有迹象表明固定资产发生减值的，按照账面价值高于可收回金额的差额计提相应的减</w:t>
      </w:r>
      <w:r>
        <w:rPr>
          <w:rFonts w:ascii="宋体" w:hAnsi="宋体" w:cs="宋体" w:eastAsia="宋体" w:hint="default"/>
          <w:i/>
          <w:w w:val="96"/>
          <w:sz w:val="22"/>
          <w:szCs w:val="22"/>
        </w:rPr>
        <w:t> </w:t>
      </w:r>
      <w:r>
        <w:rPr>
          <w:rFonts w:ascii="宋体" w:hAnsi="宋体" w:cs="宋体" w:eastAsia="宋体" w:hint="default"/>
          <w:i/>
          <w:sz w:val="22"/>
          <w:szCs w:val="22"/>
        </w:rPr>
        <w:t>值准备。</w:t>
      </w:r>
      <w:r>
        <w:rPr>
          <w:rFonts w:ascii="宋体" w:hAnsi="宋体" w:cs="宋体" w:eastAsia="宋体" w:hint="default"/>
          <w:sz w:val="22"/>
          <w:szCs w:val="22"/>
        </w:rPr>
      </w:r>
    </w:p>
    <w:p>
      <w:pPr>
        <w:spacing w:line="240" w:lineRule="auto" w:before="0"/>
        <w:rPr>
          <w:rFonts w:ascii="宋体" w:hAnsi="宋体" w:cs="宋体" w:eastAsia="宋体" w:hint="default"/>
          <w:i/>
          <w:sz w:val="22"/>
          <w:szCs w:val="22"/>
        </w:rPr>
      </w:pPr>
    </w:p>
    <w:p>
      <w:pPr>
        <w:spacing w:line="240" w:lineRule="auto" w:before="13"/>
        <w:rPr>
          <w:rFonts w:ascii="宋体" w:hAnsi="宋体" w:cs="宋体" w:eastAsia="宋体" w:hint="default"/>
          <w:i/>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在建工程同时满足经济利益很可能流入、成本能够可靠计量则予以确认。在建工程按建造该项资产达到预定可使用状态前所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发生的实际成本计量。</w:t>
      </w:r>
    </w:p>
    <w:p>
      <w:pPr>
        <w:spacing w:line="240" w:lineRule="auto" w:before="8"/>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在建工程达到预定可使用状态时，按工程实际成本转入固定资产。已达到预定可使用状态但尚未办理竣工决算的，先按估计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价值转入固定资产，待办理竣工决算后再按实际成本调整原暂估价值，但不再调整原已计提的折旧。</w:t>
      </w:r>
    </w:p>
    <w:p>
      <w:pPr>
        <w:spacing w:line="614" w:lineRule="exact" w:before="5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资产负债表日，有迹象表明在建工程发生减值的，按照账面价值高于可收回金额的差额计提相应的减</w:t>
      </w:r>
    </w:p>
    <w:p>
      <w:pPr>
        <w:spacing w:line="21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公司发生的借款费用，可直接归属于符合资本化条件的资产的购建或者生产的，予以资本化，计入相</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关资产成本；其他借款费用，在发生时确认为费用，计入当期损益。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当借款费用同时满足下列条件时，开始资本化：</w:t>
      </w:r>
      <w:r>
        <w:rPr>
          <w:rFonts w:ascii="Times New Roman" w:hAnsi="Times New Roman" w:cs="Times New Roman" w:eastAsia="Times New Roman" w:hint="default"/>
          <w:sz w:val="21"/>
          <w:szCs w:val="21"/>
        </w:rPr>
        <w:t>1)  </w:t>
      </w:r>
      <w:r>
        <w:rPr>
          <w:rFonts w:ascii="宋体" w:hAnsi="宋体" w:cs="宋体" w:eastAsia="宋体" w:hint="default"/>
          <w:sz w:val="21"/>
          <w:szCs w:val="21"/>
        </w:rPr>
        <w:t>资产支出已经发生；</w:t>
      </w:r>
      <w:r>
        <w:rPr>
          <w:rFonts w:ascii="Times New Roman" w:hAnsi="Times New Roman" w:cs="Times New Roman" w:eastAsia="Times New Roman" w:hint="default"/>
          <w:sz w:val="21"/>
          <w:szCs w:val="21"/>
        </w:rPr>
        <w:t>2)  </w:t>
      </w:r>
      <w:r>
        <w:rPr>
          <w:rFonts w:ascii="宋体" w:hAnsi="宋体" w:cs="宋体" w:eastAsia="宋体" w:hint="default"/>
          <w:sz w:val="21"/>
          <w:szCs w:val="21"/>
        </w:rPr>
        <w:t>借款费用已经发生；</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为</w:t>
      </w:r>
    </w:p>
    <w:p>
      <w:pPr>
        <w:spacing w:after="0"/>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使资产达到预定可使用或可销售状态所必要的购建或者生产活动已经开始。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21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8"/>
          <w:sz w:val="21"/>
          <w:szCs w:val="21"/>
        </w:rPr>
        <w:t>当借款费用同时满足下列条件时，开始资本化：</w:t>
      </w:r>
      <w:r>
        <w:rPr>
          <w:rFonts w:ascii="Times New Roman" w:hAnsi="Times New Roman" w:cs="Times New Roman" w:eastAsia="Times New Roman" w:hint="default"/>
          <w:spacing w:val="-8"/>
          <w:sz w:val="21"/>
          <w:szCs w:val="21"/>
        </w:rPr>
        <w:t>1) </w:t>
      </w:r>
      <w:r>
        <w:rPr>
          <w:rFonts w:ascii="宋体" w:hAnsi="宋体" w:cs="宋体" w:eastAsia="宋体" w:hint="default"/>
          <w:spacing w:val="-8"/>
          <w:sz w:val="21"/>
          <w:szCs w:val="21"/>
        </w:rPr>
        <w:t>资产支出已经发生；</w:t>
      </w:r>
      <w:r>
        <w:rPr>
          <w:rFonts w:ascii="Times New Roman" w:hAnsi="Times New Roman" w:cs="Times New Roman" w:eastAsia="Times New Roman" w:hint="default"/>
          <w:spacing w:val="-8"/>
          <w:sz w:val="21"/>
          <w:szCs w:val="21"/>
        </w:rPr>
        <w:t>2) </w:t>
      </w:r>
      <w:r>
        <w:rPr>
          <w:rFonts w:ascii="宋体" w:hAnsi="宋体" w:cs="宋体" w:eastAsia="宋体" w:hint="default"/>
          <w:spacing w:val="-8"/>
          <w:sz w:val="21"/>
          <w:szCs w:val="21"/>
        </w:rPr>
        <w:t>借款费用已经发生；</w:t>
      </w:r>
      <w:r>
        <w:rPr>
          <w:rFonts w:ascii="Times New Roman" w:hAnsi="Times New Roman" w:cs="Times New Roman" w:eastAsia="Times New Roman" w:hint="default"/>
          <w:spacing w:val="-8"/>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使资产达到预定可使用或可销售状态所必要的购建或者生产活动已经开始。</w:t>
      </w:r>
    </w:p>
    <w:p>
      <w:pPr>
        <w:spacing w:line="264" w:lineRule="auto" w:before="22"/>
        <w:ind w:left="152" w:right="17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若符合资本化条件的资产在购建或者生产过程中发生非正常中断，并且中断时间连续超过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pacing w:val="-2"/>
          <w:sz w:val="21"/>
          <w:szCs w:val="21"/>
        </w:rPr>
        <w:t>暂停借款费用的资本化；中断期间发生的借款费用确认为当期费用，直至资产的购建或者生产活动重新开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始。</w:t>
      </w:r>
    </w:p>
    <w:p>
      <w:pPr>
        <w:spacing w:before="1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当所购建或者生产符合资本化条件的资产达到预定可使用或可销售状态时，借款费用停止资本化。</w:t>
      </w:r>
    </w:p>
    <w:p>
      <w:pPr>
        <w:spacing w:line="240" w:lineRule="auto" w:before="7"/>
        <w:rPr>
          <w:rFonts w:ascii="宋体" w:hAnsi="宋体" w:cs="宋体" w:eastAsia="宋体" w:hint="default"/>
          <w:sz w:val="25"/>
          <w:szCs w:val="25"/>
        </w:rPr>
      </w:pPr>
    </w:p>
    <w:p>
      <w:pPr>
        <w:spacing w:line="59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为购建或者生产符合资本化条件的资产而借入专门借款的，以专门借款当期实际发生的利息费用（包</w:t>
      </w:r>
    </w:p>
    <w:p>
      <w:pPr>
        <w:spacing w:line="273" w:lineRule="auto" w:before="37"/>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括按照实际利率法确定的折价或溢价的摊销），减去将尚未动用的借款资金存入银行取得的利息收入或进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行暂时性投资取得的投资收益后的金额，确定应予资本化的利息金额；为购建或者生产符合资本化条件的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资产占用了一般借款的，根据累计资产支出超过专门借款的资产支出加权平均数乘以占用一般借款的资本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生物资产是指有生命的动物和植物，本公司的生物资产为曼地亚红豆杉。</w:t>
      </w:r>
    </w:p>
    <w:p>
      <w:pPr>
        <w:spacing w:line="256" w:lineRule="auto" w:before="21"/>
        <w:ind w:left="152" w:right="15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生物资产按照成本计量。生产性生物资产折旧采用年限平均法，各类生产性生物资产的使用寿命、</w:t>
      </w:r>
      <w:r>
        <w:rPr>
          <w:rFonts w:ascii="宋体" w:hAnsi="宋体" w:cs="宋体" w:eastAsia="宋体" w:hint="default"/>
          <w:w w:val="100"/>
          <w:sz w:val="21"/>
          <w:szCs w:val="21"/>
        </w:rPr>
        <w:t> </w:t>
      </w:r>
      <w:r>
        <w:rPr>
          <w:rFonts w:ascii="宋体" w:hAnsi="宋体" w:cs="宋体" w:eastAsia="宋体" w:hint="default"/>
          <w:sz w:val="21"/>
          <w:szCs w:val="21"/>
        </w:rPr>
        <w:t>预计净残值和年折旧率如下：</w:t>
      </w:r>
    </w:p>
    <w:p>
      <w:pPr>
        <w:tabs>
          <w:tab w:pos="3180" w:val="left" w:leader="none"/>
          <w:tab w:pos="4960" w:val="left" w:leader="none"/>
          <w:tab w:pos="6768" w:val="left" w:leader="none"/>
        </w:tabs>
        <w:spacing w:before="22"/>
        <w:ind w:left="784" w:right="114"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生产性生物资产类别</w:t>
        <w:tab/>
        <w:t>使用寿命</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w:t>
        <w:tab/>
      </w:r>
      <w:r>
        <w:rPr>
          <w:rFonts w:ascii="宋体" w:hAnsi="宋体" w:cs="宋体" w:eastAsia="宋体" w:hint="default"/>
          <w:spacing w:val="-2"/>
          <w:sz w:val="21"/>
          <w:szCs w:val="21"/>
        </w:rPr>
        <w:t>预计净残值</w:t>
        <w:tab/>
      </w:r>
      <w:r>
        <w:rPr>
          <w:rFonts w:ascii="宋体" w:hAnsi="宋体" w:cs="宋体" w:eastAsia="宋体" w:hint="default"/>
          <w:spacing w:val="-1"/>
          <w:sz w:val="21"/>
          <w:szCs w:val="21"/>
        </w:rPr>
        <w:t>年折旧率</w:t>
      </w:r>
      <w:r>
        <w:rPr>
          <w:rFonts w:ascii="Times New Roman" w:hAnsi="Times New Roman" w:cs="Times New Roman" w:eastAsia="Times New Roman" w:hint="default"/>
          <w:spacing w:val="-1"/>
          <w:sz w:val="21"/>
          <w:szCs w:val="21"/>
        </w:rPr>
        <w:t>(%)</w:t>
      </w:r>
    </w:p>
    <w:p>
      <w:pPr>
        <w:spacing w:line="240" w:lineRule="auto" w:before="3"/>
        <w:rPr>
          <w:rFonts w:ascii="Times New Roman" w:hAnsi="Times New Roman" w:cs="Times New Roman" w:eastAsia="Times New Roman" w:hint="default"/>
          <w:sz w:val="8"/>
          <w:szCs w:val="8"/>
        </w:rPr>
      </w:pPr>
    </w:p>
    <w:tbl>
      <w:tblPr>
        <w:tblW w:w="0" w:type="auto"/>
        <w:jc w:val="left"/>
        <w:tblInd w:w="728" w:type="dxa"/>
        <w:tblLayout w:type="fixed"/>
        <w:tblCellMar>
          <w:top w:w="0" w:type="dxa"/>
          <w:left w:w="0" w:type="dxa"/>
          <w:bottom w:w="0" w:type="dxa"/>
          <w:right w:w="0" w:type="dxa"/>
        </w:tblCellMar>
        <w:tblLook w:val="01E0"/>
      </w:tblPr>
      <w:tblGrid>
        <w:gridCol w:w="2224"/>
        <w:gridCol w:w="2805"/>
        <w:gridCol w:w="2349"/>
      </w:tblGrid>
      <w:tr>
        <w:trPr>
          <w:trHeight w:val="220"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曼地亚红豆杉</w:t>
            </w:r>
          </w:p>
        </w:tc>
        <w:tc>
          <w:tcPr>
            <w:tcW w:w="2805" w:type="dxa"/>
            <w:tcBorders>
              <w:top w:val="nil" w:sz="6" w:space="0" w:color="auto"/>
              <w:left w:val="nil" w:sz="6" w:space="0" w:color="auto"/>
              <w:bottom w:val="nil" w:sz="6" w:space="0" w:color="auto"/>
              <w:right w:val="nil" w:sz="6" w:space="0" w:color="auto"/>
            </w:tcBorders>
          </w:tcPr>
          <w:p>
            <w:pPr>
              <w:pStyle w:val="TableParagraph"/>
              <w:spacing w:line="225" w:lineRule="exact"/>
              <w:ind w:left="760" w:right="0"/>
              <w:jc w:val="left"/>
              <w:rPr>
                <w:rFonts w:ascii="Times New Roman" w:hAnsi="Times New Roman" w:cs="Times New Roman" w:eastAsia="Times New Roman" w:hint="default"/>
                <w:sz w:val="21"/>
                <w:szCs w:val="21"/>
              </w:rPr>
            </w:pPr>
            <w:r>
              <w:rPr>
                <w:rFonts w:ascii="Times New Roman"/>
                <w:w w:val="100"/>
                <w:sz w:val="21"/>
              </w:rPr>
              <w:t>5</w:t>
            </w:r>
          </w:p>
        </w:tc>
        <w:tc>
          <w:tcPr>
            <w:tcW w:w="2349" w:type="dxa"/>
            <w:tcBorders>
              <w:top w:val="nil" w:sz="6" w:space="0" w:color="auto"/>
              <w:left w:val="nil" w:sz="6" w:space="0" w:color="auto"/>
              <w:bottom w:val="nil" w:sz="6" w:space="0" w:color="auto"/>
              <w:right w:val="nil" w:sz="6" w:space="0" w:color="auto"/>
            </w:tcBorders>
          </w:tcPr>
          <w:p>
            <w:pPr>
              <w:pStyle w:val="TableParagraph"/>
              <w:spacing w:line="225" w:lineRule="exact"/>
              <w:ind w:right="198"/>
              <w:jc w:val="right"/>
              <w:rPr>
                <w:rFonts w:ascii="Times New Roman" w:hAnsi="Times New Roman" w:cs="Times New Roman" w:eastAsia="Times New Roman" w:hint="default"/>
                <w:sz w:val="21"/>
                <w:szCs w:val="21"/>
              </w:rPr>
            </w:pPr>
            <w:r>
              <w:rPr>
                <w:rFonts w:ascii="Times New Roman"/>
                <w:sz w:val="21"/>
              </w:rPr>
              <w:t>20</w:t>
            </w:r>
          </w:p>
        </w:tc>
      </w:tr>
    </w:tbl>
    <w:p>
      <w:pPr>
        <w:spacing w:before="37"/>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收获或出售消耗性生物资产，或生产性生物资产收获农产品时，采用加权平均法结转成本。</w:t>
      </w:r>
    </w:p>
    <w:p>
      <w:pPr>
        <w:spacing w:line="268" w:lineRule="auto" w:before="21"/>
        <w:ind w:left="152" w:right="20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资产负债表日，以成本模式进行后续计量的生物资产，当有确凿证据表明由于遭受自然灾害、病虫</w:t>
      </w:r>
      <w:r>
        <w:rPr>
          <w:rFonts w:ascii="宋体" w:hAnsi="宋体" w:cs="宋体" w:eastAsia="宋体" w:hint="default"/>
          <w:w w:val="100"/>
          <w:sz w:val="21"/>
          <w:szCs w:val="21"/>
        </w:rPr>
        <w:t> </w:t>
      </w:r>
      <w:r>
        <w:rPr>
          <w:rFonts w:ascii="宋体" w:hAnsi="宋体" w:cs="宋体" w:eastAsia="宋体" w:hint="default"/>
          <w:spacing w:val="-2"/>
          <w:sz w:val="21"/>
          <w:szCs w:val="21"/>
        </w:rPr>
        <w:t>害、动物疫病侵袭或市场需求变化等原因，使消耗性生物资产可变现净值或生产性生物资产的可收回金额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低于其账面价值的，消耗性生物资产按本财务报表附注二之存货所述方法计提跌价准备，生产性生物资产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按照账面价值高于可收回金额的差额计提相应的减值准备。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73" w:right="114" w:firstLine="0"/>
        <w:jc w:val="left"/>
        <w:rPr>
          <w:rFonts w:ascii="宋体" w:hAnsi="宋体" w:cs="宋体" w:eastAsia="宋体" w:hint="default"/>
          <w:sz w:val="22"/>
          <w:szCs w:val="22"/>
        </w:rPr>
      </w:pPr>
      <w:r>
        <w:rPr>
          <w:rFonts w:ascii="宋体" w:hAnsi="宋体" w:cs="宋体" w:eastAsia="宋体" w:hint="default"/>
          <w:i/>
          <w:sz w:val="22"/>
          <w:szCs w:val="22"/>
        </w:rPr>
        <w:t>无形资产包括土地使用权、电能表销售网络、生产经营权及管理软件，按成本进行初始计量。</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877" w:footer="979" w:top="1100" w:bottom="1160" w:left="980" w:right="920"/>
        </w:sectPr>
      </w:pPr>
    </w:p>
    <w:p>
      <w:pPr>
        <w:spacing w:line="240" w:lineRule="auto" w:before="12"/>
        <w:rPr>
          <w:rFonts w:ascii="宋体" w:hAnsi="宋体" w:cs="宋体" w:eastAsia="宋体" w:hint="default"/>
          <w:i/>
          <w:sz w:val="20"/>
          <w:szCs w:val="20"/>
        </w:rPr>
      </w:pPr>
    </w:p>
    <w:p>
      <w:pPr>
        <w:spacing w:before="36"/>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4" w:firstLine="0"/>
        <w:jc w:val="left"/>
        <w:rPr>
          <w:rFonts w:ascii="宋体" w:hAnsi="宋体" w:cs="宋体" w:eastAsia="宋体" w:hint="default"/>
          <w:sz w:val="21"/>
          <w:szCs w:val="21"/>
        </w:rPr>
      </w:pPr>
      <w:r>
        <w:rPr>
          <w:rFonts w:ascii="宋体" w:hAnsi="宋体" w:cs="宋体" w:eastAsia="宋体" w:hint="default"/>
          <w:spacing w:val="-2"/>
          <w:sz w:val="21"/>
          <w:szCs w:val="21"/>
        </w:rPr>
        <w:t>使用寿命有限的无形资产，在使用寿命内按照与该项无形资产有关的经济利益的预期实现方式系统合理地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摊销，无法可靠确定预期实现方式的，采用直线法摊销。</w:t>
      </w: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30-50</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电能表销售网络</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0"/>
          <w:szCs w:val="20"/>
        </w:rPr>
      </w:pPr>
    </w:p>
    <w:p>
      <w:pPr>
        <w:spacing w:before="36"/>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4" w:firstLine="420"/>
        <w:jc w:val="left"/>
        <w:rPr>
          <w:rFonts w:ascii="宋体" w:hAnsi="宋体" w:cs="宋体" w:eastAsia="宋体" w:hint="default"/>
          <w:sz w:val="21"/>
          <w:szCs w:val="21"/>
        </w:rPr>
      </w:pPr>
      <w:r>
        <w:rPr>
          <w:rFonts w:ascii="宋体" w:hAnsi="宋体" w:cs="宋体" w:eastAsia="宋体" w:hint="default"/>
          <w:sz w:val="21"/>
          <w:szCs w:val="21"/>
        </w:rPr>
        <w:t>使用寿命不确定的无形资产不摊销，公司在每个会计期间均对该无形资产的使用寿命进行复核。当有</w:t>
      </w:r>
      <w:r>
        <w:rPr>
          <w:rFonts w:ascii="宋体" w:hAnsi="宋体" w:cs="宋体" w:eastAsia="宋体" w:hint="default"/>
          <w:w w:val="100"/>
          <w:sz w:val="21"/>
          <w:szCs w:val="21"/>
        </w:rPr>
        <w:t> </w:t>
      </w:r>
      <w:r>
        <w:rPr>
          <w:rFonts w:ascii="宋体" w:hAnsi="宋体" w:cs="宋体" w:eastAsia="宋体" w:hint="default"/>
          <w:spacing w:val="-5"/>
          <w:sz w:val="21"/>
          <w:szCs w:val="21"/>
        </w:rPr>
        <w:t>确凿证据表明其使用寿命是有限的，则估计其使用寿命，按直线法进行摊销。使用寿命不确定的无形资产，</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无论是否存在减值迹象，每年都进行减值测试。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2" w:right="114" w:firstLine="84"/>
        <w:jc w:val="left"/>
        <w:rPr>
          <w:rFonts w:ascii="宋体" w:hAnsi="宋体" w:cs="宋体" w:eastAsia="宋体" w:hint="default"/>
          <w:sz w:val="21"/>
          <w:szCs w:val="21"/>
        </w:rPr>
      </w:pPr>
      <w:r>
        <w:rPr>
          <w:rFonts w:ascii="宋体" w:hAnsi="宋体" w:cs="宋体" w:eastAsia="宋体" w:hint="default"/>
          <w:sz w:val="21"/>
          <w:szCs w:val="21"/>
        </w:rPr>
        <w:t>使用寿命确定的无形资产，在资产负债表日有迹象表明发生减值的，按照账面价值高于可收回金额的差</w:t>
      </w:r>
      <w:r>
        <w:rPr>
          <w:rFonts w:ascii="宋体" w:hAnsi="宋体" w:cs="宋体" w:eastAsia="宋体" w:hint="default"/>
          <w:w w:val="100"/>
          <w:sz w:val="21"/>
          <w:szCs w:val="21"/>
        </w:rPr>
        <w:t> </w:t>
      </w:r>
      <w:r>
        <w:rPr>
          <w:rFonts w:ascii="宋体" w:hAnsi="宋体" w:cs="宋体" w:eastAsia="宋体" w:hint="default"/>
          <w:spacing w:val="-2"/>
          <w:sz w:val="21"/>
          <w:szCs w:val="21"/>
        </w:rPr>
        <w:t>额计提相应的减值准备；使用寿命不确定的无形资产和尚未达到可使用状态的无形资产，无论是否存在减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值迹象，每年均进行减值测试。</w:t>
      </w:r>
    </w:p>
    <w:p>
      <w:pPr>
        <w:spacing w:line="240" w:lineRule="auto" w:before="7"/>
        <w:rPr>
          <w:rFonts w:ascii="宋体" w:hAnsi="宋体" w:cs="宋体" w:eastAsia="宋体" w:hint="default"/>
          <w:sz w:val="23"/>
          <w:szCs w:val="23"/>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600" w:lineRule="atLeast" w:before="12"/>
        <w:ind w:left="573" w:right="11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长期待摊费用按实际发生额入账，在受益期或规定的期限内分期平均摊销。如果长期待摊的费用项目</w:t>
      </w:r>
    </w:p>
    <w:p>
      <w:pPr>
        <w:spacing w:before="37"/>
        <w:ind w:left="152" w:right="114" w:firstLine="0"/>
        <w:jc w:val="left"/>
        <w:rPr>
          <w:rFonts w:ascii="宋体" w:hAnsi="宋体" w:cs="宋体" w:eastAsia="宋体" w:hint="default"/>
          <w:sz w:val="21"/>
          <w:szCs w:val="21"/>
        </w:rPr>
      </w:pPr>
      <w:r>
        <w:rPr>
          <w:rFonts w:ascii="宋体" w:hAnsi="宋体" w:cs="宋体" w:eastAsia="宋体" w:hint="default"/>
          <w:sz w:val="21"/>
          <w:szCs w:val="21"/>
        </w:rPr>
        <w:t>不能使以后会计期间受益则将尚未摊销的该项目的摊余价值全部转入当期损益。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600" w:lineRule="atLeast" w:before="14"/>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因对外提供担保、诉讼事项、产品质量保证、亏损合同等或有事项形成的义务成为公司承担的现时义</w:t>
      </w:r>
    </w:p>
    <w:p>
      <w:pPr>
        <w:spacing w:line="273"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2"/>
          <w:sz w:val="21"/>
          <w:szCs w:val="21"/>
        </w:rPr>
        <w:t>务，履行该义务很可能导致经济利益流出公司，且该义务的金额能够可靠的计量时，公司将该项义务确认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为预计负债。</w:t>
      </w:r>
    </w:p>
    <w:p>
      <w:pPr>
        <w:spacing w:after="0" w:line="273" w:lineRule="auto"/>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0" w:firstLine="504"/>
        <w:jc w:val="left"/>
        <w:rPr>
          <w:rFonts w:ascii="宋体" w:hAnsi="宋体" w:cs="宋体" w:eastAsia="宋体" w:hint="default"/>
          <w:sz w:val="21"/>
          <w:szCs w:val="21"/>
        </w:rPr>
      </w:pPr>
      <w:r>
        <w:rPr>
          <w:rFonts w:ascii="宋体" w:hAnsi="宋体" w:cs="宋体" w:eastAsia="宋体" w:hint="default"/>
          <w:sz w:val="21"/>
          <w:szCs w:val="21"/>
        </w:rPr>
        <w:t>公司按照履行相关现时义务所需支出的最佳估计数对预计负债进行初始计量，并在资产负债表日对</w:t>
      </w:r>
      <w:r>
        <w:rPr>
          <w:rFonts w:ascii="宋体" w:hAnsi="宋体" w:cs="宋体" w:eastAsia="宋体" w:hint="default"/>
          <w:w w:val="100"/>
          <w:sz w:val="21"/>
          <w:szCs w:val="21"/>
        </w:rPr>
        <w:t> </w:t>
      </w:r>
      <w:r>
        <w:rPr>
          <w:rFonts w:ascii="宋体" w:hAnsi="宋体" w:cs="宋体" w:eastAsia="宋体" w:hint="default"/>
          <w:sz w:val="21"/>
          <w:szCs w:val="21"/>
        </w:rPr>
        <w:t>预计负债的账面价值进行复核。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00" w:lineRule="auto" w:before="0"/>
        <w:ind w:left="152" w:right="189" w:firstLine="0"/>
        <w:jc w:val="both"/>
        <w:rPr>
          <w:rFonts w:ascii="宋体" w:hAnsi="宋体" w:cs="宋体" w:eastAsia="宋体" w:hint="default"/>
          <w:sz w:val="18"/>
          <w:szCs w:val="18"/>
        </w:rPr>
      </w:pPr>
      <w:r>
        <w:rPr>
          <w:rFonts w:ascii="宋体" w:hAnsi="宋体" w:cs="宋体" w:eastAsia="宋体" w:hint="default"/>
          <w:sz w:val="18"/>
          <w:szCs w:val="18"/>
        </w:rPr>
        <w:t>销售商品收入在同时满足下列条件时予以确认：</w:t>
      </w:r>
      <w:r>
        <w:rPr>
          <w:rFonts w:ascii="Times New Roman" w:hAnsi="Times New Roman" w:cs="Times New Roman" w:eastAsia="Times New Roman" w:hint="default"/>
          <w:sz w:val="18"/>
          <w:szCs w:val="18"/>
        </w:rPr>
        <w:t>(1) </w:t>
      </w:r>
      <w:r>
        <w:rPr>
          <w:rFonts w:ascii="宋体" w:hAnsi="宋体" w:cs="宋体" w:eastAsia="宋体" w:hint="default"/>
          <w:sz w:val="18"/>
          <w:szCs w:val="18"/>
        </w:rPr>
        <w:t>将商品所有权上的主要风险和报酬转移给购货方；</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公司不再保留通 常与所有权相联系的继续管理权，也不再对已售出的商品实施有效控制；</w:t>
      </w:r>
      <w:r>
        <w:rPr>
          <w:rFonts w:ascii="Times New Roman" w:hAnsi="Times New Roman" w:cs="Times New Roman" w:eastAsia="Times New Roman" w:hint="default"/>
          <w:sz w:val="18"/>
          <w:szCs w:val="18"/>
        </w:rPr>
        <w:t>(3) </w:t>
      </w:r>
      <w:r>
        <w:rPr>
          <w:rFonts w:ascii="宋体" w:hAnsi="宋体" w:cs="宋体" w:eastAsia="宋体" w:hint="default"/>
          <w:sz w:val="18"/>
          <w:szCs w:val="18"/>
        </w:rPr>
        <w:t>收入的金额能够可靠地计量；</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相关的经济 利益很可能流入；</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相关的已发生或将发生的成本能够可靠地计量。</w:t>
      </w:r>
    </w:p>
    <w:p>
      <w:pPr>
        <w:spacing w:line="612" w:lineRule="exact" w:before="4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让渡资产使用权在同时满足相关的经济利益很可能流入、收入金额能够可靠计量时，确认让渡资产使</w:t>
      </w:r>
    </w:p>
    <w:p>
      <w:pPr>
        <w:spacing w:line="219"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用权的收入。利息收入按照他人使用本公司货币资金的时间和实际利率计算确定；使用费收入按有关合同</w:t>
      </w:r>
    </w:p>
    <w:p>
      <w:pPr>
        <w:spacing w:before="37"/>
        <w:ind w:left="152" w:right="0" w:firstLine="0"/>
        <w:jc w:val="both"/>
        <w:rPr>
          <w:rFonts w:ascii="宋体" w:hAnsi="宋体" w:cs="宋体" w:eastAsia="宋体" w:hint="default"/>
          <w:sz w:val="21"/>
          <w:szCs w:val="21"/>
        </w:rPr>
      </w:pPr>
      <w:r>
        <w:rPr>
          <w:rFonts w:ascii="宋体" w:hAnsi="宋体" w:cs="宋体" w:eastAsia="宋体" w:hint="default"/>
          <w:sz w:val="21"/>
          <w:szCs w:val="21"/>
        </w:rPr>
        <w:t>或协议约定的收费时间和方法计算确定。</w:t>
      </w:r>
    </w:p>
    <w:p>
      <w:pPr>
        <w:spacing w:line="240" w:lineRule="auto" w:before="0"/>
        <w:rPr>
          <w:rFonts w:ascii="宋体" w:hAnsi="宋体" w:cs="宋体" w:eastAsia="宋体" w:hint="default"/>
          <w:sz w:val="26"/>
          <w:szCs w:val="26"/>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提供劳务交易的结果在资产负债表日能够可靠估计的（同时满足收入的金额能够可靠地计量、相关经</w:t>
      </w:r>
    </w:p>
    <w:p>
      <w:pPr>
        <w:spacing w:line="273" w:lineRule="auto" w:before="37"/>
        <w:ind w:left="152" w:right="124" w:firstLine="0"/>
        <w:jc w:val="both"/>
        <w:rPr>
          <w:rFonts w:ascii="宋体" w:hAnsi="宋体" w:cs="宋体" w:eastAsia="宋体" w:hint="default"/>
          <w:sz w:val="21"/>
          <w:szCs w:val="21"/>
        </w:rPr>
      </w:pPr>
      <w:r>
        <w:rPr>
          <w:rFonts w:ascii="宋体" w:hAnsi="宋体" w:cs="宋体" w:eastAsia="宋体" w:hint="default"/>
          <w:spacing w:val="-2"/>
          <w:sz w:val="21"/>
          <w:szCs w:val="21"/>
        </w:rPr>
        <w:t>济利益很可能流入、交易的完工进度能够可靠地确定、交易中已发生和将发生的成本能够可靠地计量），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采用完工百分比法确认提供劳务的收入。提供劳务交易的结果在资产负债表日不能够可靠估计的，若已经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发生的劳务成本预计能够得到补偿，按已经发生的劳务成本金额确认提供劳务收入，并按相同金额结转劳</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务成本；若已经发生的劳务成本预计不能够得到补偿，将已经发生的劳务成本计入当期损益，不确认劳务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收入。</w:t>
      </w:r>
    </w:p>
    <w:p>
      <w:pPr>
        <w:spacing w:after="0" w:line="273" w:lineRule="auto"/>
        <w:jc w:val="both"/>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66" w:lineRule="auto" w:before="0"/>
        <w:ind w:left="152" w:right="18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建造合同的结果在资产负债表日能够可靠估计的，根据完工百分比法确认合同收入和合同费用。</w:t>
      </w:r>
      <w:r>
        <w:rPr>
          <w:rFonts w:ascii="宋体" w:hAnsi="宋体" w:cs="宋体" w:eastAsia="宋体" w:hint="default"/>
          <w:w w:val="100"/>
          <w:sz w:val="21"/>
          <w:szCs w:val="21"/>
        </w:rPr>
        <w:t> </w:t>
      </w:r>
      <w:r>
        <w:rPr>
          <w:rFonts w:ascii="宋体" w:hAnsi="宋体" w:cs="宋体" w:eastAsia="宋体" w:hint="default"/>
          <w:spacing w:val="-2"/>
          <w:sz w:val="21"/>
          <w:szCs w:val="21"/>
        </w:rPr>
        <w:t>建造合同的结果在资产负债表日不能够可靠估计的，若合同成本能够收回的，合同收入根据能够收回的实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际合同成本予以确认，合同成本在其发生的当期确认为合同费用；若合同成本不可能收回的，在发生时立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即确认为合同费用，不确认合同收入。</w:t>
      </w:r>
    </w:p>
    <w:p>
      <w:pPr>
        <w:spacing w:line="266" w:lineRule="auto" w:before="14"/>
        <w:ind w:left="152" w:right="18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固定造价合同同时满足下列条件表明其结果能够可靠估计：合同总收入能够可靠计量、与合同相</w:t>
      </w:r>
      <w:r>
        <w:rPr>
          <w:rFonts w:ascii="宋体" w:hAnsi="宋体" w:cs="宋体" w:eastAsia="宋体" w:hint="default"/>
          <w:w w:val="100"/>
          <w:sz w:val="21"/>
          <w:szCs w:val="21"/>
        </w:rPr>
        <w:t> </w:t>
      </w:r>
      <w:r>
        <w:rPr>
          <w:rFonts w:ascii="宋体" w:hAnsi="宋体" w:cs="宋体" w:eastAsia="宋体" w:hint="default"/>
          <w:spacing w:val="-2"/>
          <w:sz w:val="21"/>
          <w:szCs w:val="21"/>
        </w:rPr>
        <w:t>关的经济利益很可能流入、实际发生的合同成本能够清楚地区分和可靠地计量、合同完工进度和为完成合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同尚需发生的成本能够可靠地计量。成本加成合同同时满足下列条件表明其结果能够可靠估计：与合同相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关的经济利益很可能流入、实际发生的合同成本能够清楚地区分和可靠地计量。</w:t>
      </w:r>
    </w:p>
    <w:p>
      <w:pPr>
        <w:spacing w:before="14"/>
        <w:ind w:left="57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确定合同完工进度的方法为实际测定的完工进度。</w:t>
      </w:r>
    </w:p>
    <w:p>
      <w:pPr>
        <w:spacing w:line="256" w:lineRule="auto" w:before="22"/>
        <w:ind w:left="152" w:right="19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资产负债表日，合同预计总成本超过合同总收入的，将预计损失确认为当期费用。执行中的建造</w:t>
      </w:r>
      <w:r>
        <w:rPr>
          <w:rFonts w:ascii="宋体" w:hAnsi="宋体" w:cs="宋体" w:eastAsia="宋体" w:hint="default"/>
          <w:w w:val="100"/>
          <w:sz w:val="21"/>
          <w:szCs w:val="21"/>
        </w:rPr>
        <w:t> </w:t>
      </w:r>
      <w:r>
        <w:rPr>
          <w:rFonts w:ascii="宋体" w:hAnsi="宋体" w:cs="宋体" w:eastAsia="宋体" w:hint="default"/>
          <w:sz w:val="21"/>
          <w:szCs w:val="21"/>
        </w:rPr>
        <w:t>合同，按其差额计提存货跌价准备；待执行的亏损合同，按其差额确认预计负债。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0"/>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244" w:right="109" w:firstLine="0"/>
        <w:jc w:val="left"/>
        <w:rPr>
          <w:rFonts w:ascii="宋体" w:hAnsi="宋体" w:cs="宋体" w:eastAsia="宋体" w:hint="default"/>
          <w:sz w:val="18"/>
          <w:szCs w:val="18"/>
        </w:rPr>
      </w:pPr>
      <w:r>
        <w:rPr>
          <w:rFonts w:ascii="宋体" w:hAnsi="宋体" w:cs="宋体" w:eastAsia="宋体" w:hint="default"/>
          <w:sz w:val="18"/>
          <w:szCs w:val="18"/>
        </w:rPr>
        <w:t>政府补助包括与资产相关的政府补助和与收益相关的政府补助。</w:t>
      </w:r>
    </w:p>
    <w:p>
      <w:pPr>
        <w:spacing w:line="240" w:lineRule="auto" w:before="0"/>
        <w:rPr>
          <w:rFonts w:ascii="宋体" w:hAnsi="宋体" w:cs="宋体" w:eastAsia="宋体" w:hint="default"/>
          <w:sz w:val="18"/>
          <w:szCs w:val="18"/>
        </w:rPr>
      </w:pPr>
    </w:p>
    <w:p>
      <w:pPr>
        <w:spacing w:before="118"/>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1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政府补助为货币性资产的，按照收到或应收的金额计量；政府补助为非货币性资产的，按照公允价</w:t>
      </w:r>
      <w:r>
        <w:rPr>
          <w:rFonts w:ascii="宋体" w:hAnsi="宋体" w:cs="宋体" w:eastAsia="宋体" w:hint="default"/>
          <w:w w:val="100"/>
          <w:sz w:val="21"/>
          <w:szCs w:val="21"/>
        </w:rPr>
        <w:t> </w:t>
      </w:r>
      <w:r>
        <w:rPr>
          <w:rFonts w:ascii="宋体" w:hAnsi="宋体" w:cs="宋体" w:eastAsia="宋体" w:hint="default"/>
          <w:sz w:val="21"/>
          <w:szCs w:val="21"/>
        </w:rPr>
        <w:t>值计量，公允价值不能可靠取得的，按照名义金额计量。</w:t>
      </w:r>
    </w:p>
    <w:p>
      <w:pPr>
        <w:spacing w:line="264" w:lineRule="auto" w:before="22"/>
        <w:ind w:left="152" w:right="16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与资产相关的政府补助，确认为递延收益，在相关资产使用寿命内平均分配，计入当期损益。与收</w:t>
      </w:r>
      <w:r>
        <w:rPr>
          <w:rFonts w:ascii="宋体" w:hAnsi="宋体" w:cs="宋体" w:eastAsia="宋体" w:hint="default"/>
          <w:w w:val="100"/>
          <w:sz w:val="21"/>
          <w:szCs w:val="21"/>
        </w:rPr>
        <w:t> </w:t>
      </w:r>
      <w:r>
        <w:rPr>
          <w:rFonts w:ascii="宋体" w:hAnsi="宋体" w:cs="宋体" w:eastAsia="宋体" w:hint="default"/>
          <w:spacing w:val="-2"/>
          <w:sz w:val="21"/>
          <w:szCs w:val="21"/>
        </w:rPr>
        <w:t>益相关的政府补助，用于补偿以后期间的相关费用或损失的，确认为递延收益，在确认相关费用的期间，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计入当期损益；用于补偿已发生的相关费用或损失的，直接计入当期损益。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0"/>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根据资产、负债的账面价值与其计税基础之间的差额（未作为资产和负债确认的项目按照税法规定可以确定其计税基础的， </w:t>
      </w:r>
      <w:r>
        <w:rPr>
          <w:rFonts w:ascii="宋体" w:hAnsi="宋体" w:cs="宋体" w:eastAsia="宋体" w:hint="default"/>
          <w:spacing w:val="-2"/>
          <w:sz w:val="18"/>
          <w:szCs w:val="18"/>
        </w:rPr>
        <w:t>该计税基础与其账面数之间的差额），按照预期收回该资产或清偿该负债期间的适用税率计算确认递延所得税资产。</w:t>
      </w:r>
    </w:p>
    <w:p>
      <w:pPr>
        <w:spacing w:line="240" w:lineRule="auto" w:before="10"/>
        <w:rPr>
          <w:rFonts w:ascii="宋体" w:hAnsi="宋体" w:cs="宋体" w:eastAsia="宋体" w:hint="default"/>
          <w:sz w:val="22"/>
          <w:szCs w:val="22"/>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根据资产、负债的账面价值与其计税基础之间的差额（未作为资产和负债确认的项目按照税法规定可以确定其计税基础的， </w:t>
      </w:r>
      <w:r>
        <w:rPr>
          <w:rFonts w:ascii="宋体" w:hAnsi="宋体" w:cs="宋体" w:eastAsia="宋体" w:hint="default"/>
          <w:spacing w:val="-2"/>
          <w:sz w:val="18"/>
          <w:szCs w:val="18"/>
        </w:rPr>
        <w:t>该计税基础与其账面数之间的差额），按照预期收回该资产或清偿该负债期间的适用税率计算确认递延所得税负债。</w:t>
      </w:r>
    </w:p>
    <w:p>
      <w:pPr>
        <w:spacing w:after="0" w:line="316"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spacing w:before="36"/>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590" w:lineRule="atLeast" w:before="24"/>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spacing w:line="273" w:lineRule="auto" w:before="37"/>
        <w:ind w:left="573" w:right="114" w:hanging="421"/>
        <w:jc w:val="left"/>
        <w:rPr>
          <w:rFonts w:ascii="宋体" w:hAnsi="宋体" w:cs="宋体" w:eastAsia="宋体" w:hint="default"/>
          <w:sz w:val="21"/>
          <w:szCs w:val="21"/>
        </w:rPr>
      </w:pPr>
      <w:r>
        <w:rPr>
          <w:rFonts w:ascii="宋体" w:hAnsi="宋体" w:cs="宋体" w:eastAsia="宋体" w:hint="default"/>
          <w:sz w:val="21"/>
          <w:szCs w:val="21"/>
        </w:rPr>
        <w:t>的初始直接费用，直接计入当期损益。或有租金在实际发生时计入当期损益。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公司为出租人时，在租赁期内各个期间按照直线法将租金确认为当期损益，发生的初始直接费用，除</w:t>
      </w:r>
    </w:p>
    <w:p>
      <w:pPr>
        <w:spacing w:before="7"/>
        <w:ind w:left="152" w:right="114" w:firstLine="0"/>
        <w:jc w:val="left"/>
        <w:rPr>
          <w:rFonts w:ascii="宋体" w:hAnsi="宋体" w:cs="宋体" w:eastAsia="宋体" w:hint="default"/>
          <w:sz w:val="21"/>
          <w:szCs w:val="21"/>
        </w:rPr>
      </w:pPr>
      <w:r>
        <w:rPr>
          <w:rFonts w:ascii="宋体" w:hAnsi="宋体" w:cs="宋体" w:eastAsia="宋体" w:hint="default"/>
          <w:sz w:val="21"/>
          <w:szCs w:val="21"/>
        </w:rPr>
        <w:t>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610" w:lineRule="atLeast" w:before="4"/>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公司将同时满足下列条件的非流动资产划分为持有待售资产：</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．已经就处置该非流动资产作出决议；</w:t>
      </w:r>
    </w:p>
    <w:p>
      <w:pPr>
        <w:spacing w:before="21"/>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．与受让方签订了不可撤销的转让协议；</w:t>
      </w:r>
      <w:r>
        <w:rPr>
          <w:rFonts w:ascii="Times New Roman" w:hAnsi="Times New Roman" w:cs="Times New Roman" w:eastAsia="Times New Roman" w:hint="default"/>
          <w:sz w:val="21"/>
          <w:szCs w:val="21"/>
        </w:rPr>
        <w:t>3</w:t>
      </w:r>
      <w:r>
        <w:rPr>
          <w:rFonts w:ascii="宋体" w:hAnsi="宋体" w:cs="宋体" w:eastAsia="宋体" w:hint="default"/>
          <w:sz w:val="21"/>
          <w:szCs w:val="21"/>
        </w:rPr>
        <w:t>．该项转让很可能在一年内完成。</w:t>
      </w:r>
    </w:p>
    <w:p>
      <w:pPr>
        <w:spacing w:line="240" w:lineRule="auto" w:before="10"/>
        <w:rPr>
          <w:rFonts w:ascii="宋体" w:hAnsi="宋体" w:cs="宋体" w:eastAsia="宋体" w:hint="default"/>
          <w:sz w:val="24"/>
          <w:szCs w:val="24"/>
        </w:rPr>
      </w:pPr>
    </w:p>
    <w:p>
      <w:pPr>
        <w:spacing w:line="600" w:lineRule="atLeast" w:before="0"/>
        <w:ind w:left="573" w:right="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对于持有待售的固定资产，公司将该项资产的预计净残值调整为反映其公允价值减去处置费用后的金</w:t>
      </w:r>
    </w:p>
    <w:p>
      <w:pPr>
        <w:spacing w:line="273" w:lineRule="auto" w:before="37"/>
        <w:ind w:left="152" w:right="114" w:firstLine="0"/>
        <w:jc w:val="left"/>
        <w:rPr>
          <w:rFonts w:ascii="宋体" w:hAnsi="宋体" w:cs="宋体" w:eastAsia="宋体" w:hint="default"/>
          <w:sz w:val="21"/>
          <w:szCs w:val="21"/>
        </w:rPr>
      </w:pPr>
      <w:r>
        <w:rPr>
          <w:rFonts w:ascii="宋体" w:hAnsi="宋体" w:cs="宋体" w:eastAsia="宋体" w:hint="default"/>
          <w:spacing w:val="-5"/>
          <w:sz w:val="21"/>
          <w:szCs w:val="21"/>
        </w:rPr>
        <w:t>额（但不得超过该项资产符合持有待售条件时的原账面价值），原账面价值高于调整后预计净残值的差额， </w:t>
      </w:r>
      <w:r>
        <w:rPr>
          <w:rFonts w:ascii="宋体" w:hAnsi="宋体" w:cs="宋体" w:eastAsia="宋体" w:hint="default"/>
          <w:sz w:val="21"/>
          <w:szCs w:val="21"/>
        </w:rPr>
        <w:t>作为资产减值损失计入当期损益。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4"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4"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5"/>
        <w:ind w:left="152" w:right="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5"/>
        <w:ind w:left="152" w:right="7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本报告期未发现前期会计差错。</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3"/>
        <w:spacing w:line="240" w:lineRule="auto" w:before="0"/>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有偿转让国有土地使用权及地上建筑 物和其他附着物产权产生的增值额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p>
        </w:tc>
      </w:tr>
      <w:tr>
        <w:trPr>
          <w:trHeight w:val="1027"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before="94"/>
        <w:ind w:left="152" w:right="0" w:firstLine="0"/>
        <w:jc w:val="left"/>
        <w:rPr>
          <w:rFonts w:ascii="宋体" w:hAnsi="宋体" w:cs="宋体" w:eastAsia="宋体" w:hint="default"/>
          <w:sz w:val="21"/>
          <w:szCs w:val="21"/>
        </w:rPr>
      </w:pPr>
      <w:r>
        <w:rPr>
          <w:rFonts w:ascii="宋体" w:hAnsi="宋体" w:cs="宋体" w:eastAsia="宋体" w:hint="default"/>
          <w:sz w:val="21"/>
          <w:szCs w:val="21"/>
        </w:rPr>
        <w:t>子公司华立集团（泰国）电气有限公司及华立电子表有限公司适用</w:t>
      </w:r>
      <w:r>
        <w:rPr>
          <w:rFonts w:ascii="Times New Roman" w:hAnsi="Times New Roman" w:cs="Times New Roman" w:eastAsia="Times New Roman" w:hint="default"/>
          <w:sz w:val="21"/>
          <w:szCs w:val="21"/>
        </w:rPr>
        <w:t>7%</w:t>
      </w:r>
      <w:r>
        <w:rPr>
          <w:rFonts w:ascii="宋体" w:hAnsi="宋体" w:cs="宋体" w:eastAsia="宋体" w:hint="default"/>
          <w:sz w:val="21"/>
          <w:szCs w:val="21"/>
        </w:rPr>
        <w:t>增值税税率。</w:t>
      </w:r>
    </w:p>
    <w:p>
      <w:pPr>
        <w:spacing w:after="0"/>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2"/>
          <w:sz w:val="21"/>
          <w:szCs w:val="21"/>
        </w:rPr>
        <w:t>子公司重庆泰捷仪器仪表有限公司、重庆华虹仪表有限公司享受西部大开发政策，</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年按</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报缴纳所得税。</w:t>
      </w:r>
    </w:p>
    <w:p>
      <w:pPr>
        <w:spacing w:line="256" w:lineRule="auto" w:before="22"/>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4"/>
          <w:sz w:val="21"/>
          <w:szCs w:val="21"/>
        </w:rPr>
        <w:t> </w:t>
      </w:r>
      <w:r>
        <w:rPr>
          <w:rFonts w:ascii="宋体" w:hAnsi="宋体" w:cs="宋体" w:eastAsia="宋体" w:hint="default"/>
          <w:spacing w:val="-2"/>
          <w:sz w:val="21"/>
          <w:szCs w:val="21"/>
        </w:rPr>
        <w:t>子公司华立仪表集团股份有限公司于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年通过高新技术企业复审，有效期为</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年，自</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p>
    <w:p>
      <w:pPr>
        <w:spacing w:line="256" w:lineRule="auto" w:before="5"/>
        <w:ind w:left="152" w:right="15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pacing w:val="-2"/>
          <w:sz w:val="21"/>
          <w:szCs w:val="21"/>
        </w:rPr>
        <w:t>子公司杭州子蜂软件有限公司于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年通过高新技术企业复审，有效期为</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年，自</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年享</w:t>
      </w:r>
      <w:r>
        <w:rPr>
          <w:rFonts w:ascii="宋体" w:hAnsi="宋体" w:cs="宋体" w:eastAsia="宋体" w:hint="default"/>
          <w:spacing w:val="-3"/>
          <w:w w:val="100"/>
          <w:sz w:val="21"/>
          <w:szCs w:val="21"/>
        </w:rPr>
        <w:t> </w:t>
      </w:r>
      <w:r>
        <w:rPr>
          <w:rFonts w:ascii="宋体" w:hAnsi="宋体" w:cs="宋体" w:eastAsia="宋体" w:hint="default"/>
          <w:sz w:val="21"/>
          <w:szCs w:val="21"/>
        </w:rPr>
        <w:t>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p>
    <w:p>
      <w:pPr>
        <w:spacing w:before="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子公司浙江华立电网控制系统有限公司于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年通过高新技术企业复审，有效期为</w:t>
      </w:r>
      <w:r>
        <w:rPr>
          <w:rFonts w:ascii="Times New Roman" w:hAnsi="Times New Roman" w:cs="Times New Roman" w:eastAsia="Times New Roman" w:hint="default"/>
          <w:sz w:val="21"/>
          <w:szCs w:val="21"/>
        </w:rPr>
        <w:t>3</w:t>
      </w:r>
      <w:r>
        <w:rPr>
          <w:rFonts w:ascii="宋体" w:hAnsi="宋体" w:cs="宋体" w:eastAsia="宋体" w:hint="default"/>
          <w:sz w:val="21"/>
          <w:szCs w:val="21"/>
        </w:rPr>
        <w:t>年，自</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p>
      <w:pPr>
        <w:spacing w:before="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p>
    <w:p>
      <w:pPr>
        <w:spacing w:before="21"/>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子公司杭州华立电力系统工程有限公司于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年通过高新技术企业复审，有效期为</w:t>
      </w:r>
      <w:r>
        <w:rPr>
          <w:rFonts w:ascii="Times New Roman" w:hAnsi="Times New Roman" w:cs="Times New Roman" w:eastAsia="Times New Roman" w:hint="default"/>
          <w:sz w:val="21"/>
          <w:szCs w:val="21"/>
        </w:rPr>
        <w:t>3</w:t>
      </w:r>
      <w:r>
        <w:rPr>
          <w:rFonts w:ascii="宋体" w:hAnsi="宋体" w:cs="宋体" w:eastAsia="宋体" w:hint="default"/>
          <w:sz w:val="21"/>
          <w:szCs w:val="21"/>
        </w:rPr>
        <w:t>年，自</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p>
      <w:pPr>
        <w:spacing w:line="256" w:lineRule="auto" w:before="22"/>
        <w:ind w:left="573" w:right="0"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年享受</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子公司重庆华虹仪表有限公司系民政福利企业，根据财政部、国家税务总局《关于调整完善现行福</w:t>
      </w:r>
    </w:p>
    <w:p>
      <w:pPr>
        <w:spacing w:line="256" w:lineRule="auto" w:before="5"/>
        <w:ind w:left="152" w:right="0" w:firstLine="0"/>
        <w:jc w:val="left"/>
        <w:rPr>
          <w:rFonts w:ascii="宋体" w:hAnsi="宋体" w:cs="宋体" w:eastAsia="宋体" w:hint="default"/>
          <w:sz w:val="21"/>
          <w:szCs w:val="21"/>
        </w:rPr>
      </w:pPr>
      <w:r>
        <w:rPr>
          <w:rFonts w:ascii="宋体" w:hAnsi="宋体" w:cs="宋体" w:eastAsia="宋体" w:hint="default"/>
          <w:spacing w:val="-1"/>
          <w:sz w:val="21"/>
          <w:szCs w:val="21"/>
        </w:rPr>
        <w:t>利企业税收优惠政策试点工作的通知》（财税</w:t>
      </w:r>
      <w:r>
        <w:rPr>
          <w:rFonts w:ascii="Times New Roman" w:hAnsi="Times New Roman" w:cs="Times New Roman" w:eastAsia="Times New Roman" w:hint="default"/>
          <w:spacing w:val="-1"/>
          <w:sz w:val="21"/>
          <w:szCs w:val="21"/>
        </w:rPr>
        <w:t>[2006]111</w:t>
      </w:r>
      <w:r>
        <w:rPr>
          <w:rFonts w:ascii="宋体" w:hAnsi="宋体" w:cs="宋体" w:eastAsia="宋体" w:hint="default"/>
          <w:spacing w:val="-1"/>
          <w:sz w:val="21"/>
          <w:szCs w:val="21"/>
        </w:rPr>
        <w:t>号）的规定，从</w:t>
      </w: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日起，实行成本加计</w:t>
      </w:r>
      <w:r>
        <w:rPr>
          <w:rFonts w:ascii="宋体" w:hAnsi="宋体" w:cs="宋体" w:eastAsia="宋体" w:hint="default"/>
          <w:spacing w:val="-5"/>
          <w:sz w:val="21"/>
          <w:szCs w:val="21"/>
        </w:rPr>
        <w:t> </w:t>
      </w:r>
      <w:r>
        <w:rPr>
          <w:rFonts w:ascii="宋体" w:hAnsi="宋体" w:cs="宋体" w:eastAsia="宋体" w:hint="default"/>
          <w:sz w:val="21"/>
          <w:szCs w:val="21"/>
        </w:rPr>
        <w:t>扣除办法，即支付给残疾职工工资可全额在计算所得税前扣除，并可</w:t>
      </w:r>
      <w:r>
        <w:rPr>
          <w:rFonts w:ascii="Times New Roman" w:hAnsi="Times New Roman" w:cs="Times New Roman" w:eastAsia="Times New Roman" w:hint="default"/>
          <w:sz w:val="21"/>
          <w:szCs w:val="21"/>
        </w:rPr>
        <w:t>100%</w:t>
      </w:r>
      <w:r>
        <w:rPr>
          <w:rFonts w:ascii="宋体" w:hAnsi="宋体" w:cs="宋体" w:eastAsia="宋体" w:hint="default"/>
          <w:sz w:val="21"/>
          <w:szCs w:val="21"/>
        </w:rPr>
        <w:t>加计扣除。</w:t>
      </w:r>
    </w:p>
    <w:p>
      <w:pPr>
        <w:spacing w:line="256" w:lineRule="auto" w:before="5"/>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子公司洪雅美联曼地亚红豆杉种植有限公司系林木种植加工企业，根据财政部、国家税务总局财税</w:t>
      </w:r>
      <w:r>
        <w:rPr>
          <w:rFonts w:ascii="宋体" w:hAnsi="宋体" w:cs="宋体" w:eastAsia="宋体" w:hint="default"/>
          <w:w w:val="100"/>
          <w:sz w:val="21"/>
          <w:szCs w:val="21"/>
        </w:rPr>
        <w:t> </w:t>
      </w:r>
      <w:r>
        <w:rPr>
          <w:rFonts w:ascii="宋体" w:hAnsi="宋体" w:cs="宋体" w:eastAsia="宋体" w:hint="default"/>
          <w:spacing w:val="-3"/>
          <w:sz w:val="21"/>
          <w:szCs w:val="21"/>
        </w:rPr>
        <w:t>字</w:t>
      </w:r>
      <w:r>
        <w:rPr>
          <w:rFonts w:ascii="Times New Roman" w:hAnsi="Times New Roman" w:cs="Times New Roman" w:eastAsia="Times New Roman" w:hint="default"/>
          <w:spacing w:val="-3"/>
          <w:sz w:val="21"/>
          <w:szCs w:val="21"/>
        </w:rPr>
        <w:t>[2001]171</w:t>
      </w:r>
      <w:r>
        <w:rPr>
          <w:rFonts w:ascii="宋体" w:hAnsi="宋体" w:cs="宋体" w:eastAsia="宋体" w:hint="default"/>
          <w:spacing w:val="-3"/>
          <w:sz w:val="21"/>
          <w:szCs w:val="21"/>
        </w:rPr>
        <w:t>号文件规定，其种植林木、林木种子和苗木作物以及从事林木产品初加工取得的所得，暂免缴</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纳企业所得税。</w:t>
      </w:r>
    </w:p>
    <w:p>
      <w:pPr>
        <w:spacing w:line="256" w:lineRule="auto" w:before="22"/>
        <w:ind w:left="152" w:right="14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3"/>
          <w:sz w:val="21"/>
          <w:szCs w:val="21"/>
        </w:rPr>
        <w:t> </w:t>
      </w:r>
      <w:r>
        <w:rPr>
          <w:rFonts w:ascii="宋体" w:hAnsi="宋体" w:cs="宋体" w:eastAsia="宋体" w:hint="default"/>
          <w:spacing w:val="-3"/>
          <w:sz w:val="21"/>
          <w:szCs w:val="21"/>
        </w:rPr>
        <w:t>子公司华立集团（泰国）电气有限公司享受从事泰国投资促进委员会鼓励类业务所得（单、三相表</w:t>
      </w:r>
      <w:r>
        <w:rPr>
          <w:rFonts w:ascii="宋体" w:hAnsi="宋体" w:cs="宋体" w:eastAsia="宋体" w:hint="default"/>
          <w:w w:val="100"/>
          <w:sz w:val="21"/>
          <w:szCs w:val="21"/>
        </w:rPr>
        <w:t> </w:t>
      </w:r>
      <w:r>
        <w:rPr>
          <w:rFonts w:ascii="宋体" w:hAnsi="宋体" w:cs="宋体" w:eastAsia="宋体" w:hint="default"/>
          <w:sz w:val="21"/>
          <w:szCs w:val="21"/>
        </w:rPr>
        <w:t>销售）自取得鼓励类业务收入起七年内豁免企业所得税的税收优惠政策，该政策至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日到期。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销售零部件或者其他型号的产品适用所得税率</w:t>
      </w:r>
      <w:r>
        <w:rPr>
          <w:rFonts w:ascii="Times New Roman" w:hAnsi="Times New Roman" w:cs="Times New Roman" w:eastAsia="Times New Roman" w:hint="default"/>
          <w:sz w:val="21"/>
          <w:szCs w:val="21"/>
        </w:rPr>
        <w:t>23%</w:t>
      </w:r>
      <w:r>
        <w:rPr>
          <w:rFonts w:ascii="宋体" w:hAnsi="宋体" w:cs="宋体" w:eastAsia="宋体" w:hint="default"/>
          <w:sz w:val="21"/>
          <w:szCs w:val="21"/>
        </w:rPr>
        <w:t>。</w:t>
      </w:r>
    </w:p>
    <w:p>
      <w:pPr>
        <w:spacing w:line="256" w:lineRule="auto" w:before="5"/>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2"/>
          <w:sz w:val="21"/>
          <w:szCs w:val="21"/>
        </w:rPr>
        <w:t> </w:t>
      </w:r>
      <w:r>
        <w:rPr>
          <w:rFonts w:ascii="宋体" w:hAnsi="宋体" w:cs="宋体" w:eastAsia="宋体" w:hint="default"/>
          <w:spacing w:val="-3"/>
          <w:sz w:val="21"/>
          <w:szCs w:val="21"/>
        </w:rPr>
        <w:t>子公司华立电子表有限公司享受从事泰国投资促进委员会鼓励类业务所得（电子表销售），自取得</w:t>
      </w:r>
      <w:r>
        <w:rPr>
          <w:rFonts w:ascii="宋体" w:hAnsi="宋体" w:cs="宋体" w:eastAsia="宋体" w:hint="default"/>
          <w:w w:val="100"/>
          <w:sz w:val="21"/>
          <w:szCs w:val="21"/>
        </w:rPr>
        <w:t> </w:t>
      </w:r>
      <w:r>
        <w:rPr>
          <w:rFonts w:ascii="宋体" w:hAnsi="宋体" w:cs="宋体" w:eastAsia="宋体" w:hint="default"/>
          <w:spacing w:val="-2"/>
          <w:sz w:val="21"/>
          <w:szCs w:val="21"/>
        </w:rPr>
        <w:t>鼓励类业务收入起七年内豁免企业所得税的税收优惠政策，该政策至</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日到期。销售零部件或</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者其他型号的产品适用所得税率</w:t>
      </w:r>
      <w:r>
        <w:rPr>
          <w:rFonts w:ascii="Times New Roman" w:hAnsi="Times New Roman" w:cs="Times New Roman" w:eastAsia="Times New Roman" w:hint="default"/>
          <w:sz w:val="21"/>
          <w:szCs w:val="21"/>
        </w:rPr>
        <w:t>23%</w:t>
      </w:r>
      <w:r>
        <w:rPr>
          <w:rFonts w:ascii="宋体" w:hAnsi="宋体" w:cs="宋体" w:eastAsia="宋体" w:hint="default"/>
          <w:sz w:val="21"/>
          <w:szCs w:val="21"/>
        </w:rPr>
        <w:t>。</w:t>
      </w:r>
    </w:p>
    <w:p>
      <w:pPr>
        <w:spacing w:before="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子公司</w:t>
      </w:r>
      <w:r>
        <w:rPr>
          <w:rFonts w:ascii="Times New Roman" w:hAnsi="Times New Roman" w:cs="Times New Roman" w:eastAsia="Times New Roman" w:hint="default"/>
          <w:sz w:val="21"/>
          <w:szCs w:val="21"/>
        </w:rPr>
        <w:t>ELEKTR QUVVAT</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z w:val="21"/>
          <w:szCs w:val="21"/>
        </w:rPr>
        <w:t>QURILMALARI</w:t>
      </w:r>
      <w:r>
        <w:rPr>
          <w:rFonts w:ascii="宋体" w:hAnsi="宋体" w:cs="宋体" w:eastAsia="宋体" w:hint="default"/>
          <w:sz w:val="21"/>
          <w:szCs w:val="21"/>
        </w:rPr>
        <w:t>按营业收入的</w:t>
      </w:r>
      <w:r>
        <w:rPr>
          <w:rFonts w:ascii="Times New Roman" w:hAnsi="Times New Roman" w:cs="Times New Roman" w:eastAsia="Times New Roman" w:hint="default"/>
          <w:sz w:val="21"/>
          <w:szCs w:val="21"/>
        </w:rPr>
        <w:t>5%</w:t>
      </w:r>
      <w:r>
        <w:rPr>
          <w:rFonts w:ascii="宋体" w:hAnsi="宋体" w:cs="宋体" w:eastAsia="宋体" w:hint="default"/>
          <w:sz w:val="21"/>
          <w:szCs w:val="21"/>
        </w:rPr>
        <w:t>计收综合所得税。</w:t>
      </w:r>
    </w:p>
    <w:p>
      <w:pPr>
        <w:spacing w:line="256" w:lineRule="auto" w:before="21"/>
        <w:ind w:left="152" w:right="12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pacing w:val="-4"/>
          <w:sz w:val="21"/>
          <w:szCs w:val="21"/>
        </w:rPr>
        <w:t>根据《财政部</w:t>
      </w:r>
      <w:r>
        <w:rPr>
          <w:rFonts w:ascii="宋体" w:hAnsi="宋体" w:cs="宋体" w:eastAsia="宋体" w:hint="default"/>
          <w:spacing w:val="11"/>
          <w:sz w:val="21"/>
          <w:szCs w:val="21"/>
        </w:rPr>
        <w:t> </w:t>
      </w:r>
      <w:r>
        <w:rPr>
          <w:rFonts w:ascii="宋体" w:hAnsi="宋体" w:cs="宋体" w:eastAsia="宋体" w:hint="default"/>
          <w:spacing w:val="-3"/>
          <w:sz w:val="21"/>
          <w:szCs w:val="21"/>
        </w:rPr>
        <w:t>国家税务总局关于企业所得税若干优惠政策的通知》（财税</w:t>
      </w:r>
      <w:r>
        <w:rPr>
          <w:rFonts w:ascii="Times New Roman" w:hAnsi="Times New Roman" w:cs="Times New Roman" w:eastAsia="Times New Roman" w:hint="default"/>
          <w:spacing w:val="-3"/>
          <w:sz w:val="21"/>
          <w:szCs w:val="21"/>
        </w:rPr>
        <w:t>[2008]1</w:t>
      </w:r>
      <w:r>
        <w:rPr>
          <w:rFonts w:ascii="宋体" w:hAnsi="宋体" w:cs="宋体" w:eastAsia="宋体" w:hint="default"/>
          <w:spacing w:val="-3"/>
          <w:sz w:val="21"/>
          <w:szCs w:val="21"/>
        </w:rPr>
        <w:t>号），子公司杭</w:t>
      </w:r>
      <w:r>
        <w:rPr>
          <w:rFonts w:ascii="宋体" w:hAnsi="宋体" w:cs="宋体" w:eastAsia="宋体" w:hint="default"/>
          <w:w w:val="100"/>
          <w:sz w:val="21"/>
          <w:szCs w:val="21"/>
        </w:rPr>
        <w:t> </w:t>
      </w:r>
      <w:r>
        <w:rPr>
          <w:rFonts w:ascii="宋体" w:hAnsi="宋体" w:cs="宋体" w:eastAsia="宋体" w:hint="default"/>
          <w:spacing w:val="-2"/>
          <w:sz w:val="21"/>
          <w:szCs w:val="21"/>
        </w:rPr>
        <w:t>州安厚信息技术有限公司系新办软件生产企业，自获利年度</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年起，第一年和第二年免征企业所得税，</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第三年至第五年减半征收企业所得税。本期为获利第一年，免税。</w:t>
      </w:r>
    </w:p>
    <w:p>
      <w:pPr>
        <w:spacing w:line="256" w:lineRule="auto" w:before="22"/>
        <w:ind w:left="152" w:right="15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子公司重庆华虹仪表有限公司享受按符合条件的每位残疾职工每人每月一定限额退还增值税的优</w:t>
      </w:r>
      <w:r>
        <w:rPr>
          <w:rFonts w:ascii="宋体" w:hAnsi="宋体" w:cs="宋体" w:eastAsia="宋体" w:hint="default"/>
          <w:w w:val="100"/>
          <w:sz w:val="21"/>
          <w:szCs w:val="21"/>
        </w:rPr>
        <w:t> </w:t>
      </w:r>
      <w:r>
        <w:rPr>
          <w:rFonts w:ascii="宋体" w:hAnsi="宋体" w:cs="宋体" w:eastAsia="宋体" w:hint="default"/>
          <w:sz w:val="21"/>
          <w:szCs w:val="21"/>
        </w:rPr>
        <w:t>惠政策，但不退还政策法规明确规定不应当退还的税款。</w:t>
      </w:r>
    </w:p>
    <w:p>
      <w:pPr>
        <w:spacing w:line="261" w:lineRule="auto" w:before="22"/>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根据《国务院关于印发进一步鼓励软件产业和集成电路产业发展若干政策的通知》（国发</w:t>
      </w:r>
      <w:r>
        <w:rPr>
          <w:rFonts w:ascii="Times New Roman" w:hAnsi="Times New Roman" w:cs="Times New Roman" w:eastAsia="Times New Roman" w:hint="default"/>
          <w:sz w:val="21"/>
          <w:szCs w:val="21"/>
        </w:rPr>
        <w:t>[2011]4</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号）和财政部、国家税务总局《关于软件产品增值税政策的通知》（财税</w:t>
      </w:r>
      <w:r>
        <w:rPr>
          <w:rFonts w:ascii="Times New Roman" w:hAnsi="Times New Roman" w:cs="Times New Roman" w:eastAsia="Times New Roman" w:hint="default"/>
          <w:spacing w:val="-3"/>
          <w:sz w:val="21"/>
          <w:szCs w:val="21"/>
        </w:rPr>
        <w:t>[2011]100</w:t>
      </w:r>
      <w:r>
        <w:rPr>
          <w:rFonts w:ascii="宋体" w:hAnsi="宋体" w:cs="宋体" w:eastAsia="宋体" w:hint="default"/>
          <w:spacing w:val="-3"/>
          <w:sz w:val="21"/>
          <w:szCs w:val="21"/>
        </w:rPr>
        <w:t>号），子公司杭州子蜂</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软件有限公司、杭州安厚信息技术有限公司、浙江华立电网控制系统有限公司对自行开发生产销售的软件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产品可享受增值税实际税负超过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的部分予以退还政策。</w:t>
      </w:r>
    </w:p>
    <w:p>
      <w:pPr>
        <w:spacing w:line="240" w:lineRule="auto" w:before="12"/>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9" w:top="1100" w:bottom="1160" w:left="980" w:right="980"/>
        </w:sectPr>
      </w:pPr>
    </w:p>
    <w:p>
      <w:pPr>
        <w:pStyle w:val="Heading3"/>
        <w:spacing w:line="240" w:lineRule="auto" w:before="28"/>
        <w:ind w:left="680" w:right="0"/>
        <w:jc w:val="left"/>
        <w:rPr>
          <w:b w:val="0"/>
          <w:bCs w:val="0"/>
        </w:rPr>
      </w:pPr>
      <w:r>
        <w:rPr/>
        <w:pict>
          <v:group style="position:absolute;margin-left:70.559998pt;margin-top:2.195603pt;width:700.95pt;height:.1pt;mso-position-horizontal-relative:page;mso-position-vertical-relative:paragraph;z-index:-839032" coordorigin="1411,44" coordsize="14019,2">
            <v:shape style="position:absolute;left:1411;top:44;width:14019;height:2" coordorigin="1411,44" coordsize="14019,0" path="m1411,44l15430,44e" filled="false" stroked="true" strokeweight=".72pt" strokecolor="#000000">
              <v:path arrowok="t"/>
            </v:shape>
            <w10:wrap type="none"/>
          </v:group>
        </w:pict>
      </w:r>
      <w:r>
        <w:rPr/>
        <w:t>六、企业合并及合并财务报表</w:t>
      </w:r>
      <w:r>
        <w:rPr>
          <w:b w:val="0"/>
          <w:bCs w:val="0"/>
        </w:rPr>
      </w:r>
    </w:p>
    <w:p>
      <w:pPr>
        <w:spacing w:line="240" w:lineRule="auto" w:before="12"/>
        <w:rPr>
          <w:rFonts w:ascii="宋体" w:hAnsi="宋体" w:cs="宋体" w:eastAsia="宋体" w:hint="default"/>
          <w:b/>
          <w:bCs/>
          <w:sz w:val="24"/>
          <w:szCs w:val="24"/>
        </w:rPr>
      </w:pPr>
    </w:p>
    <w:p>
      <w:pPr>
        <w:spacing w:before="0"/>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47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991"/>
        <w:gridCol w:w="566"/>
        <w:gridCol w:w="710"/>
        <w:gridCol w:w="1417"/>
        <w:gridCol w:w="1277"/>
        <w:gridCol w:w="1277"/>
        <w:gridCol w:w="850"/>
        <w:gridCol w:w="708"/>
        <w:gridCol w:w="850"/>
        <w:gridCol w:w="711"/>
        <w:gridCol w:w="1133"/>
        <w:gridCol w:w="1277"/>
        <w:gridCol w:w="1558"/>
      </w:tblGrid>
      <w:tr>
        <w:trPr>
          <w:trHeight w:val="227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59" w:right="7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540" w:right="94"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7" w:right="60"/>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2" w:right="7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96" w:right="5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79" w:right="80"/>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杭州蓝创电力科技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电力系统软件 </w:t>
            </w:r>
            <w:r>
              <w:rPr>
                <w:rFonts w:ascii="宋体" w:hAnsi="宋体" w:cs="宋体" w:eastAsia="宋体" w:hint="default"/>
                <w:spacing w:val="-6"/>
                <w:sz w:val="18"/>
                <w:szCs w:val="18"/>
              </w:rPr>
              <w:t>开发、技术咨询</w:t>
            </w:r>
            <w:r>
              <w:rPr>
                <w:rFonts w:ascii="宋体" w:hAnsi="宋体" w:cs="宋体" w:eastAsia="宋体" w:hint="default"/>
                <w:sz w:val="18"/>
                <w:szCs w:val="18"/>
              </w:rPr>
              <w:t> 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87"/>
              <w:jc w:val="left"/>
              <w:rPr>
                <w:rFonts w:ascii="宋体" w:hAnsi="宋体" w:cs="宋体" w:eastAsia="宋体" w:hint="default"/>
                <w:sz w:val="18"/>
                <w:szCs w:val="18"/>
              </w:rPr>
            </w:pPr>
            <w:r>
              <w:rPr>
                <w:rFonts w:ascii="宋体" w:hAnsi="宋体" w:cs="宋体" w:eastAsia="宋体" w:hint="default"/>
                <w:sz w:val="18"/>
                <w:szCs w:val="18"/>
              </w:rPr>
              <w:t>浙江华立能源技术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12" w:space="0" w:color="FFFFFF"/>
            </w:tcBorders>
          </w:tcPr>
          <w:p>
            <w:pPr>
              <w:pStyle w:val="TableParagraph"/>
              <w:spacing w:line="316" w:lineRule="auto" w:before="49"/>
              <w:ind w:left="23" w:right="-28"/>
              <w:jc w:val="both"/>
              <w:rPr>
                <w:rFonts w:ascii="宋体" w:hAnsi="宋体" w:cs="宋体" w:eastAsia="宋体" w:hint="default"/>
                <w:sz w:val="18"/>
                <w:szCs w:val="18"/>
              </w:rPr>
            </w:pPr>
            <w:r>
              <w:rPr>
                <w:rFonts w:ascii="宋体" w:hAnsi="宋体" w:cs="宋体" w:eastAsia="宋体" w:hint="default"/>
                <w:spacing w:val="-6"/>
                <w:sz w:val="18"/>
                <w:szCs w:val="18"/>
              </w:rPr>
              <w:t>制造、销售仪器</w:t>
            </w:r>
            <w:r>
              <w:rPr>
                <w:rFonts w:ascii="宋体" w:hAnsi="宋体" w:cs="宋体" w:eastAsia="宋体" w:hint="default"/>
                <w:sz w:val="18"/>
                <w:szCs w:val="18"/>
              </w:rPr>
              <w:t> 仪表及原材料， </w:t>
            </w:r>
            <w:r>
              <w:rPr>
                <w:rFonts w:ascii="宋体" w:hAnsi="宋体" w:cs="宋体" w:eastAsia="宋体" w:hint="default"/>
                <w:spacing w:val="-6"/>
                <w:sz w:val="18"/>
                <w:szCs w:val="18"/>
              </w:rPr>
              <w:t>实业投资，经营</w:t>
            </w:r>
            <w:r>
              <w:rPr>
                <w:rFonts w:ascii="宋体" w:hAnsi="宋体" w:cs="宋体" w:eastAsia="宋体" w:hint="default"/>
                <w:sz w:val="18"/>
                <w:szCs w:val="18"/>
              </w:rPr>
              <w:t> 进出口业务等</w:t>
            </w:r>
          </w:p>
        </w:tc>
        <w:tc>
          <w:tcPr>
            <w:tcW w:w="1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4,193,500.00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07" w:lineRule="auto"/>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Energy</w:t>
            </w:r>
            <w:r>
              <w:rPr>
                <w:rFonts w:ascii="Times New Roman" w:hAnsi="Times New Roman" w:cs="Times New Roman" w:eastAsia="Times New Roman" w:hint="default"/>
                <w:sz w:val="18"/>
                <w:szCs w:val="18"/>
              </w:rPr>
              <w:t> Indonesia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华立能源 印尼有限公司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印度 尼西 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USD1000000.00</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pacing w:val="-6"/>
                <w:sz w:val="18"/>
                <w:szCs w:val="18"/>
              </w:rPr>
              <w:t>各种电能表，水</w:t>
            </w:r>
            <w:r>
              <w:rPr>
                <w:rFonts w:ascii="宋体" w:hAnsi="宋体" w:cs="宋体" w:eastAsia="宋体" w:hint="default"/>
                <w:sz w:val="18"/>
                <w:szCs w:val="18"/>
              </w:rPr>
              <w:t> </w:t>
            </w:r>
            <w:r>
              <w:rPr>
                <w:rFonts w:ascii="宋体" w:hAnsi="宋体" w:cs="宋体" w:eastAsia="宋体" w:hint="default"/>
                <w:spacing w:val="-6"/>
                <w:sz w:val="18"/>
                <w:szCs w:val="18"/>
              </w:rPr>
              <w:t>表，气表及自动</w:t>
            </w:r>
            <w:r>
              <w:rPr>
                <w:rFonts w:ascii="宋体" w:hAnsi="宋体" w:cs="宋体" w:eastAsia="宋体" w:hint="default"/>
                <w:sz w:val="18"/>
                <w:szCs w:val="18"/>
              </w:rPr>
              <w:t> 抄表系统的组 装生产和销售； 以及表计散件 的销售。</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5,099,700.00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1" w:right="76"/>
              <w:jc w:val="left"/>
              <w:rPr>
                <w:rFonts w:ascii="Times New Roman" w:hAnsi="Times New Roman" w:cs="Times New Roman" w:eastAsia="Times New Roman" w:hint="default"/>
                <w:sz w:val="18"/>
                <w:szCs w:val="18"/>
              </w:rPr>
            </w:pPr>
            <w:r>
              <w:rPr>
                <w:rFonts w:ascii="Times New Roman"/>
                <w:sz w:val="18"/>
              </w:rPr>
              <w:t>ELEKTR</w:t>
            </w:r>
            <w:r>
              <w:rPr>
                <w:rFonts w:ascii="Times New Roman"/>
                <w:spacing w:val="-4"/>
                <w:sz w:val="18"/>
              </w:rPr>
              <w:t> </w:t>
            </w:r>
            <w:r>
              <w:rPr>
                <w:rFonts w:ascii="Times New Roman"/>
                <w:spacing w:val="-7"/>
                <w:sz w:val="18"/>
              </w:rPr>
              <w:t>QUVVAT</w:t>
            </w:r>
            <w:r>
              <w:rPr>
                <w:rFonts w:ascii="Times New Roman"/>
                <w:sz w:val="18"/>
              </w:rPr>
              <w:t> QURILMALARI</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乌兹 别克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USD550000.00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生产、贸易、服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务多种经营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1,728,500.00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1,723,400.00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867" w:footer="980" w:top="1060" w:bottom="1160" w:left="760" w:right="960"/>
          <w:pgNumType w:start="89"/>
        </w:sectPr>
      </w:pPr>
    </w:p>
    <w:p>
      <w:pPr>
        <w:spacing w:line="240" w:lineRule="auto" w:before="11"/>
        <w:rPr>
          <w:rFonts w:ascii="宋体" w:hAnsi="宋体" w:cs="宋体" w:eastAsia="宋体" w:hint="default"/>
          <w:sz w:val="2"/>
          <w:szCs w:val="2"/>
        </w:rPr>
      </w:pPr>
      <w:r>
        <w:rPr/>
        <w:pict>
          <v:shape style="position:absolute;margin-left:336.769989pt;margin-top:388.149994pt;width:96.55pt;height:31.2pt;mso-position-horizontal-relative:page;mso-position-vertical-relative:page;z-index:-8389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卡水表、</w:t>
                  </w:r>
                </w:p>
              </w:txbxContent>
            </v:textbox>
            <w10:wrap type="none"/>
          </v:shape>
        </w:pict>
      </w:r>
      <w:r>
        <w:rPr/>
        <w:pict>
          <v:group style="position:absolute;margin-left:370.01001pt;margin-top:388.149994pt;width:63.3pt;height:31.2pt;mso-position-horizontal-relative:page;mso-position-vertical-relative:page;z-index:-838960" coordorigin="7400,7763" coordsize="1266,624">
            <v:shape style="position:absolute;left:7400;top:7763;width:1266;height:624" coordorigin="7400,7763" coordsize="1266,624" path="m7400,8387l8665,8387,8665,7763,7400,7763,7400,8387xe" filled="true" fillcolor="#ffffff" stroked="false">
              <v:path arrowok="t"/>
              <v:fill type="solid"/>
            </v:shape>
            <w10:wrap type="none"/>
          </v:group>
        </w:pict>
      </w:r>
    </w:p>
    <w:p>
      <w:pPr>
        <w:spacing w:line="20" w:lineRule="exact"/>
        <w:ind w:left="6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19"/>
        <w:ind w:left="680"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spacing w:before="118"/>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47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991"/>
        <w:gridCol w:w="566"/>
        <w:gridCol w:w="710"/>
        <w:gridCol w:w="1417"/>
        <w:gridCol w:w="1277"/>
        <w:gridCol w:w="136"/>
        <w:gridCol w:w="1142"/>
        <w:gridCol w:w="850"/>
        <w:gridCol w:w="708"/>
        <w:gridCol w:w="850"/>
        <w:gridCol w:w="569"/>
        <w:gridCol w:w="1274"/>
        <w:gridCol w:w="1277"/>
        <w:gridCol w:w="1558"/>
      </w:tblGrid>
      <w:tr>
        <w:trPr>
          <w:trHeight w:val="227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59" w:right="7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540" w:right="94"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7" w:right="60"/>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22" w:right="7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96" w:right="5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98" w:right="9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3" w:hanging="1"/>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6"/>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181,552,800.00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电力仪器仪表 及元器件的制 造销售等</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320,425,900.00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133,739,400.00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重庆泰捷仪器仪表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重庆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制造、销售仪器</w:t>
            </w:r>
            <w:r>
              <w:rPr>
                <w:rFonts w:ascii="宋体" w:hAnsi="宋体" w:cs="宋体" w:eastAsia="宋体" w:hint="default"/>
                <w:sz w:val="18"/>
                <w:szCs w:val="18"/>
              </w:rPr>
              <w:t> 仪表及原材料</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14,270,000.00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重庆华虹仪表有限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重庆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生产销售仪器 仪表及其元器 件</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26,996,500.00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7,647,300.00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浙江华立利源仪表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电能表及系统、 远传水表及普 通水表的生产 销售</w:t>
            </w:r>
          </w:p>
        </w:tc>
        <w:tc>
          <w:tcPr>
            <w:tcW w:w="136" w:type="dxa"/>
            <w:tcBorders>
              <w:top w:val="single" w:sz="4" w:space="0" w:color="000000"/>
              <w:left w:val="single" w:sz="4" w:space="0" w:color="000000"/>
              <w:bottom w:val="single" w:sz="4" w:space="0" w:color="000000"/>
              <w:right w:val="nil" w:sz="6" w:space="0" w:color="auto"/>
            </w:tcBorders>
          </w:tcPr>
          <w:p>
            <w:pPr/>
          </w:p>
        </w:tc>
        <w:tc>
          <w:tcPr>
            <w:tcW w:w="11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14,276,300.00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3,779,900.00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杭州子蜂软件有限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服务、销售</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5,038,900.00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浙江华立科技有限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6"/>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pacing w:val="-6"/>
                <w:sz w:val="18"/>
                <w:szCs w:val="18"/>
              </w:rPr>
              <w:t>电力自动化、信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48,766,200.00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2,918,600.00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760" w:right="96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60"/>
        <w:gridCol w:w="991"/>
        <w:gridCol w:w="566"/>
        <w:gridCol w:w="710"/>
        <w:gridCol w:w="1417"/>
        <w:gridCol w:w="1277"/>
        <w:gridCol w:w="1277"/>
        <w:gridCol w:w="850"/>
        <w:gridCol w:w="708"/>
        <w:gridCol w:w="850"/>
        <w:gridCol w:w="569"/>
        <w:gridCol w:w="1274"/>
        <w:gridCol w:w="1277"/>
        <w:gridCol w:w="1558"/>
      </w:tblGrid>
      <w:tr>
        <w:trPr>
          <w:trHeight w:val="2874" w:hRule="exact"/>
        </w:trPr>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的子公司</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市</w:t>
            </w:r>
          </w:p>
        </w:tc>
        <w:tc>
          <w:tcPr>
            <w:tcW w:w="710"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pacing w:val="-6"/>
                <w:sz w:val="18"/>
                <w:szCs w:val="18"/>
              </w:rPr>
              <w:t>息系统、电力电</w:t>
            </w:r>
            <w:r>
              <w:rPr>
                <w:rFonts w:ascii="宋体" w:hAnsi="宋体" w:cs="宋体" w:eastAsia="宋体" w:hint="default"/>
                <w:sz w:val="18"/>
                <w:szCs w:val="18"/>
              </w:rPr>
              <w:t> 子设备及电网 </w:t>
            </w:r>
            <w:r>
              <w:rPr>
                <w:rFonts w:ascii="宋体" w:hAnsi="宋体" w:cs="宋体" w:eastAsia="宋体" w:hint="default"/>
                <w:spacing w:val="-6"/>
                <w:sz w:val="18"/>
                <w:szCs w:val="18"/>
              </w:rPr>
              <w:t>终端设备、电力</w:t>
            </w:r>
            <w:r>
              <w:rPr>
                <w:rFonts w:ascii="宋体" w:hAnsi="宋体" w:cs="宋体" w:eastAsia="宋体" w:hint="default"/>
                <w:sz w:val="18"/>
                <w:szCs w:val="18"/>
              </w:rPr>
              <w:t> </w:t>
            </w:r>
            <w:r>
              <w:rPr>
                <w:rFonts w:ascii="宋体" w:hAnsi="宋体" w:cs="宋体" w:eastAsia="宋体" w:hint="default"/>
                <w:spacing w:val="-6"/>
                <w:sz w:val="18"/>
                <w:szCs w:val="18"/>
              </w:rPr>
              <w:t>通讯、高低压电</w:t>
            </w:r>
            <w:r>
              <w:rPr>
                <w:rFonts w:ascii="宋体" w:hAnsi="宋体" w:cs="宋体" w:eastAsia="宋体" w:hint="default"/>
                <w:sz w:val="18"/>
                <w:szCs w:val="18"/>
              </w:rPr>
              <w:t> </w:t>
            </w:r>
            <w:r>
              <w:rPr>
                <w:rFonts w:ascii="宋体" w:hAnsi="宋体" w:cs="宋体" w:eastAsia="宋体" w:hint="default"/>
                <w:spacing w:val="-6"/>
                <w:sz w:val="18"/>
                <w:szCs w:val="18"/>
              </w:rPr>
              <w:t>器、电力管理软</w:t>
            </w:r>
            <w:r>
              <w:rPr>
                <w:rFonts w:ascii="宋体" w:hAnsi="宋体" w:cs="宋体" w:eastAsia="宋体" w:hint="default"/>
                <w:sz w:val="18"/>
                <w:szCs w:val="18"/>
              </w:rPr>
              <w:t> 件的技术开发、 技术服务及销 </w:t>
            </w:r>
            <w:r>
              <w:rPr>
                <w:rFonts w:ascii="宋体" w:hAnsi="宋体" w:cs="宋体" w:eastAsia="宋体" w:hint="default"/>
                <w:spacing w:val="-6"/>
                <w:sz w:val="18"/>
                <w:szCs w:val="18"/>
              </w:rPr>
              <w:t>售、经营进出口</w:t>
            </w:r>
            <w:r>
              <w:rPr>
                <w:rFonts w:ascii="宋体" w:hAnsi="宋体" w:cs="宋体" w:eastAsia="宋体" w:hint="default"/>
                <w:sz w:val="18"/>
                <w:szCs w:val="18"/>
              </w:rPr>
              <w:t> 业务</w:t>
            </w:r>
          </w:p>
        </w:tc>
        <w:tc>
          <w:tcPr>
            <w:tcW w:w="1277"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浙江华立电网控制 系统有限公司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w:t>
            </w:r>
            <w:r>
              <w:rPr>
                <w:rFonts w:ascii="宋体" w:hAnsi="宋体" w:cs="宋体" w:eastAsia="宋体" w:hint="default"/>
                <w:spacing w:val="-6"/>
                <w:sz w:val="18"/>
                <w:szCs w:val="18"/>
              </w:rPr>
              <w:t>服务、成果转让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25,916,000.00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9,201,900.00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杭州华立电力系统 工程有限公司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杭州 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咨询、技术服 务、成果转让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2,711,900.00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1" w:right="155"/>
              <w:jc w:val="left"/>
              <w:rPr>
                <w:rFonts w:ascii="Times New Roman" w:hAnsi="Times New Roman" w:cs="Times New Roman" w:eastAsia="Times New Roman" w:hint="default"/>
                <w:sz w:val="18"/>
                <w:szCs w:val="18"/>
              </w:rPr>
            </w:pPr>
            <w:r>
              <w:rPr>
                <w:rFonts w:ascii="Times New Roman"/>
                <w:sz w:val="18"/>
              </w:rPr>
              <w:t>HOLLEY</w:t>
            </w:r>
            <w:r>
              <w:rPr>
                <w:rFonts w:ascii="Times New Roman"/>
                <w:w w:val="99"/>
                <w:sz w:val="18"/>
              </w:rPr>
              <w:t> </w:t>
            </w:r>
            <w:r>
              <w:rPr>
                <w:rFonts w:ascii="Times New Roman"/>
                <w:sz w:val="18"/>
              </w:rPr>
              <w:t>ELECTRONIC</w:t>
            </w:r>
            <w:r>
              <w:rPr>
                <w:rFonts w:ascii="Times New Roman"/>
                <w:w w:val="99"/>
                <w:sz w:val="18"/>
              </w:rPr>
              <w:t> </w:t>
            </w:r>
            <w:r>
              <w:rPr>
                <w:rFonts w:ascii="Times New Roman"/>
                <w:sz w:val="18"/>
              </w:rPr>
              <w:t>METER</w:t>
            </w:r>
            <w:r>
              <w:rPr>
                <w:rFonts w:ascii="Times New Roman"/>
                <w:spacing w:val="2"/>
                <w:sz w:val="18"/>
              </w:rPr>
              <w:t> </w:t>
            </w:r>
            <w:r>
              <w:rPr>
                <w:rFonts w:ascii="Times New Roman"/>
                <w:spacing w:val="-3"/>
                <w:sz w:val="18"/>
              </w:rPr>
              <w:t>CO.,LTD.</w:t>
            </w:r>
          </w:p>
          <w:p>
            <w:pPr>
              <w:pStyle w:val="TableParagraph"/>
              <w:spacing w:line="197" w:lineRule="exact"/>
              <w:ind w:left="21" w:right="0"/>
              <w:jc w:val="left"/>
              <w:rPr>
                <w:rFonts w:ascii="宋体" w:hAnsi="宋体" w:cs="宋体" w:eastAsia="宋体" w:hint="default"/>
                <w:sz w:val="18"/>
                <w:szCs w:val="18"/>
              </w:rPr>
            </w:pPr>
            <w:r>
              <w:rPr>
                <w:rFonts w:ascii="宋体" w:hAnsi="宋体" w:cs="宋体" w:eastAsia="宋体" w:hint="default"/>
                <w:sz w:val="18"/>
                <w:szCs w:val="18"/>
              </w:rPr>
              <w:t>华立集团电子表有</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电能表生产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1,864,000.00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1"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HOLLEY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GRUOUP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LECTRIC(THAILA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ND)CO.,LTD.</w:t>
            </w:r>
            <w:r>
              <w:rPr>
                <w:rFonts w:ascii="宋体" w:hAnsi="宋体" w:cs="宋体" w:eastAsia="宋体" w:hint="default"/>
                <w:sz w:val="18"/>
                <w:szCs w:val="18"/>
              </w:rPr>
              <w:t>华立</w:t>
            </w:r>
          </w:p>
          <w:p>
            <w:pPr>
              <w:pStyle w:val="TableParagraph"/>
              <w:spacing w:line="319" w:lineRule="auto" w:before="39"/>
              <w:ind w:left="21" w:right="87"/>
              <w:jc w:val="both"/>
              <w:rPr>
                <w:rFonts w:ascii="宋体" w:hAnsi="宋体" w:cs="宋体" w:eastAsia="宋体" w:hint="default"/>
                <w:sz w:val="18"/>
                <w:szCs w:val="18"/>
              </w:rPr>
            </w:pPr>
            <w:r>
              <w:rPr>
                <w:rFonts w:ascii="宋体" w:hAnsi="宋体" w:cs="宋体" w:eastAsia="宋体" w:hint="default"/>
                <w:sz w:val="18"/>
                <w:szCs w:val="18"/>
              </w:rPr>
              <w:t>集团（泰国）电气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电能表生产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30,496,400.00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before="49"/>
        <w:ind w:left="680"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spacing w:before="120"/>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47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6840" w:h="11910" w:orient="landscape"/>
          <w:pgMar w:header="867" w:footer="980" w:top="1060" w:bottom="1160" w:left="760" w:right="960"/>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60"/>
        <w:gridCol w:w="991"/>
        <w:gridCol w:w="710"/>
        <w:gridCol w:w="708"/>
        <w:gridCol w:w="1275"/>
        <w:gridCol w:w="1560"/>
        <w:gridCol w:w="1275"/>
        <w:gridCol w:w="1277"/>
        <w:gridCol w:w="566"/>
        <w:gridCol w:w="711"/>
        <w:gridCol w:w="708"/>
        <w:gridCol w:w="1133"/>
        <w:gridCol w:w="1135"/>
        <w:gridCol w:w="1275"/>
      </w:tblGrid>
      <w:tr>
        <w:trPr>
          <w:trHeight w:val="2913"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56" w:right="7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2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7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1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540" w:right="93"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3" w:right="91"/>
              <w:jc w:val="center"/>
              <w:rPr>
                <w:rFonts w:ascii="宋体" w:hAnsi="宋体" w:cs="宋体" w:eastAsia="宋体" w:hint="default"/>
                <w:sz w:val="18"/>
                <w:szCs w:val="18"/>
              </w:rPr>
            </w:pPr>
            <w:r>
              <w:rPr>
                <w:rFonts w:ascii="宋体" w:hAnsi="宋体" w:cs="宋体" w:eastAsia="宋体" w:hint="default"/>
                <w:sz w:val="18"/>
                <w:szCs w:val="18"/>
              </w:rPr>
              <w:t>实质上构成对 子公司净投资 的其他项目余 额</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35" w:right="3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6" w:right="79"/>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2" w:right="110"/>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2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87"/>
              <w:jc w:val="left"/>
              <w:rPr>
                <w:rFonts w:ascii="宋体" w:hAnsi="宋体" w:cs="宋体" w:eastAsia="宋体" w:hint="default"/>
                <w:sz w:val="18"/>
                <w:szCs w:val="18"/>
              </w:rPr>
            </w:pPr>
            <w:r>
              <w:rPr>
                <w:rFonts w:ascii="宋体" w:hAnsi="宋体" w:cs="宋体" w:eastAsia="宋体" w:hint="default"/>
                <w:sz w:val="18"/>
                <w:szCs w:val="18"/>
              </w:rPr>
              <w:t>洪雅美联曼地亚红 豆杉种植有限公司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6"/>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both"/>
              <w:rPr>
                <w:rFonts w:ascii="宋体" w:hAnsi="宋体" w:cs="宋体" w:eastAsia="宋体" w:hint="default"/>
                <w:sz w:val="18"/>
                <w:szCs w:val="18"/>
              </w:rPr>
            </w:pPr>
            <w:r>
              <w:rPr>
                <w:rFonts w:ascii="宋体" w:hAnsi="宋体" w:cs="宋体" w:eastAsia="宋体" w:hint="default"/>
                <w:sz w:val="18"/>
                <w:szCs w:val="18"/>
              </w:rPr>
              <w:t>四川省 洪雅县 柳江镇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红豆杉种植、成品 苗木加工销售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44,929,326.44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-7,349,700.00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-4,333,800.00</w:t>
            </w: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87"/>
              <w:jc w:val="left"/>
              <w:rPr>
                <w:rFonts w:ascii="宋体" w:hAnsi="宋体" w:cs="宋体" w:eastAsia="宋体" w:hint="default"/>
                <w:sz w:val="18"/>
                <w:szCs w:val="18"/>
              </w:rPr>
            </w:pPr>
            <w:r>
              <w:rPr>
                <w:rFonts w:ascii="宋体" w:hAnsi="宋体" w:cs="宋体" w:eastAsia="宋体" w:hint="default"/>
                <w:sz w:val="18"/>
                <w:szCs w:val="18"/>
              </w:rPr>
              <w:t>洪雅美联植化有限 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5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4"/>
              <w:jc w:val="both"/>
              <w:rPr>
                <w:rFonts w:ascii="宋体" w:hAnsi="宋体" w:cs="宋体" w:eastAsia="宋体" w:hint="default"/>
                <w:sz w:val="18"/>
                <w:szCs w:val="18"/>
              </w:rPr>
            </w:pPr>
            <w:r>
              <w:rPr>
                <w:rFonts w:ascii="宋体" w:hAnsi="宋体" w:cs="宋体" w:eastAsia="宋体" w:hint="default"/>
                <w:sz w:val="18"/>
                <w:szCs w:val="18"/>
              </w:rPr>
              <w:t>四川省 洪雅县 柳江镇 场镇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84"/>
              <w:jc w:val="left"/>
              <w:rPr>
                <w:rFonts w:ascii="宋体" w:hAnsi="宋体" w:cs="宋体" w:eastAsia="宋体" w:hint="default"/>
                <w:sz w:val="18"/>
                <w:szCs w:val="18"/>
              </w:rPr>
            </w:pPr>
            <w:r>
              <w:rPr>
                <w:rFonts w:ascii="宋体" w:hAnsi="宋体" w:cs="宋体" w:eastAsia="宋体" w:hint="default"/>
                <w:sz w:val="18"/>
                <w:szCs w:val="18"/>
              </w:rPr>
              <w:t>人工种植、红豆杉 加工及销售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2,207,488.89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-6,299,300.00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-514,400.00</w:t>
            </w: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87"/>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工业自动化设备、 自动化信息系统、 仪器仪表及计算 机；自动化技术及 产品的技术开发、 技术咨询、成果转 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12,385,600.00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19,766,800.00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1" w:right="87"/>
              <w:jc w:val="left"/>
              <w:rPr>
                <w:rFonts w:ascii="宋体" w:hAnsi="宋体" w:cs="宋体" w:eastAsia="宋体" w:hint="default"/>
                <w:sz w:val="18"/>
                <w:szCs w:val="18"/>
              </w:rPr>
            </w:pPr>
            <w:r>
              <w:rPr>
                <w:rFonts w:ascii="宋体" w:hAnsi="宋体" w:cs="宋体" w:eastAsia="宋体" w:hint="default"/>
                <w:sz w:val="18"/>
                <w:szCs w:val="18"/>
              </w:rPr>
              <w:t>杭州安厚信息技术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4"/>
              <w:jc w:val="left"/>
              <w:rPr>
                <w:rFonts w:ascii="宋体" w:hAnsi="宋体" w:cs="宋体" w:eastAsia="宋体" w:hint="default"/>
                <w:sz w:val="18"/>
                <w:szCs w:val="18"/>
              </w:rPr>
            </w:pPr>
            <w:r>
              <w:rPr>
                <w:rFonts w:ascii="宋体" w:hAnsi="宋体" w:cs="宋体" w:eastAsia="宋体" w:hint="default"/>
                <w:sz w:val="18"/>
                <w:szCs w:val="18"/>
              </w:rPr>
              <w:t>技术开发、咨询、 服务，通信设备、 系统和计算机软 件、硬件销售和安 装等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3,503,800.00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bl>
    <w:p>
      <w:pPr>
        <w:spacing w:before="49"/>
        <w:ind w:left="680"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after="0"/>
        <w:jc w:val="left"/>
        <w:rPr>
          <w:rFonts w:ascii="宋体" w:hAnsi="宋体" w:cs="宋体" w:eastAsia="宋体" w:hint="default"/>
          <w:sz w:val="18"/>
          <w:szCs w:val="18"/>
        </w:rPr>
        <w:sectPr>
          <w:pgSz w:w="16840" w:h="11910" w:orient="landscape"/>
          <w:pgMar w:header="867" w:footer="980" w:top="1060" w:bottom="1160" w:left="760" w:right="960"/>
        </w:sectPr>
      </w:pPr>
    </w:p>
    <w:p>
      <w:pPr>
        <w:spacing w:line="240" w:lineRule="auto" w:before="12"/>
        <w:rPr>
          <w:rFonts w:ascii="宋体" w:hAnsi="宋体" w:cs="宋体" w:eastAsia="宋体" w:hint="default"/>
          <w:sz w:val="20"/>
          <w:szCs w:val="20"/>
        </w:rPr>
      </w:pPr>
    </w:p>
    <w:p>
      <w:pPr>
        <w:spacing w:before="36"/>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96"/>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报告期新纳入合并财务报表范围的子公司</w:t>
      </w:r>
    </w:p>
    <w:p>
      <w:pPr>
        <w:spacing w:line="256" w:lineRule="auto" w:before="22"/>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因直接设立或投资等方式而增加子公司的情况说明</w:t>
      </w:r>
      <w:r>
        <w:rPr>
          <w:rFonts w:ascii="宋体" w:hAnsi="宋体" w:cs="宋体" w:eastAsia="宋体" w:hint="default"/>
          <w:w w:val="100"/>
          <w:sz w:val="21"/>
          <w:szCs w:val="21"/>
        </w:rPr>
        <w:t> </w:t>
      </w:r>
      <w:r>
        <w:rPr>
          <w:rFonts w:ascii="宋体" w:hAnsi="宋体" w:cs="宋体" w:eastAsia="宋体" w:hint="default"/>
          <w:sz w:val="21"/>
          <w:szCs w:val="21"/>
        </w:rPr>
        <w:t>本期子公司华立仪表与乌兹别克</w:t>
      </w:r>
      <w:r>
        <w:rPr>
          <w:rFonts w:ascii="Times New Roman" w:hAnsi="Times New Roman" w:cs="Times New Roman" w:eastAsia="Times New Roman" w:hint="default"/>
          <w:sz w:val="21"/>
          <w:szCs w:val="21"/>
        </w:rPr>
        <w:t>ENERGOTA’MIR</w:t>
      </w:r>
      <w:r>
        <w:rPr>
          <w:rFonts w:ascii="宋体" w:hAnsi="宋体" w:cs="宋体" w:eastAsia="宋体" w:hint="default"/>
          <w:sz w:val="21"/>
          <w:szCs w:val="21"/>
        </w:rPr>
        <w:t>公司及乌兹别克乌中合资电子仪表有限责任公司在</w:t>
      </w:r>
    </w:p>
    <w:p>
      <w:pPr>
        <w:spacing w:line="256" w:lineRule="auto" w:before="5"/>
        <w:ind w:left="152" w:right="206" w:firstLine="0"/>
        <w:jc w:val="both"/>
        <w:rPr>
          <w:rFonts w:ascii="宋体" w:hAnsi="宋体" w:cs="宋体" w:eastAsia="宋体" w:hint="default"/>
          <w:sz w:val="21"/>
          <w:szCs w:val="21"/>
        </w:rPr>
      </w:pPr>
      <w:r>
        <w:rPr>
          <w:rFonts w:ascii="宋体" w:hAnsi="宋体" w:cs="宋体" w:eastAsia="宋体" w:hint="default"/>
          <w:sz w:val="21"/>
          <w:szCs w:val="21"/>
        </w:rPr>
        <w:t>乌兹别克共同出资设立</w:t>
      </w:r>
      <w:r>
        <w:rPr>
          <w:rFonts w:ascii="Times New Roman" w:hAnsi="Times New Roman" w:cs="Times New Roman" w:eastAsia="Times New Roman" w:hint="default"/>
          <w:sz w:val="21"/>
          <w:szCs w:val="21"/>
        </w:rPr>
        <w:t>ELEKTR</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z w:val="21"/>
          <w:szCs w:val="21"/>
        </w:rPr>
        <w:t>QUVVAT</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4"/>
          <w:sz w:val="21"/>
          <w:szCs w:val="21"/>
        </w:rPr>
        <w:t>QURILMALAR</w:t>
      </w:r>
      <w:r>
        <w:rPr>
          <w:rFonts w:ascii="宋体" w:hAnsi="宋体" w:cs="宋体" w:eastAsia="宋体" w:hint="default"/>
          <w:spacing w:val="-4"/>
          <w:sz w:val="21"/>
          <w:szCs w:val="21"/>
        </w:rPr>
        <w:t>公司，于</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17</w:t>
      </w:r>
      <w:r>
        <w:rPr>
          <w:rFonts w:ascii="宋体" w:hAnsi="宋体" w:cs="宋体" w:eastAsia="宋体" w:hint="default"/>
          <w:spacing w:val="-4"/>
          <w:sz w:val="21"/>
          <w:szCs w:val="21"/>
        </w:rPr>
        <w:t>日办妥设立登记手续，并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取得注册号为</w:t>
      </w:r>
      <w:r>
        <w:rPr>
          <w:rFonts w:ascii="Times New Roman" w:hAnsi="Times New Roman" w:cs="Times New Roman" w:eastAsia="Times New Roman" w:hint="default"/>
          <w:spacing w:val="-3"/>
          <w:sz w:val="21"/>
          <w:szCs w:val="21"/>
        </w:rPr>
        <w:t>23424837</w:t>
      </w:r>
      <w:r>
        <w:rPr>
          <w:rFonts w:ascii="宋体" w:hAnsi="宋体" w:cs="宋体" w:eastAsia="宋体" w:hint="default"/>
          <w:spacing w:val="-3"/>
          <w:sz w:val="21"/>
          <w:szCs w:val="21"/>
        </w:rPr>
        <w:t>的登记证书。该公司注册资本</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万美元，华立仪表出资</w:t>
      </w:r>
      <w:r>
        <w:rPr>
          <w:rFonts w:ascii="Times New Roman" w:hAnsi="Times New Roman" w:cs="Times New Roman" w:eastAsia="Times New Roman" w:hint="default"/>
          <w:spacing w:val="-3"/>
          <w:sz w:val="21"/>
          <w:szCs w:val="21"/>
        </w:rPr>
        <w:t>27.50</w:t>
      </w:r>
      <w:r>
        <w:rPr>
          <w:rFonts w:ascii="宋体" w:hAnsi="宋体" w:cs="宋体" w:eastAsia="宋体" w:hint="default"/>
          <w:spacing w:val="-3"/>
          <w:sz w:val="21"/>
          <w:szCs w:val="21"/>
        </w:rPr>
        <w:t>万美元，占其注册资本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的</w:t>
      </w:r>
      <w:r>
        <w:rPr>
          <w:rFonts w:ascii="Times New Roman" w:hAnsi="Times New Roman" w:cs="Times New Roman" w:eastAsia="Times New Roman" w:hint="default"/>
          <w:sz w:val="21"/>
          <w:szCs w:val="21"/>
        </w:rPr>
        <w:t>55.00 %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，拥有对其的实质控制权，故自该公司成立之日起，将其纳入合并财务报表范围。</w:t>
      </w:r>
    </w:p>
    <w:p>
      <w:pPr>
        <w:spacing w:line="256" w:lineRule="auto" w:before="5"/>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因同一控制下企业合并而增加子公司的情况说明</w:t>
      </w:r>
      <w:r>
        <w:rPr>
          <w:rFonts w:ascii="宋体" w:hAnsi="宋体" w:cs="宋体" w:eastAsia="宋体" w:hint="default"/>
          <w:w w:val="100"/>
          <w:sz w:val="21"/>
          <w:szCs w:val="21"/>
        </w:rPr>
        <w:t> </w:t>
      </w:r>
      <w:r>
        <w:rPr>
          <w:rFonts w:ascii="宋体" w:hAnsi="宋体" w:cs="宋体" w:eastAsia="宋体" w:hint="default"/>
          <w:spacing w:val="-1"/>
          <w:sz w:val="21"/>
          <w:szCs w:val="21"/>
        </w:rPr>
        <w:t>根据华立仪表与华立集团于</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日签订的《股权转让协议》，华立仪表以</w:t>
      </w:r>
      <w:r>
        <w:rPr>
          <w:rFonts w:ascii="Times New Roman" w:hAnsi="Times New Roman" w:cs="Times New Roman" w:eastAsia="Times New Roman" w:hint="default"/>
          <w:spacing w:val="-1"/>
          <w:sz w:val="21"/>
          <w:szCs w:val="21"/>
        </w:rPr>
        <w:t>5,300</w:t>
      </w:r>
      <w:r>
        <w:rPr>
          <w:rFonts w:ascii="宋体" w:hAnsi="宋体" w:cs="宋体" w:eastAsia="宋体" w:hint="default"/>
          <w:spacing w:val="-1"/>
          <w:sz w:val="21"/>
          <w:szCs w:val="21"/>
        </w:rPr>
        <w:t>万元受让华立</w:t>
      </w:r>
    </w:p>
    <w:p>
      <w:pPr>
        <w:spacing w:line="256" w:lineRule="auto" w:before="5"/>
        <w:ind w:left="152" w:right="206" w:firstLine="0"/>
        <w:jc w:val="both"/>
        <w:rPr>
          <w:rFonts w:ascii="宋体" w:hAnsi="宋体" w:cs="宋体" w:eastAsia="宋体" w:hint="default"/>
          <w:sz w:val="21"/>
          <w:szCs w:val="21"/>
        </w:rPr>
      </w:pPr>
      <w:r>
        <w:rPr>
          <w:rFonts w:ascii="宋体" w:hAnsi="宋体" w:cs="宋体" w:eastAsia="宋体" w:hint="default"/>
          <w:spacing w:val="-4"/>
          <w:sz w:val="21"/>
          <w:szCs w:val="21"/>
        </w:rPr>
        <w:t>集团持有的浙江华立科技有限公司（以下简称华立科技）</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股权。由于华立仪表和华立科技同受华立集</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团最终控制且该项控制非暂时的，故该项合并为同一控制下企业合并。本公司已于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月支付</w:t>
      </w:r>
      <w:r>
        <w:rPr>
          <w:rFonts w:ascii="宋体" w:hAnsi="宋体" w:cs="宋体" w:eastAsia="宋体" w:hint="default"/>
          <w:spacing w:val="-25"/>
          <w:sz w:val="21"/>
          <w:szCs w:val="21"/>
        </w:rPr>
        <w:t> </w:t>
      </w:r>
      <w:r>
        <w:rPr>
          <w:rFonts w:ascii="宋体" w:hAnsi="宋体" w:cs="宋体" w:eastAsia="宋体" w:hint="default"/>
          <w:spacing w:val="-3"/>
          <w:sz w:val="21"/>
          <w:szCs w:val="21"/>
        </w:rPr>
        <w:t>股权转让款共计</w:t>
      </w:r>
      <w:r>
        <w:rPr>
          <w:rFonts w:ascii="Times New Roman" w:hAnsi="Times New Roman" w:cs="Times New Roman" w:eastAsia="Times New Roman" w:hint="default"/>
          <w:spacing w:val="-3"/>
          <w:sz w:val="21"/>
          <w:szCs w:val="21"/>
        </w:rPr>
        <w:t>5,300</w:t>
      </w:r>
      <w:r>
        <w:rPr>
          <w:rFonts w:ascii="宋体" w:hAnsi="宋体" w:cs="宋体" w:eastAsia="宋体" w:hint="default"/>
          <w:spacing w:val="-3"/>
          <w:sz w:val="21"/>
          <w:szCs w:val="21"/>
        </w:rPr>
        <w:t>万元，并办理了相应的财产权交接手续，故自</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月起将其纳入合并财务报表范</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围，并相应调整了合并财务报表的比较数据。</w:t>
      </w:r>
    </w:p>
    <w:p>
      <w:pPr>
        <w:spacing w:line="256" w:lineRule="auto" w:before="23"/>
        <w:ind w:left="573" w:right="114" w:hanging="8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因非同一控制下企业合并而增加子公司的情况说明</w:t>
      </w:r>
      <w:r>
        <w:rPr>
          <w:rFonts w:ascii="宋体" w:hAnsi="宋体" w:cs="宋体" w:eastAsia="宋体" w:hint="default"/>
          <w:w w:val="100"/>
          <w:sz w:val="21"/>
          <w:szCs w:val="21"/>
        </w:rPr>
        <w:t> </w:t>
      </w:r>
      <w:r>
        <w:rPr>
          <w:rFonts w:ascii="宋体" w:hAnsi="宋体" w:cs="宋体" w:eastAsia="宋体" w:hint="default"/>
          <w:sz w:val="21"/>
          <w:szCs w:val="21"/>
        </w:rPr>
        <w:t>根据华立仪表与杭州轻通博科自动化技术有限公司于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日签订的《股权转让协议书》，华</w:t>
      </w:r>
    </w:p>
    <w:p>
      <w:pPr>
        <w:spacing w:line="256" w:lineRule="auto" w:before="5"/>
        <w:ind w:left="152" w:right="206" w:firstLine="0"/>
        <w:jc w:val="both"/>
        <w:rPr>
          <w:rFonts w:ascii="宋体" w:hAnsi="宋体" w:cs="宋体" w:eastAsia="宋体" w:hint="default"/>
          <w:sz w:val="21"/>
          <w:szCs w:val="21"/>
        </w:rPr>
      </w:pPr>
      <w:r>
        <w:rPr>
          <w:rFonts w:ascii="宋体" w:hAnsi="宋体" w:cs="宋体" w:eastAsia="宋体" w:hint="default"/>
          <w:sz w:val="21"/>
          <w:szCs w:val="21"/>
        </w:rPr>
        <w:t>立仪表以</w:t>
      </w:r>
      <w:r>
        <w:rPr>
          <w:rFonts w:ascii="Times New Roman" w:hAnsi="Times New Roman" w:cs="Times New Roman" w:eastAsia="Times New Roman" w:hint="default"/>
          <w:sz w:val="21"/>
          <w:szCs w:val="21"/>
        </w:rPr>
        <w:t>484</w:t>
      </w:r>
      <w:r>
        <w:rPr>
          <w:rFonts w:ascii="宋体" w:hAnsi="宋体" w:cs="宋体" w:eastAsia="宋体" w:hint="default"/>
          <w:sz w:val="21"/>
          <w:szCs w:val="21"/>
        </w:rPr>
        <w:t>万元受让杭州轻通博科自动化技术有限公司持有的杭州厚达自动化系统有限公司（以下简称</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杭州厚达）</w:t>
      </w:r>
      <w:r>
        <w:rPr>
          <w:rFonts w:ascii="Times New Roman" w:hAnsi="Times New Roman" w:cs="Times New Roman" w:eastAsia="Times New Roman" w:hint="default"/>
          <w:spacing w:val="-3"/>
          <w:sz w:val="21"/>
          <w:szCs w:val="21"/>
        </w:rPr>
        <w:t>21 %</w:t>
      </w:r>
      <w:r>
        <w:rPr>
          <w:rFonts w:ascii="宋体" w:hAnsi="宋体" w:cs="宋体" w:eastAsia="宋体" w:hint="default"/>
          <w:spacing w:val="-3"/>
          <w:sz w:val="21"/>
          <w:szCs w:val="21"/>
        </w:rPr>
        <w:t>股权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受让上述股权后，公司持有该公司股权</w:t>
      </w:r>
      <w:r>
        <w:rPr>
          <w:rFonts w:ascii="Times New Roman" w:hAnsi="Times New Roman" w:cs="Times New Roman" w:eastAsia="Times New Roman" w:hint="default"/>
          <w:spacing w:val="-3"/>
          <w:sz w:val="21"/>
          <w:szCs w:val="21"/>
        </w:rPr>
        <w:t>61%</w:t>
      </w:r>
      <w:r>
        <w:rPr>
          <w:rFonts w:ascii="宋体" w:hAnsi="宋体" w:cs="宋体" w:eastAsia="宋体" w:hint="default"/>
          <w:spacing w:val="-3"/>
          <w:sz w:val="21"/>
          <w:szCs w:val="21"/>
        </w:rPr>
        <w:t>。华立仪表已按照《股权转让协议书》约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定的时间进度支付完毕股权转让款</w:t>
      </w:r>
      <w:r>
        <w:rPr>
          <w:rFonts w:ascii="Times New Roman" w:hAnsi="Times New Roman" w:cs="Times New Roman" w:eastAsia="Times New Roman" w:hint="default"/>
          <w:sz w:val="21"/>
          <w:szCs w:val="21"/>
        </w:rPr>
        <w:t>484</w:t>
      </w:r>
      <w:r>
        <w:rPr>
          <w:rFonts w:ascii="宋体" w:hAnsi="宋体" w:cs="宋体" w:eastAsia="宋体" w:hint="default"/>
          <w:sz w:val="21"/>
          <w:szCs w:val="21"/>
        </w:rPr>
        <w:t>万元，并办理了相应的财产权交接手续，自</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月起将其纳入</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合并财务报表范围。</w:t>
      </w:r>
    </w:p>
    <w:p>
      <w:pPr>
        <w:spacing w:before="22"/>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报告期不再纳入合并财务报表范围的子公司</w:t>
      </w:r>
    </w:p>
    <w:p>
      <w:pPr>
        <w:spacing w:line="256" w:lineRule="auto" w:before="21"/>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出售股权而减少子公司的情况说明</w:t>
      </w:r>
      <w:r>
        <w:rPr>
          <w:rFonts w:ascii="宋体" w:hAnsi="宋体" w:cs="宋体" w:eastAsia="宋体" w:hint="default"/>
          <w:w w:val="100"/>
          <w:sz w:val="21"/>
          <w:szCs w:val="21"/>
        </w:rPr>
        <w:t> </w:t>
      </w:r>
      <w:r>
        <w:rPr>
          <w:rFonts w:ascii="宋体" w:hAnsi="宋体" w:cs="宋体" w:eastAsia="宋体" w:hint="default"/>
          <w:spacing w:val="-2"/>
          <w:sz w:val="21"/>
          <w:szCs w:val="21"/>
        </w:rPr>
        <w:t>根据本公司与重庆新天泽实业（集团）有限公司及本公司子公司洪雅美联曼地亚红豆杉种植有限公司</w:t>
      </w:r>
    </w:p>
    <w:p>
      <w:pPr>
        <w:spacing w:line="256" w:lineRule="auto" w:before="22"/>
        <w:ind w:left="152" w:right="206" w:firstLine="0"/>
        <w:jc w:val="both"/>
        <w:rPr>
          <w:rFonts w:ascii="宋体" w:hAnsi="宋体" w:cs="宋体" w:eastAsia="宋体" w:hint="default"/>
          <w:sz w:val="21"/>
          <w:szCs w:val="21"/>
        </w:rPr>
      </w:pPr>
      <w:r>
        <w:rPr>
          <w:rFonts w:ascii="宋体" w:hAnsi="宋体" w:cs="宋体" w:eastAsia="宋体" w:hint="default"/>
          <w:spacing w:val="-1"/>
          <w:sz w:val="21"/>
          <w:szCs w:val="21"/>
        </w:rPr>
        <w:t>于</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日签订的《股权转让协议》、《债权转让合同》，本公司以</w:t>
      </w:r>
      <w:r>
        <w:rPr>
          <w:rFonts w:ascii="Times New Roman" w:hAnsi="Times New Roman" w:cs="Times New Roman" w:eastAsia="Times New Roman" w:hint="default"/>
          <w:spacing w:val="-1"/>
          <w:sz w:val="21"/>
          <w:szCs w:val="21"/>
        </w:rPr>
        <w:t>3,950</w:t>
      </w:r>
      <w:r>
        <w:rPr>
          <w:rFonts w:ascii="宋体" w:hAnsi="宋体" w:cs="宋体" w:eastAsia="宋体" w:hint="default"/>
          <w:spacing w:val="-1"/>
          <w:sz w:val="21"/>
          <w:szCs w:val="21"/>
        </w:rPr>
        <w:t>万元将所持有的重庆美联</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4"/>
          <w:sz w:val="21"/>
          <w:szCs w:val="21"/>
        </w:rPr>
        <w:t>制药有限公司</w:t>
      </w:r>
      <w:r>
        <w:rPr>
          <w:rFonts w:ascii="Times New Roman" w:hAnsi="Times New Roman" w:cs="Times New Roman" w:eastAsia="Times New Roman" w:hint="default"/>
          <w:spacing w:val="-4"/>
          <w:sz w:val="21"/>
          <w:szCs w:val="21"/>
        </w:rPr>
        <w:t>70%</w:t>
      </w:r>
      <w:r>
        <w:rPr>
          <w:rFonts w:ascii="宋体" w:hAnsi="宋体" w:cs="宋体" w:eastAsia="宋体" w:hint="default"/>
          <w:spacing w:val="-4"/>
          <w:sz w:val="21"/>
          <w:szCs w:val="21"/>
        </w:rPr>
        <w:t>股权及所有债权债务转让给重庆新天泽实业（集团）有限公司。本公司已于</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月收</w:t>
      </w:r>
      <w:r>
        <w:rPr>
          <w:rFonts w:ascii="宋体" w:hAnsi="宋体" w:cs="宋体" w:eastAsia="宋体" w:hint="default"/>
          <w:spacing w:val="-6"/>
          <w:sz w:val="21"/>
          <w:szCs w:val="21"/>
        </w:rPr>
        <w:t> </w:t>
      </w:r>
      <w:r>
        <w:rPr>
          <w:rFonts w:ascii="宋体" w:hAnsi="宋体" w:cs="宋体" w:eastAsia="宋体" w:hint="default"/>
          <w:spacing w:val="-2"/>
          <w:sz w:val="21"/>
          <w:szCs w:val="21"/>
        </w:rPr>
        <w:t>到该项股权转让款</w:t>
      </w:r>
      <w:r>
        <w:rPr>
          <w:rFonts w:ascii="Times New Roman" w:hAnsi="Times New Roman" w:cs="Times New Roman" w:eastAsia="Times New Roman" w:hint="default"/>
          <w:spacing w:val="-2"/>
          <w:sz w:val="21"/>
          <w:szCs w:val="21"/>
        </w:rPr>
        <w:t>3,950.00</w:t>
      </w:r>
      <w:r>
        <w:rPr>
          <w:rFonts w:ascii="宋体" w:hAnsi="宋体" w:cs="宋体" w:eastAsia="宋体" w:hint="default"/>
          <w:spacing w:val="-2"/>
          <w:sz w:val="21"/>
          <w:szCs w:val="21"/>
        </w:rPr>
        <w:t>万元，并办理了相应的财产权交接手续，故自</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月起不再将其纳入合并财</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务报表范围。</w:t>
      </w:r>
    </w:p>
    <w:p>
      <w:pPr>
        <w:spacing w:line="256" w:lineRule="auto" w:before="22"/>
        <w:ind w:left="573" w:right="1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因其他原因减少子公司的情况说明</w:t>
      </w:r>
      <w:r>
        <w:rPr>
          <w:rFonts w:ascii="宋体" w:hAnsi="宋体" w:cs="宋体" w:eastAsia="宋体" w:hint="default"/>
          <w:w w:val="100"/>
          <w:sz w:val="21"/>
          <w:szCs w:val="21"/>
        </w:rPr>
        <w:t> </w:t>
      </w:r>
      <w:r>
        <w:rPr>
          <w:rFonts w:ascii="宋体" w:hAnsi="宋体" w:cs="宋体" w:eastAsia="宋体" w:hint="default"/>
          <w:spacing w:val="-5"/>
          <w:sz w:val="21"/>
          <w:szCs w:val="21"/>
        </w:rPr>
        <w:t>子公司浙江华立电子技术有限公司、浙江华意电子有限公司、杭州华立科技园有限公司本年清算注销，</w:t>
      </w:r>
    </w:p>
    <w:p>
      <w:pPr>
        <w:spacing w:before="22"/>
        <w:ind w:left="152" w:right="0" w:firstLine="0"/>
        <w:jc w:val="both"/>
        <w:rPr>
          <w:rFonts w:ascii="宋体" w:hAnsi="宋体" w:cs="宋体" w:eastAsia="宋体" w:hint="default"/>
          <w:sz w:val="21"/>
          <w:szCs w:val="21"/>
        </w:rPr>
      </w:pPr>
      <w:r>
        <w:rPr>
          <w:rFonts w:ascii="宋体" w:hAnsi="宋体" w:cs="宋体" w:eastAsia="宋体" w:hint="default"/>
          <w:sz w:val="21"/>
          <w:szCs w:val="21"/>
        </w:rPr>
        <w:t>不再纳入合并范围。</w:t>
      </w:r>
    </w:p>
    <w:p>
      <w:pPr>
        <w:spacing w:line="240" w:lineRule="auto" w:before="0"/>
        <w:rPr>
          <w:rFonts w:ascii="宋体" w:hAnsi="宋体" w:cs="宋体" w:eastAsia="宋体" w:hint="default"/>
          <w:sz w:val="20"/>
          <w:szCs w:val="20"/>
        </w:rPr>
      </w:pPr>
    </w:p>
    <w:p>
      <w:pPr>
        <w:spacing w:before="149"/>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4"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headerReference w:type="default" r:id="rId27"/>
          <w:footerReference w:type="default" r:id="rId28"/>
          <w:pgSz w:w="11910" w:h="16840"/>
          <w:pgMar w:header="877" w:footer="979" w:top="1100" w:bottom="1160" w:left="980" w:right="920"/>
          <w:pgNumType w:start="93"/>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41,565,522.39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3,597,268.51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43,818,443.98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5,885,376.61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875,887.76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1,676,615.52</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29,030,271.35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5,674,989.39</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杭州安厚信息技术有限公司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5,868,083.91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2,288,006.43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4"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浙江华立电子技术有限公司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16,663,511.30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738,329.75</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浙江华意电子有限公司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-101,618.82</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杭州华立科技园有限公司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19,989,602.28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-5,226.98</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-53,839,056.08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-763,326.10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before="9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、浙江华立电网控制系统有限公公司、杭州华立电力系统工程有限公司系浙江华立科技有限公司子公司</w:t>
      </w:r>
    </w:p>
    <w:p>
      <w:pPr>
        <w:spacing w:before="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、杭州安厚信息技术有限公司系杭州厚达自动化系统有限公司子公司</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96"/>
        <w:gridCol w:w="1553"/>
        <w:gridCol w:w="1555"/>
        <w:gridCol w:w="1556"/>
        <w:gridCol w:w="1555"/>
        <w:gridCol w:w="1556"/>
      </w:tblGrid>
      <w:tr>
        <w:trPr>
          <w:trHeight w:val="714"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5"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71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浙江华立科技有限公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华立集团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83,188,165.61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2,174,142.21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-18,423,713.35</w:t>
            </w:r>
          </w:p>
        </w:tc>
      </w:tr>
      <w:tr>
        <w:trPr>
          <w:trHeight w:val="715"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浙江华立电网控制系 统有限公司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华立集团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6,228,918.32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-486,924.05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-817,016.93</w:t>
            </w:r>
          </w:p>
        </w:tc>
      </w:tr>
      <w:tr>
        <w:trPr>
          <w:trHeight w:val="71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杭州华立电力系统工 程有限公司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同受华立集团控制</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华立集团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7,361,367.94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583,129.35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576,947.03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6"/>
        <w:gridCol w:w="3032"/>
        <w:gridCol w:w="3862"/>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杭州安厚信息技术有限公司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86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、报告期内出售丧失控制权的股权而减少子公司</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4"/>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、报告期内发生的反向购买</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7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610" w:lineRule="atLeast" w:before="34"/>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spacing w:line="256" w:lineRule="auto" w:before="21"/>
        <w:ind w:left="152" w:right="0" w:firstLine="0"/>
        <w:jc w:val="left"/>
        <w:rPr>
          <w:rFonts w:ascii="宋体" w:hAnsi="宋体" w:cs="宋体" w:eastAsia="宋体" w:hint="default"/>
          <w:sz w:val="21"/>
          <w:szCs w:val="21"/>
        </w:rPr>
      </w:pPr>
      <w:r>
        <w:rPr>
          <w:rFonts w:ascii="宋体" w:hAnsi="宋体" w:cs="宋体" w:eastAsia="宋体" w:hint="default"/>
          <w:sz w:val="21"/>
          <w:szCs w:val="21"/>
        </w:rPr>
        <w:t>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项目外，其他项目采用交易发生日的即期汇率折算；利润表中的收入和费用项目，采用全年平均汇率</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折算。按照上述折算产生的外币财务报表折算差额，在资产负债表中所有者权益项目下单独列示。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0"/>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1"/>
        <w:gridCol w:w="1594"/>
      </w:tblGrid>
      <w:tr>
        <w:trPr>
          <w:trHeight w:val="204"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298,348.83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241,847.14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108,289.85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53,351.13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932,581.38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190,058.98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945,797.57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188,496.01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347,204,262.71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317,286,797.89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321,956,573.79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304,033,641.30</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896,025.11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5,631,965.83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465,130.11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2,930,738.31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1,484.31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12,115.68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1"/>
        <w:gridCol w:w="1594"/>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3,421,053,332.72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2,214,980.50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376,714,050.00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197,999.54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82,783,000.00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262,264.39</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84,091,503.92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17,137,748.41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50,739,491.82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10,112,303.06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16,814,900.00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45,335,737.14</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16,814,900.00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45,335,737.14</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364,317,511.54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362,864,382.17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56" w:lineRule="auto" w:before="94"/>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日止，货币资金中包含为应付票据质押的定期银行存款</w:t>
      </w:r>
      <w:r>
        <w:rPr>
          <w:rFonts w:ascii="Times New Roman" w:hAnsi="Times New Roman" w:cs="Times New Roman" w:eastAsia="Times New Roman" w:hint="default"/>
          <w:spacing w:val="-2"/>
          <w:sz w:val="21"/>
          <w:szCs w:val="21"/>
        </w:rPr>
        <w:t>12,487,980.00</w:t>
      </w:r>
      <w:r>
        <w:rPr>
          <w:rFonts w:ascii="宋体" w:hAnsi="宋体" w:cs="宋体" w:eastAsia="宋体" w:hint="default"/>
          <w:spacing w:val="-2"/>
          <w:sz w:val="21"/>
          <w:szCs w:val="21"/>
        </w:rPr>
        <w:t>元，银行承兑汇票</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保证金</w:t>
      </w:r>
      <w:r>
        <w:rPr>
          <w:rFonts w:ascii="Times New Roman" w:hAnsi="Times New Roman" w:cs="Times New Roman" w:eastAsia="Times New Roman" w:hint="default"/>
          <w:sz w:val="21"/>
          <w:szCs w:val="21"/>
        </w:rPr>
        <w:t>8,814,900.00</w:t>
      </w:r>
      <w:r>
        <w:rPr>
          <w:rFonts w:ascii="宋体" w:hAnsi="宋体" w:cs="宋体" w:eastAsia="宋体" w:hint="default"/>
          <w:sz w:val="21"/>
          <w:szCs w:val="21"/>
        </w:rPr>
        <w:t>元，国内信用证保证金</w:t>
      </w:r>
      <w:r>
        <w:rPr>
          <w:rFonts w:ascii="Times New Roman" w:hAnsi="Times New Roman" w:cs="Times New Roman" w:eastAsia="Times New Roman" w:hint="default"/>
          <w:sz w:val="21"/>
          <w:szCs w:val="21"/>
        </w:rPr>
        <w:t>5,500,000.00</w:t>
      </w:r>
      <w:r>
        <w:rPr>
          <w:rFonts w:ascii="宋体" w:hAnsi="宋体" w:cs="宋体" w:eastAsia="宋体" w:hint="default"/>
          <w:sz w:val="21"/>
          <w:szCs w:val="21"/>
        </w:rPr>
        <w:t>元，保函保证金</w:t>
      </w:r>
      <w:r>
        <w:rPr>
          <w:rFonts w:ascii="Times New Roman" w:hAnsi="Times New Roman" w:cs="Times New Roman" w:eastAsia="Times New Roman" w:hint="default"/>
          <w:sz w:val="21"/>
          <w:szCs w:val="21"/>
        </w:rPr>
        <w:t>500,000.00</w:t>
      </w:r>
      <w:r>
        <w:rPr>
          <w:rFonts w:ascii="宋体" w:hAnsi="宋体" w:cs="宋体" w:eastAsia="宋体" w:hint="default"/>
          <w:sz w:val="21"/>
          <w:szCs w:val="21"/>
        </w:rPr>
        <w:t>元，短期贷款保证金</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2,000,000.00</w:t>
      </w:r>
      <w:r>
        <w:rPr>
          <w:rFonts w:ascii="宋体" w:hAnsi="宋体" w:cs="宋体" w:eastAsia="宋体" w:hint="default"/>
          <w:spacing w:val="-3"/>
          <w:sz w:val="21"/>
          <w:szCs w:val="21"/>
        </w:rPr>
        <w:t>元，对这些用途受到限制的款项，公司在编制现金流量表时，已将其从期末现金及现金等价物</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余额中剔除。</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）变现有限制的交易性金融资产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）套期工具及对相关套期交易的说明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43,223,263.48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31,074,171.39</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43,223,263.48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31,074,171.39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重庆仁信金属材料有限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重庆仁信金属材料有限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四川天旭机械有限公司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259"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）因出票人无力履约而将票据转为应收账款的票据，以及期末公司已经背书给他方但尚未到期的票据</w:t>
      </w:r>
      <w:r>
        <w:rPr>
          <w:rFonts w:ascii="宋体" w:hAnsi="宋体" w:cs="宋体" w:eastAsia="宋体" w:hint="default"/>
          <w:b/>
          <w:bCs/>
          <w:spacing w:val="-64"/>
          <w:sz w:val="21"/>
          <w:szCs w:val="21"/>
        </w:rPr>
        <w:t> </w:t>
      </w:r>
      <w:r>
        <w:rPr>
          <w:rFonts w:ascii="宋体" w:hAnsi="宋体" w:cs="宋体" w:eastAsia="宋体" w:hint="default"/>
          <w:b/>
          <w:bCs/>
          <w:spacing w:val="-64"/>
          <w:sz w:val="21"/>
          <w:szCs w:val="21"/>
        </w:rPr>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393" w:space="54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57" w:lineRule="auto" w:before="50"/>
        <w:ind w:left="152" w:right="689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39"/>
        <w:gridCol w:w="1340"/>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7,275,910.0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7,275,910.00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670,347,47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9.99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40,647,257.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508,412,1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36,469,331.9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670,347,47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9.99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40,647,257.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508,412,1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36,469,331.9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4,028,588.9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4,028,588.9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4,039,293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4,039,293.37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681,651,97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8.98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51,951,756.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519,727,3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87.96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47,784,535.3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7"/>
        <w:gridCol w:w="1628"/>
      </w:tblGrid>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富锦供电公司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7,275,910.00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7,275,910.00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4"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7,275,910.00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7,275,910.00</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933" w:space="489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9"/>
        <w:gridCol w:w="1734"/>
        <w:gridCol w:w="1454"/>
        <w:gridCol w:w="930"/>
        <w:gridCol w:w="1449"/>
      </w:tblGrid>
      <w:tr>
        <w:trPr>
          <w:trHeight w:val="401"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23" w:type="dxa"/>
            <w:gridSpan w:val="2"/>
            <w:vMerge/>
            <w:tcBorders>
              <w:left w:val="single" w:sz="4" w:space="0" w:color="000000"/>
              <w:bottom w:val="single" w:sz="4" w:space="0" w:color="000000"/>
              <w:right w:val="single" w:sz="4" w:space="0" w:color="000000"/>
            </w:tcBorders>
            <w:shd w:val="clear" w:color="auto" w:fill="D2D2D2"/>
          </w:tcPr>
          <w:p>
            <w:pPr/>
          </w:p>
        </w:tc>
        <w:tc>
          <w:tcPr>
            <w:tcW w:w="17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2D2D2"/>
          </w:tcPr>
          <w:p>
            <w:pPr/>
          </w:p>
        </w:tc>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4"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1" w:right="0"/>
              <w:jc w:val="left"/>
              <w:rPr>
                <w:rFonts w:ascii="Times New Roman" w:hAnsi="Times New Roman" w:cs="Times New Roman" w:eastAsia="Times New Roman" w:hint="default"/>
                <w:sz w:val="18"/>
                <w:szCs w:val="18"/>
              </w:rPr>
            </w:pPr>
            <w:r>
              <w:rPr>
                <w:rFonts w:ascii="Times New Roman"/>
                <w:sz w:val="18"/>
              </w:rPr>
              <w:t>--</w:t>
            </w:r>
          </w:p>
        </w:tc>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578,187,066.98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86.26%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28,902,787.49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432,729,746.00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85.12%</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23,163,100.64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1"/>
        <w:gridCol w:w="1460"/>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71,263,637.16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10.63%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7,017,051.34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41,041,842.12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4,104,184.21</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10,277,428.03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1.53%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1,541,614.20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7,934,212.23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1.56%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1,190,131.83</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10,619,347.82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3,185,804.35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26,706,384.24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8,011,915.27</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670,347,479.99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40,647,257.38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508,412,184.59</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36,469,331.95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铁岭供电公司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北京南山高科技有限公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南京飞希尔科技实业有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419,392.00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419,392.00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江西九江供电公司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洛阳市环城供电局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北京华电方胜软件技术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上海运邦信息科技有限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192,265.79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192,265.79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大庆市佳明钰鹏经贸有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上海宝监电气集团有限 公司郑州分公司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贵阳供电物资有限公司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116,150.00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郴州郴电科技有限公司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邵阳电业局城东供电局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1,194,151.20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1,194,151.20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4,028,588.99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4,028,588.99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73"/>
      </w:tblGrid>
      <w:tr>
        <w:trPr>
          <w:trHeight w:val="40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5"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5"/>
      </w:tblGrid>
      <w:tr>
        <w:trPr>
          <w:trHeight w:val="36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紫金县电力总公司工程公 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业务人员追讨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124,980.40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124,980.40</w:t>
            </w:r>
          </w:p>
        </w:tc>
      </w:tr>
      <w:tr>
        <w:trPr>
          <w:trHeight w:val="71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甘肃省电力公司张掖供电 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业务人员追讨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业务人员赔付</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17.82</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364,998.22</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鹿邑县电业局物资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难以回收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封丘县电力物资经 销有限公司综合服 务部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难以回收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594"/>
        <w:gridCol w:w="1860"/>
        <w:gridCol w:w="1723"/>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乌中合资电子仪表有限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83,438,708.26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35,975,327.89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9" w:header="877"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31,683,342.03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24,557,779.65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重庆市电力公司电力科 学研究院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21,853,061.50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197,508,219.33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28.98%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35,975,327.89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3,293,550.09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39,268,877.98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799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7998pt" strokecolor="#000000">
                <v:path arrowok="t"/>
              </v:shape>
            </v:group>
            <v:group style="position:absolute;left:3863;top:5;width:2;height:411" coordorigin="3863,5" coordsize="2,411">
              <v:shape style="position:absolute;left:3863;top:5;width:2;height:411" coordorigin="3863,5" coordsize="0,411" path="m3863,5l3863,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849;height:2" coordorigin="10,410" coordsize="3849,2">
              <v:shape style="position:absolute;left:10;top:410;width:3849;height:2" coordorigin="10,410" coordsize="3849,0" path="m10,410l3858,410e" filled="false" stroked="true" strokeweight=".48001pt" strokecolor="#000000">
                <v:path arrowok="t"/>
              </v:shape>
            </v:group>
            <v:group style="position:absolute;left:3867;top:410;width:5704;height:2" coordorigin="3867,410" coordsize="5704,2">
              <v:shape style="position:absolute;left:3867;top:410;width:5704;height:2" coordorigin="3867,410" coordsize="5704,0" path="m3867,410l9571,410e" filled="false" stroked="true" strokeweight=".48001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001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004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799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1"/>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057"/>
        <w:gridCol w:w="792"/>
        <w:gridCol w:w="1058"/>
        <w:gridCol w:w="795"/>
        <w:gridCol w:w="1058"/>
        <w:gridCol w:w="926"/>
        <w:gridCol w:w="1191"/>
        <w:gridCol w:w="790"/>
      </w:tblGrid>
      <w:tr>
        <w:trPr>
          <w:trHeight w:val="40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25,140,538.5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25,140,538.5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53,640,538.5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53,640,538.54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1" w:right="0"/>
              <w:jc w:val="center"/>
              <w:rPr>
                <w:rFonts w:ascii="Times New Roman" w:hAnsi="Times New Roman" w:cs="Times New Roman" w:eastAsia="Times New Roman" w:hint="default"/>
                <w:sz w:val="18"/>
                <w:szCs w:val="18"/>
              </w:rPr>
            </w:pPr>
            <w:r>
              <w:rPr>
                <w:rFonts w:ascii="Times New Roman"/>
                <w:sz w:val="18"/>
              </w:rPr>
              <w:t>47,028,696.5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3,744,094.93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center"/>
              <w:rPr>
                <w:rFonts w:ascii="Times New Roman" w:hAnsi="Times New Roman" w:cs="Times New Roman" w:eastAsia="Times New Roman" w:hint="default"/>
                <w:sz w:val="18"/>
                <w:szCs w:val="18"/>
              </w:rPr>
            </w:pPr>
            <w:r>
              <w:rPr>
                <w:rFonts w:ascii="Times New Roman"/>
                <w:sz w:val="18"/>
              </w:rPr>
              <w:t>47,227,618.5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6,052,312.60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12.82%</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9" w:header="877" w:top="1100" w:bottom="1160" w:left="980" w:right="980"/>
          <w:pgNumType w:start="101"/>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90"/>
      </w:tblGrid>
      <w:tr>
        <w:trPr>
          <w:trHeight w:val="363" w:hRule="exact"/>
        </w:trPr>
        <w:tc>
          <w:tcPr>
            <w:tcW w:w="1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47,028,696.5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3,744,094.93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47,227,618.5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45.7%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6,052,312.60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12.82%</w:t>
            </w:r>
          </w:p>
        </w:tc>
      </w:tr>
      <w:tr>
        <w:trPr>
          <w:trHeight w:val="1027"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3,119,754.46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3,119,754.46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2,466,691.16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2.39%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2,466,691.16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75,288,989.5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32,004,387.9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103,334,848.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62,159,542.30</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12,528,961.40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10,061,577.14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25,140,538.54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25,140,538.54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52"/>
        <w:gridCol w:w="1453"/>
        <w:gridCol w:w="1450"/>
        <w:gridCol w:w="652"/>
        <w:gridCol w:w="1657"/>
      </w:tblGrid>
      <w:tr>
        <w:trPr>
          <w:trHeight w:val="403"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1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7"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101" w:type="dxa"/>
            <w:gridSpan w:val="2"/>
            <w:vMerge/>
            <w:tcBorders>
              <w:left w:val="single" w:sz="4" w:space="0" w:color="000000"/>
              <w:bottom w:val="single" w:sz="4" w:space="0" w:color="000000"/>
              <w:right w:val="single" w:sz="4" w:space="0" w:color="000000"/>
            </w:tcBorders>
            <w:shd w:val="clear" w:color="auto" w:fill="D2D2D2"/>
          </w:tcPr>
          <w:p>
            <w:pPr/>
          </w:p>
        </w:tc>
        <w:tc>
          <w:tcPr>
            <w:tcW w:w="1657"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5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57"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57"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4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9"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38,573,475.79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1,924,979.88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31,380,932.26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66.44%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2,268,648.64</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2,508,695.86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250,869.58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3,559,916.58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355,991.66</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1,438,079.93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215,711.99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1,722,390.79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258,358.62</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4,508,444.95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1,352,533.48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10,564,378.94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3,169,313.68</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47,028,696.53</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3,744,094.93</w:t>
            </w:r>
          </w:p>
        </w:tc>
        <w:tc>
          <w:tcPr>
            <w:tcW w:w="145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47,227,618.57</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6,052,312.60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4"/>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海湾兽医中心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1,085,916.16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上海同仪建筑设计有限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1,206,188.30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1,206,188.30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3,119,754.46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3,119,754.46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5"/>
      </w:tblGrid>
      <w:tr>
        <w:trPr>
          <w:trHeight w:val="715"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4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7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9"/>
        <w:gridCol w:w="1594"/>
        <w:gridCol w:w="1860"/>
        <w:gridCol w:w="1591"/>
      </w:tblGrid>
      <w:tr>
        <w:trPr>
          <w:trHeight w:val="403" w:hRule="exact"/>
        </w:trPr>
        <w:tc>
          <w:tcPr>
            <w:tcW w:w="2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0"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12,528,961.40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10,061,577.14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汪永兴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4,766,856.44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房产处置尾款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重庆宏美制冷设备有限公司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土地处置尾款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33,857,394.98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44.96%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汪永兴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4,766,856.44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重庆宏美制冷设备有限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33,857,394.98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44.96%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60,384.87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60,384.87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799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799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799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799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799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799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799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after="0" w:line="1224" w:lineRule="exact"/>
        <w:rPr>
          <w:rFonts w:ascii="宋体" w:hAnsi="宋体" w:cs="宋体" w:eastAsia="宋体" w:hint="default"/>
          <w:sz w:val="20"/>
          <w:szCs w:val="20"/>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3"/>
        <w:gridCol w:w="3054"/>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56,630,576.67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89.61%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26,805,171.73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93.21%</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6,558,811.56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1,439,710.09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198,526.20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312,354.76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63,192,788.23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28,755,762.78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江苏量子石油化工进出 口有限公司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7,697,700.00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系预付投资款，报告日 尚未完成增资手续</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浙江伟博化工科技有限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7,378,200.00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方正移动传媒技术（重 庆）有限公司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6,049,999.72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杭州诚欣仪表配件有限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5,448,739.41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39,074,639.13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9"/>
        <w:gridCol w:w="1594"/>
        <w:gridCol w:w="1728"/>
        <w:gridCol w:w="1723"/>
      </w:tblGrid>
      <w:tr>
        <w:trPr>
          <w:trHeight w:val="401" w:hRule="exact"/>
        </w:trPr>
        <w:tc>
          <w:tcPr>
            <w:tcW w:w="2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0"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88,842,386.29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1,176,993.92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87,665,392.37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76,374,156.69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1,176,993.92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75,197,162.77</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32,867,125.10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32,867,125.10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26,789,841.50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1,118,061.27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25,671,780.23</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105,464,602.87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816,588.96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104,648,013.91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77,147,976.70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816,588.96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76,331,387.74</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227,174,114.26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1,993,582.88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225,180,531.38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180,311,974.89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3,111,644.15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177,200,330.74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15"/>
        <w:gridCol w:w="1627"/>
        <w:gridCol w:w="1615"/>
        <w:gridCol w:w="1414"/>
        <w:gridCol w:w="1430"/>
        <w:gridCol w:w="1757"/>
      </w:tblGrid>
      <w:tr>
        <w:trPr>
          <w:trHeight w:val="206" w:hRule="exact"/>
        </w:trPr>
        <w:tc>
          <w:tcPr>
            <w:tcW w:w="1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1,176,993.92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1,176,993.92</w:t>
            </w: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1,118,061.27</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1,118,061.27</w:t>
            </w: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816,588.96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816,588.96</w:t>
            </w: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3,111,644.15</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1,118,061.27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1,993,582.88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5"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109"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2"/>
        <w:rPr>
          <w:rFonts w:ascii="宋体" w:hAnsi="宋体" w:cs="宋体" w:eastAsia="宋体" w:hint="default"/>
          <w:sz w:val="20"/>
          <w:szCs w:val="20"/>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）可供出售金融资产中的长期债权投资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3"/>
        <w:gridCol w:w="1064"/>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109"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spacing w:before="118"/>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4"/>
        <w:gridCol w:w="3190"/>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09"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spacing w:before="121"/>
        <w:ind w:left="152" w:right="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）本报告期内出售但尚未到期的持有至到期投资情况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5"/>
        <w:gridCol w:w="2792"/>
        <w:gridCol w:w="3970"/>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09"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spacing w:before="118"/>
        <w:ind w:left="152" w:right="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3325"/>
        <w:gridCol w:w="3442"/>
      </w:tblGrid>
      <w:tr>
        <w:trPr>
          <w:trHeight w:val="401" w:hRule="exact"/>
        </w:trPr>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华立仪表印度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10,460,400.00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18,152,800.00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-7,692,400.00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-2,283,500.00</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浙江埃施朗华 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22,821,700.00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2,125,800.00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20,695,900.00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388,500.00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-4,666,200.00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杭州翔升 实业有限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345,312.9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345,312.9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345,312.9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浙江振兴 仪器仪表 责任有限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浙江华立 国际发展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3,340,572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乌中合资 电子仪表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华立仪表 印度有限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4,832,050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华立美联 制药有限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2,393,836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2,393,836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-2,393,83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杭州厚达 自动化系 统有限公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8,589,840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-8,589,84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浙江埃施 朗华科技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12,427,80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10,141,34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10,141,34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32,121,57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15,451,56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-842,327.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14,609,23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4.07</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）向投资企业转移资金的能力受到限制的有关情况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9" w:right="58"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5;width:2;height:395" coordorigin="23,15" coordsize="2,395">
              <v:shape style="position:absolute;left:23;top:15;width:2;height:395" coordorigin="23,15" coordsize="0,395" path="m23,15l23,409e" filled="false" stroked="true" strokeweight="1.08pt" strokecolor="#d2d2d2">
                <v:path arrowok="t"/>
              </v:shape>
            </v:group>
            <v:group style="position:absolute;left:5349;top:15;width:2;height:395" coordorigin="5349,15" coordsize="2,395">
              <v:shape style="position:absolute;left:5349;top:15;width:2;height:395" coordorigin="5349,15" coordsize="0,395" path="m5349,15l5349,409e" filled="false" stroked="true" strokeweight="1.08pt" strokecolor="#d2d2d2">
                <v:path arrowok="t"/>
              </v:shape>
            </v:group>
            <v:group style="position:absolute;left:34;top:15;width:5305;height:395" coordorigin="34,15" coordsize="5305,395">
              <v:shape style="position:absolute;left:34;top:15;width:5305;height:395" coordorigin="34,15" coordsize="5305,395" path="m34,409l5339,409,5339,15,34,15,34,409xe" filled="true" fillcolor="#d2d2d2" stroked="false">
                <v:path arrowok="t"/>
                <v:fill type="solid"/>
              </v:shape>
            </v:group>
            <v:group style="position:absolute;left:5382;top:15;width:2;height:395" coordorigin="5382,15" coordsize="2,395">
              <v:shape style="position:absolute;left:5382;top:15;width:2;height:395" coordorigin="5382,15" coordsize="0,395" path="m5382,15l5382,409e" filled="false" stroked="true" strokeweight="1.2pt" strokecolor="#d2d2d2">
                <v:path arrowok="t"/>
              </v:shape>
            </v:group>
            <v:group style="position:absolute;left:9559;top:15;width:2;height:395" coordorigin="9559,15" coordsize="2,395">
              <v:shape style="position:absolute;left:9559;top:15;width:2;height:395" coordorigin="9559,15" coordsize="0,395" path="m9559,15l9559,409e" filled="false" stroked="true" strokeweight="1.2pt" strokecolor="#d2d2d2">
                <v:path arrowok="t"/>
              </v:shape>
            </v:group>
            <v:group style="position:absolute;left:5394;top:15;width:4153;height:395" coordorigin="5394,15" coordsize="4153,395">
              <v:shape style="position:absolute;left:5394;top:15;width:4153;height:395" coordorigin="5394,15" coordsize="4153,395" path="m5394,409l9547,409,9547,15,5394,15,5394,409xe" filled="true" fillcolor="#d2d2d2" stroked="false">
                <v:path arrowok="t"/>
                <v:fill type="solid"/>
              </v:shape>
            </v:group>
            <v:group style="position:absolute;left:10;top:10;width:5351;height:2" coordorigin="10,10" coordsize="5351,2">
              <v:shape style="position:absolute;left:10;top:10;width:5351;height:2" coordorigin="10,10" coordsize="5351,0" path="m10,10l5360,10e" filled="false" stroked="true" strokeweight=".48004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004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0,413e" filled="false" stroked="true" strokeweight=".47998pt" strokecolor="#000000">
                <v:path arrowok="t"/>
              </v:shape>
            </v:group>
            <v:group style="position:absolute;left:5365;top:5;width:2;height:414" coordorigin="5365,5" coordsize="2,414">
              <v:shape style="position:absolute;left:5365;top:5;width:2;height:414" coordorigin="5365,5" coordsize="0,414" path="m5365,5l5365,418e" filled="false" stroked="true" strokeweight=".48001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799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729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）按公允价值计量的投资性房地产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316" w:lineRule="auto" w:before="4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办结时间</w:t>
      </w:r>
    </w:p>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2"/>
        <w:gridCol w:w="1478"/>
        <w:gridCol w:w="1327"/>
        <w:gridCol w:w="1594"/>
        <w:gridCol w:w="1596"/>
        <w:gridCol w:w="1460"/>
      </w:tblGrid>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688,696,708.08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16,874,196.38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73,165,671.42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632,405,233.04</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497,569,096.64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1,396,221.99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52,887,929.88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446,077,388.75</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177,741,480.15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7" w:right="0"/>
              <w:jc w:val="left"/>
              <w:rPr>
                <w:rFonts w:ascii="Times New Roman" w:hAnsi="Times New Roman" w:cs="Times New Roman" w:eastAsia="Times New Roman" w:hint="default"/>
                <w:sz w:val="18"/>
                <w:szCs w:val="18"/>
              </w:rPr>
            </w:pPr>
            <w:r>
              <w:rPr>
                <w:rFonts w:ascii="Times New Roman"/>
                <w:sz w:val="18"/>
              </w:rPr>
              <w:t>12,115,392.11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19,536,105.04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170,320,767.22</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13,386,131.29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3,362,582.28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741,636.50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16,007,077.07</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178,228,303.65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406,633.35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29,388,714.05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29,123,724.30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178,899,926.75</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82,146,509.46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9,179,324.25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13,935,862.11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77,389,971.60</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89,377,874.29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289,514.55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17,353,299.02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14,645,696.70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92,374,991.16</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6,703,919.90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2,856,090.78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542,165.49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9,134,963.99</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510,468,404.43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453,505,306.29</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415,422,587.18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368,687,417.15</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88,363,605.86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77,945,776.06</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6,682,211.39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6,872,113.08</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510,468,404.43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453,505,306.29</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415,422,587.18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368,687,417.15</w:t>
            </w:r>
          </w:p>
        </w:tc>
      </w:tr>
      <w:tr>
        <w:trPr>
          <w:trHeight w:val="403"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88,363,605.86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77,945,776.06</w:t>
            </w:r>
          </w:p>
        </w:tc>
      </w:tr>
      <w:tr>
        <w:trPr>
          <w:trHeight w:val="401" w:hRule="exact"/>
        </w:trPr>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6,682,211.39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6,872,113.08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29,388,714.05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376,651.23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after="0" w:line="240" w:lineRule="auto"/>
        <w:jc w:val="center"/>
        <w:rPr>
          <w:rFonts w:ascii="宋体" w:hAnsi="宋体" w:cs="宋体" w:eastAsia="宋体" w:hint="default"/>
          <w:sz w:val="18"/>
          <w:szCs w:val="18"/>
        </w:rPr>
        <w:sectPr>
          <w:footerReference w:type="default" r:id="rId31"/>
          <w:pgSz w:w="11910" w:h="16840"/>
          <w:pgMar w:footer="979" w:header="877" w:top="1100" w:bottom="1160" w:left="980" w:right="980"/>
          <w:pgNumType w:start="11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6"/>
        <w:gridCol w:w="4783"/>
      </w:tblGrid>
      <w:tr>
        <w:trPr>
          <w:trHeight w:val="403" w:hRule="exact"/>
        </w:trPr>
        <w:tc>
          <w:tcPr>
            <w:tcW w:w="4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121,154,230.65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）期末持有待售的固定资产情况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4"/>
        <w:gridCol w:w="186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广州富丽房产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未及时办理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广州天河区体育东路房产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未及时办理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before="96"/>
        <w:ind w:left="152" w:right="0" w:firstLine="0"/>
        <w:jc w:val="left"/>
        <w:rPr>
          <w:rFonts w:ascii="宋体" w:hAnsi="宋体" w:cs="宋体" w:eastAsia="宋体" w:hint="default"/>
          <w:sz w:val="21"/>
          <w:szCs w:val="21"/>
        </w:rPr>
      </w:pPr>
      <w:r>
        <w:rPr>
          <w:rFonts w:ascii="宋体" w:hAnsi="宋体" w:cs="宋体" w:eastAsia="宋体" w:hint="default"/>
          <w:sz w:val="21"/>
          <w:szCs w:val="21"/>
        </w:rPr>
        <w:t>期末，已有账面价值</w:t>
      </w:r>
      <w:r>
        <w:rPr>
          <w:rFonts w:ascii="Times New Roman" w:hAnsi="Times New Roman" w:cs="Times New Roman" w:eastAsia="Times New Roman" w:hint="default"/>
          <w:sz w:val="21"/>
          <w:szCs w:val="21"/>
        </w:rPr>
        <w:t>220,639,781.88</w:t>
      </w:r>
      <w:r>
        <w:rPr>
          <w:rFonts w:ascii="宋体" w:hAnsi="宋体" w:cs="宋体" w:eastAsia="宋体" w:hint="default"/>
          <w:sz w:val="21"/>
          <w:szCs w:val="21"/>
        </w:rPr>
        <w:t>元的固定资产用于借款、履约及投标担保。</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897,636.27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897,636.27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410,637.77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410,637.77</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897,636.27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897,636.27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410,637.77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410,637.77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安装工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257,204.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119,446.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376,651.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厂区改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16,948.8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 w:right="0"/>
              <w:jc w:val="center"/>
              <w:rPr>
                <w:rFonts w:ascii="Times New Roman" w:hAnsi="Times New Roman" w:cs="Times New Roman" w:eastAsia="Times New Roman" w:hint="default"/>
                <w:sz w:val="18"/>
                <w:szCs w:val="18"/>
              </w:rPr>
            </w:pPr>
            <w:r>
              <w:rPr>
                <w:rFonts w:ascii="Times New Roman"/>
                <w:sz w:val="18"/>
              </w:rPr>
              <w:t>16,948.8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36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样板线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302,521.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系统测 试装置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153,433.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424,732.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578,166.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410,637.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863,649.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897,636.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6"/>
        <w:gridCol w:w="158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49"/>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6"/>
        <w:gridCol w:w="1850"/>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1"/>
              <w:jc w:val="right"/>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81"/>
              <w:jc w:val="right"/>
              <w:rPr>
                <w:rFonts w:ascii="宋体" w:hAnsi="宋体" w:cs="宋体" w:eastAsia="宋体" w:hint="default"/>
                <w:sz w:val="18"/>
                <w:szCs w:val="18"/>
              </w:rPr>
            </w:pPr>
            <w:r>
              <w:rPr>
                <w:rFonts w:ascii="宋体" w:hAnsi="宋体" w:cs="宋体" w:eastAsia="宋体" w:hint="default"/>
                <w:sz w:val="18"/>
                <w:szCs w:val="18"/>
              </w:rPr>
              <w:t>曼地亚红豆杉</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6,724,081.92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1,933,835.08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9" w:right="0"/>
              <w:jc w:val="left"/>
              <w:rPr>
                <w:rFonts w:ascii="Times New Roman" w:hAnsi="Times New Roman" w:cs="Times New Roman" w:eastAsia="Times New Roman" w:hint="default"/>
                <w:sz w:val="18"/>
                <w:szCs w:val="18"/>
              </w:rPr>
            </w:pPr>
            <w:r>
              <w:rPr>
                <w:rFonts w:ascii="Times New Roman"/>
                <w:sz w:val="18"/>
              </w:rPr>
              <w:t>1,771,175.78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6,886,741.22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3"/>
        <w:gridCol w:w="1738"/>
        <w:gridCol w:w="1860"/>
        <w:gridCol w:w="2126"/>
        <w:gridCol w:w="1850"/>
      </w:tblGrid>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48" w:right="0"/>
              <w:jc w:val="left"/>
              <w:rPr>
                <w:rFonts w:ascii="Times New Roman" w:hAnsi="Times New Roman" w:cs="Times New Roman" w:eastAsia="Times New Roman" w:hint="default"/>
                <w:sz w:val="18"/>
                <w:szCs w:val="18"/>
              </w:rPr>
            </w:pPr>
            <w:r>
              <w:rPr>
                <w:rFonts w:ascii="Times New Roman"/>
                <w:sz w:val="18"/>
              </w:rPr>
              <w:t>6,724,081.92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3" w:right="0"/>
              <w:jc w:val="left"/>
              <w:rPr>
                <w:rFonts w:ascii="Times New Roman" w:hAnsi="Times New Roman" w:cs="Times New Roman" w:eastAsia="Times New Roman" w:hint="default"/>
                <w:sz w:val="18"/>
                <w:szCs w:val="18"/>
              </w:rPr>
            </w:pPr>
            <w:r>
              <w:rPr>
                <w:rFonts w:ascii="Times New Roman"/>
                <w:sz w:val="18"/>
              </w:rPr>
              <w:t>1,933,835.08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9" w:right="0"/>
              <w:jc w:val="left"/>
              <w:rPr>
                <w:rFonts w:ascii="Times New Roman" w:hAnsi="Times New Roman" w:cs="Times New Roman" w:eastAsia="Times New Roman" w:hint="default"/>
                <w:sz w:val="18"/>
                <w:szCs w:val="18"/>
              </w:rPr>
            </w:pPr>
            <w:r>
              <w:rPr>
                <w:rFonts w:ascii="Times New Roman"/>
                <w:sz w:val="18"/>
              </w:rPr>
              <w:t>1,771,175.78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3" w:right="0"/>
              <w:jc w:val="left"/>
              <w:rPr>
                <w:rFonts w:ascii="Times New Roman" w:hAnsi="Times New Roman" w:cs="Times New Roman" w:eastAsia="Times New Roman" w:hint="default"/>
                <w:sz w:val="18"/>
                <w:szCs w:val="18"/>
              </w:rPr>
            </w:pPr>
            <w:r>
              <w:rPr>
                <w:rFonts w:ascii="Times New Roman"/>
                <w:sz w:val="18"/>
              </w:rPr>
              <w:t>6,886,741.22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6"/>
        <w:gridCol w:w="1849"/>
      </w:tblGrid>
      <w:tr>
        <w:trPr>
          <w:trHeight w:val="408"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8"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229,229,170.15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660,319.55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15,598,355.03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214,291,134.67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181,685,680.09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14,370,770.43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167,314,909.66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26,479,860.00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26,479,860.00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17,254,812.19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261,333.12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3,808,817.87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660,319.55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966,251.48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3,502,885.94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47,782,586.95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3,824,353.46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3,187,555.15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48,419,385.26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17,431,099.66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3,595,132.92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1,959,970.55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19,066,262.03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26,479,860.00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26,479,860.00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261,333.12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261,333.12</w:t>
            </w: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3,610,294.17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229,220.54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966,251.48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2,873,263.23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181,446,583.20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-3,164,033.91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12,410,799.88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165,871,749.41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164,254,580.43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-3,595,132.92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12,410,799.88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148,248,647.63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198,523.70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431,099.01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629,622.71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16,993,479.07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164,453,104.13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-3,164,033.91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12,410,799.88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148,878,270.34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164,254,580.43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148,248,647.63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198,523.70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629,622.71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3,817,880.10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360" w:lineRule="auto" w:before="49"/>
        <w:ind w:left="152" w:right="4374"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5"/>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59"/>
        <w:gridCol w:w="1460"/>
        <w:gridCol w:w="1462"/>
        <w:gridCol w:w="1198"/>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重庆美联制药有限公司（注）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5,837,374.37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5,837,374.37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洪雅美联曼地亚红豆杉种植有 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8,900,000.00</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14,737,374.37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5,837,374.37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line="273" w:lineRule="auto"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减值测试时，商誉的账面价值依据相关的资产组或者资产组组合能够从企业合并的协同效应中受益的情况</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分摊至受益的资产组或资产组组合。</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2,157,953.00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147,035.00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2,010,918.00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276,069.66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138,034.86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厂区改造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499,495.94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173,295.74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432,559.99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240,231.69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模具工装费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322,040.61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173,789.51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192,875.30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设备技改费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108,830.75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84,646.11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3,255,559.21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326,750.69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915,603.94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2,666,705.96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17,487,176.88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15,313,381.19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1,407,602.51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18,894,779.39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15,313,381.19</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98,651,879.99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167,444,965.60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2,048,594.65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18,000,688.23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1,993,582.88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3,111,644.15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2,393,836.41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14,737,374.37</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128,587,536.59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222,681,987.83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2"/>
        <w:gridCol w:w="1615"/>
        <w:gridCol w:w="1628"/>
        <w:gridCol w:w="1627"/>
        <w:gridCol w:w="1617"/>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7"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18,894,779.39</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15,313,381.19</w:t>
            </w:r>
          </w:p>
        </w:tc>
        <w:tc>
          <w:tcPr>
            <w:tcW w:w="161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400"/>
        <w:gridCol w:w="1397"/>
        <w:gridCol w:w="1453"/>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109,944,077.62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45,506,177.54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83,956,144.30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3,111,644.15</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1,118,061.27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1,993,582.88</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2,393,836.41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2,393,836.41</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14,737,374.37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5,837,374.37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147,180,411.62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54,855,449.59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111,843,206.25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174,165,440.00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428,165,440.00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）已到期未偿还的短期借款情况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4"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133,229,600.00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133,936,310.00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133,229,600.00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133,936,310.00</w:t>
            </w:r>
          </w:p>
        </w:tc>
      </w:tr>
    </w:tbl>
    <w:p>
      <w:pPr>
        <w:spacing w:line="338" w:lineRule="auto" w:before="49"/>
        <w:ind w:left="152" w:right="603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133,229,600.00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after="0" w:line="338"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502,602,739.84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380,931,854.87</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502,602,739.84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380,931,854.87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57,768,978.03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20,572,374.01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57,768,978.03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20,572,374.01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1"/>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1"/>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3,821,053.78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138,732,985.10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124,270,913.33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18,283,125.55</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9,755,215.91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9,755,215.91</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173,103.91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16,623,636.50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16,758,816.95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37,923.46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1"/>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7,386,342.45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7,386,342.45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8,408,729.66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8,408,729.66</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1,724,127.55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3,645,904.13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2,081,480.38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3,288,551.30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5,718,285.24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184,552,813.75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168,661,498.68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21,609,600.31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152" w:right="468"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3,645,904.13 </w:t>
      </w:r>
      <w:r>
        <w:rPr>
          <w:rFonts w:ascii="宋体" w:hAnsi="宋体" w:cs="宋体" w:eastAsia="宋体" w:hint="default"/>
          <w:sz w:val="18"/>
          <w:szCs w:val="18"/>
        </w:rPr>
        <w:t>元，非货币性福利金额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8,408,729.66 </w:t>
      </w:r>
      <w:r>
        <w:rPr>
          <w:rFonts w:ascii="宋体" w:hAnsi="宋体" w:cs="宋体" w:eastAsia="宋体" w:hint="default"/>
          <w:sz w:val="18"/>
          <w:szCs w:val="18"/>
        </w:rPr>
        <w:t>元。 应付职工薪酬预计发放时间、金额等安排</w:t>
      </w:r>
    </w:p>
    <w:p>
      <w:pPr>
        <w:spacing w:before="21"/>
        <w:ind w:left="152" w:right="0" w:firstLine="0"/>
        <w:jc w:val="left"/>
        <w:rPr>
          <w:rFonts w:ascii="宋体" w:hAnsi="宋体" w:cs="宋体" w:eastAsia="宋体" w:hint="default"/>
          <w:sz w:val="21"/>
          <w:szCs w:val="21"/>
        </w:rPr>
      </w:pPr>
      <w:r>
        <w:rPr>
          <w:rFonts w:ascii="宋体" w:hAnsi="宋体" w:cs="宋体" w:eastAsia="宋体" w:hint="default"/>
          <w:sz w:val="21"/>
          <w:szCs w:val="21"/>
        </w:rPr>
        <w:t>应付职工薪酬已于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月发放完毕。</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26,727,737.14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8,461,308.69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806,047.45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420,930.74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8,788,607.10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7,615,364.68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189,079.44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168,743.22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2,126,308.11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886,957.46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1,469,441.62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685,894.71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126,367.55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40,233,588.41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18,239,506.42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5"/>
        <w:gridCol w:w="2127"/>
        <w:gridCol w:w="2657"/>
      </w:tblGrid>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99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7,926,663.53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海南禹航投资有限公司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4,233,600.00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其他法人股东</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2,174,764.00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3,508,583.66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子公司法人股东</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1,761,228.89</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783"/>
        <w:gridCol w:w="2006"/>
        <w:gridCol w:w="2127"/>
        <w:gridCol w:w="2645"/>
      </w:tblGrid>
      <w:tr>
        <w:trPr>
          <w:trHeight w:val="404"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19" w:right="0"/>
              <w:jc w:val="left"/>
              <w:rPr>
                <w:rFonts w:ascii="Times New Roman" w:hAnsi="Times New Roman" w:cs="Times New Roman" w:eastAsia="Times New Roman" w:hint="default"/>
                <w:sz w:val="18"/>
                <w:szCs w:val="18"/>
              </w:rPr>
            </w:pPr>
            <w:r>
              <w:rPr>
                <w:rFonts w:ascii="Times New Roman"/>
                <w:sz w:val="18"/>
              </w:rPr>
              <w:t>8,169,592.89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1" w:right="0"/>
              <w:jc w:val="left"/>
              <w:rPr>
                <w:rFonts w:ascii="Times New Roman" w:hAnsi="Times New Roman" w:cs="Times New Roman" w:eastAsia="Times New Roman" w:hint="default"/>
                <w:sz w:val="18"/>
                <w:szCs w:val="18"/>
              </w:rPr>
            </w:pPr>
            <w:r>
              <w:rPr>
                <w:rFonts w:ascii="Times New Roman"/>
                <w:sz w:val="18"/>
              </w:rPr>
              <w:t>15,668,847.19</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4,842,640.00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4,832,640.00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217,308,424.04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216,806,649.13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预收土地拆迁款</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暂扣员工坏账风险金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2,811,701.21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2,473,342.73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33,266,691.90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34,222,713.60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258,229,457.15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302,835,345.46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210,791,424.32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210,639,108.93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2,342,110.99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2,865,682.07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5,924.30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5,924.30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30,000.60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1,210,134.98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1,210,134.98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1,287,448.59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2,924,391.10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218,591,434.88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214,750,850.88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207"/>
        <w:gridCol w:w="1699"/>
        <w:gridCol w:w="1486"/>
        <w:gridCol w:w="2132"/>
      </w:tblGrid>
      <w:tr>
        <w:trPr>
          <w:trHeight w:val="355"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132"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350"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210,791,424.32</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132"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对方未催收</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浙江恒诚供应链发展有限公司</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4,316,383.33</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13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对方未催收</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中安国泰投资有限公司</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3,000,000.00</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213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合同未执行</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218,107,807.65</w:t>
            </w:r>
          </w:p>
        </w:tc>
        <w:tc>
          <w:tcPr>
            <w:tcW w:w="1486" w:type="dxa"/>
            <w:tcBorders>
              <w:top w:val="single" w:sz="12" w:space="0" w:color="000000"/>
              <w:left w:val="single" w:sz="6" w:space="0" w:color="000000"/>
              <w:bottom w:val="single" w:sz="12" w:space="0" w:color="000000"/>
              <w:right w:val="single" w:sz="6" w:space="0" w:color="000000"/>
            </w:tcBorders>
          </w:tcPr>
          <w:p>
            <w:pPr/>
          </w:p>
        </w:tc>
        <w:tc>
          <w:tcPr>
            <w:tcW w:w="2132" w:type="dxa"/>
            <w:tcBorders>
              <w:top w:val="single" w:sz="12" w:space="0" w:color="000000"/>
              <w:left w:val="single" w:sz="6" w:space="0" w:color="000000"/>
              <w:bottom w:val="single" w:sz="12" w:space="0" w:color="000000"/>
              <w:right w:val="nil" w:sz="6" w:space="0" w:color="auto"/>
            </w:tcBorders>
          </w:tcPr>
          <w:p>
            <w:pPr/>
          </w:p>
        </w:tc>
      </w:tr>
    </w:tbl>
    <w:p>
      <w:pPr>
        <w:spacing w:after="0"/>
        <w:sectPr>
          <w:footerReference w:type="default" r:id="rId32"/>
          <w:pgSz w:w="11910" w:h="16840"/>
          <w:pgMar w:footer="979" w:header="877" w:top="1100" w:bottom="1160" w:left="980" w:right="980"/>
          <w:pgNumType w:start="120"/>
        </w:sectPr>
      </w:pPr>
    </w:p>
    <w:p>
      <w:pPr>
        <w:spacing w:line="240" w:lineRule="auto" w:before="12"/>
        <w:rPr>
          <w:rFonts w:ascii="宋体" w:hAnsi="宋体" w:cs="宋体" w:eastAsia="宋体" w:hint="default"/>
          <w:b/>
          <w:bCs/>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054"/>
        <w:gridCol w:w="2808"/>
        <w:gridCol w:w="2662"/>
      </w:tblGrid>
      <w:tr>
        <w:trPr>
          <w:trHeight w:val="346"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6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34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210,791,424.32</w:t>
            </w:r>
          </w:p>
        </w:tc>
        <w:tc>
          <w:tcPr>
            <w:tcW w:w="266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46"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浙江恒诚供应链发展有限公司</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4,316,383.33</w:t>
            </w:r>
          </w:p>
        </w:tc>
        <w:tc>
          <w:tcPr>
            <w:tcW w:w="266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4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中安国泰投资有限公司</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3,000,000.00</w:t>
            </w:r>
          </w:p>
        </w:tc>
        <w:tc>
          <w:tcPr>
            <w:tcW w:w="266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8"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218,107,807.65</w:t>
            </w:r>
          </w:p>
        </w:tc>
        <w:tc>
          <w:tcPr>
            <w:tcW w:w="266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12,740,000.00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12,740,000.00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61" w:lineRule="auto" w:before="94"/>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经</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日七届三次董事会审议，公司通过了《关于将洪雅美联曼地亚红豆杉种植有限公司股权及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7"/>
          <w:sz w:val="21"/>
          <w:szCs w:val="21"/>
        </w:rPr>
        <w:t>债权挂牌转让的议案》，将所持有子公司洪雅美联曼地亚红豆杉种植有限公司（以下简称洪雅种植）</w:t>
      </w:r>
      <w:r>
        <w:rPr>
          <w:rFonts w:ascii="Times New Roman" w:hAnsi="Times New Roman" w:cs="Times New Roman" w:eastAsia="Times New Roman" w:hint="default"/>
          <w:spacing w:val="-7"/>
          <w:sz w:val="21"/>
          <w:szCs w:val="21"/>
        </w:rPr>
        <w:t>80.00%</w:t>
      </w:r>
      <w:r>
        <w:rPr>
          <w:rFonts w:ascii="Times New Roman" w:hAnsi="Times New Roman" w:cs="Times New Roman" w:eastAsia="Times New Roman" w:hint="default"/>
          <w:spacing w:val="38"/>
          <w:sz w:val="21"/>
          <w:szCs w:val="21"/>
        </w:rPr>
        <w:t> </w:t>
      </w:r>
      <w:r>
        <w:rPr>
          <w:rFonts w:ascii="Times New Roman" w:hAnsi="Times New Roman" w:cs="Times New Roman" w:eastAsia="Times New Roman" w:hint="default"/>
          <w:spacing w:val="38"/>
          <w:sz w:val="21"/>
          <w:szCs w:val="21"/>
        </w:rPr>
      </w:r>
      <w:r>
        <w:rPr>
          <w:rFonts w:ascii="宋体" w:hAnsi="宋体" w:cs="宋体" w:eastAsia="宋体" w:hint="default"/>
          <w:sz w:val="21"/>
          <w:szCs w:val="21"/>
        </w:rPr>
        <w:t>的股权及对其全部债权打包在浙江产权交易所挂牌出让。</w:t>
      </w:r>
      <w:r>
        <w:rPr>
          <w:rFonts w:ascii="宋体" w:hAnsi="宋体" w:cs="宋体" w:eastAsia="宋体" w:hint="default"/>
          <w:spacing w:val="-26"/>
          <w:sz w:val="21"/>
          <w:szCs w:val="21"/>
        </w:rPr>
        <w:t> </w:t>
      </w:r>
      <w:r>
        <w:rPr>
          <w:rFonts w:ascii="宋体" w:hAnsi="宋体" w:cs="宋体" w:eastAsia="宋体" w:hint="default"/>
          <w:sz w:val="21"/>
          <w:szCs w:val="21"/>
        </w:rPr>
        <w:t>根据浙江产权交易所有限公司公开挂牌结果，</w:t>
      </w:r>
      <w:r>
        <w:rPr>
          <w:rFonts w:ascii="宋体" w:hAnsi="宋体" w:cs="宋体" w:eastAsia="宋体" w:hint="default"/>
          <w:w w:val="100"/>
          <w:sz w:val="21"/>
          <w:szCs w:val="21"/>
        </w:rPr>
        <w:t> </w:t>
      </w:r>
      <w:r>
        <w:rPr>
          <w:rFonts w:ascii="宋体" w:hAnsi="宋体" w:cs="宋体" w:eastAsia="宋体" w:hint="default"/>
          <w:sz w:val="21"/>
          <w:szCs w:val="21"/>
        </w:rPr>
        <w:t>截至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日挂牌时间结束，在挂牌报名期间有一家合格竞买人提出受让申请，受让价格为人</w:t>
      </w:r>
      <w:r>
        <w:rPr>
          <w:rFonts w:ascii="宋体" w:hAnsi="宋体" w:cs="宋体" w:eastAsia="宋体" w:hint="default"/>
          <w:w w:val="100"/>
          <w:sz w:val="21"/>
          <w:szCs w:val="21"/>
        </w:rPr>
        <w:t> </w:t>
      </w:r>
      <w:r>
        <w:rPr>
          <w:rFonts w:ascii="宋体" w:hAnsi="宋体" w:cs="宋体" w:eastAsia="宋体" w:hint="default"/>
          <w:sz w:val="21"/>
          <w:szCs w:val="21"/>
        </w:rPr>
        <w:t>民币 </w:t>
      </w:r>
      <w:r>
        <w:rPr>
          <w:rFonts w:ascii="Times New Roman" w:hAnsi="Times New Roman" w:cs="Times New Roman" w:eastAsia="Times New Roman" w:hint="default"/>
          <w:sz w:val="21"/>
          <w:szCs w:val="21"/>
        </w:rPr>
        <w:t>500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日，公司与受让方刘建慧先生、鉴证方浙江产权交易所有限公司签署了</w:t>
      </w:r>
    </w:p>
    <w:p>
      <w:pPr>
        <w:spacing w:line="256" w:lineRule="auto" w:before="0"/>
        <w:ind w:left="152" w:right="228" w:firstLine="0"/>
        <w:jc w:val="left"/>
        <w:rPr>
          <w:rFonts w:ascii="宋体" w:hAnsi="宋体" w:cs="宋体" w:eastAsia="宋体" w:hint="default"/>
          <w:sz w:val="21"/>
          <w:szCs w:val="21"/>
        </w:rPr>
      </w:pPr>
      <w:r>
        <w:rPr>
          <w:rFonts w:ascii="宋体" w:hAnsi="宋体" w:cs="宋体" w:eastAsia="宋体" w:hint="default"/>
          <w:sz w:val="21"/>
          <w:szCs w:val="21"/>
        </w:rPr>
        <w:t>《洪雅美联曼地亚红豆杉种植有限公司</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80.00%</w:t>
      </w:r>
      <w:r>
        <w:rPr>
          <w:rFonts w:ascii="宋体" w:hAnsi="宋体" w:cs="宋体" w:eastAsia="宋体" w:hint="default"/>
          <w:sz w:val="21"/>
          <w:szCs w:val="21"/>
        </w:rPr>
        <w:t>股权及全部债权交易合同》。资产负债表日，公司预计处</w:t>
      </w:r>
      <w:r>
        <w:rPr>
          <w:rFonts w:ascii="宋体" w:hAnsi="宋体" w:cs="宋体" w:eastAsia="宋体" w:hint="default"/>
          <w:w w:val="100"/>
          <w:sz w:val="21"/>
          <w:szCs w:val="21"/>
        </w:rPr>
        <w:t> </w:t>
      </w:r>
      <w:r>
        <w:rPr>
          <w:rFonts w:ascii="宋体" w:hAnsi="宋体" w:cs="宋体" w:eastAsia="宋体" w:hint="default"/>
          <w:sz w:val="21"/>
          <w:szCs w:val="21"/>
        </w:rPr>
        <w:t>置洪雅种植股权与债权将产生损失</w:t>
      </w:r>
      <w:r>
        <w:rPr>
          <w:rFonts w:ascii="Times New Roman" w:hAnsi="Times New Roman" w:cs="Times New Roman" w:eastAsia="Times New Roman" w:hint="default"/>
          <w:sz w:val="21"/>
          <w:szCs w:val="21"/>
        </w:rPr>
        <w:t>1,274.00</w:t>
      </w:r>
      <w:r>
        <w:rPr>
          <w:rFonts w:ascii="宋体" w:hAnsi="宋体" w:cs="宋体" w:eastAsia="宋体" w:hint="default"/>
          <w:sz w:val="21"/>
          <w:szCs w:val="21"/>
        </w:rPr>
        <w:t>万元。</w:t>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33" w:space="399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2127"/>
        <w:gridCol w:w="2116"/>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3"/>
        <w:gridCol w:w="1066"/>
        <w:gridCol w:w="1061"/>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）一年内到期的应付债券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2"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）一年内到期的长期应付款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4"/>
        <w:gridCol w:w="1063"/>
        <w:gridCol w:w="1066"/>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2"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）长期应付款中的应付融资租赁款明细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1"/>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1328"/>
        <w:gridCol w:w="1330"/>
        <w:gridCol w:w="1198"/>
        <w:gridCol w:w="1327"/>
        <w:gridCol w:w="1995"/>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国家创新基金</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46"/>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80"/>
        <w:gridCol w:w="1198"/>
      </w:tblGrid>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487,731,995.00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487,731,995.00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28,247,703.36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19,931.46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28,267,634.82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9,149,973.75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9,149,973.75</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37,397,677.11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19,931.46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28,267,634.82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9,149,973.75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56" w:lineRule="auto" w:before="96"/>
        <w:ind w:left="152" w:right="0" w:firstLine="420"/>
        <w:jc w:val="left"/>
        <w:rPr>
          <w:rFonts w:ascii="宋体" w:hAnsi="宋体" w:cs="宋体" w:eastAsia="宋体" w:hint="default"/>
          <w:sz w:val="21"/>
          <w:szCs w:val="21"/>
        </w:rPr>
      </w:pPr>
      <w:r>
        <w:rPr>
          <w:rFonts w:ascii="宋体" w:hAnsi="宋体" w:cs="宋体" w:eastAsia="宋体" w:hint="default"/>
          <w:spacing w:val="-1"/>
          <w:sz w:val="21"/>
          <w:szCs w:val="21"/>
        </w:rPr>
        <w:t>资本公积本期增加系收购子公司浙江华立利源仪表有限公司</w:t>
      </w:r>
      <w:r>
        <w:rPr>
          <w:rFonts w:ascii="Times New Roman" w:hAnsi="Times New Roman" w:cs="Times New Roman" w:eastAsia="Times New Roman" w:hint="default"/>
          <w:spacing w:val="-1"/>
          <w:sz w:val="21"/>
          <w:szCs w:val="21"/>
        </w:rPr>
        <w:t>25%</w:t>
      </w:r>
      <w:r>
        <w:rPr>
          <w:rFonts w:ascii="宋体" w:hAnsi="宋体" w:cs="宋体" w:eastAsia="宋体" w:hint="default"/>
          <w:spacing w:val="-1"/>
          <w:sz w:val="21"/>
          <w:szCs w:val="21"/>
        </w:rPr>
        <w:t>少数股权，新增长期股权投资成本与</w:t>
      </w:r>
      <w:r>
        <w:rPr>
          <w:rFonts w:ascii="宋体" w:hAnsi="宋体" w:cs="宋体" w:eastAsia="宋体" w:hint="default"/>
          <w:w w:val="100"/>
          <w:sz w:val="21"/>
          <w:szCs w:val="21"/>
        </w:rPr>
        <w:t> </w:t>
      </w:r>
      <w:r>
        <w:rPr>
          <w:rFonts w:ascii="宋体" w:hAnsi="宋体" w:cs="宋体" w:eastAsia="宋体" w:hint="default"/>
          <w:sz w:val="21"/>
          <w:szCs w:val="21"/>
        </w:rPr>
        <w:t>净资产份额之差额；</w:t>
      </w:r>
    </w:p>
    <w:p>
      <w:pPr>
        <w:spacing w:line="256" w:lineRule="auto" w:before="22"/>
        <w:ind w:left="152" w:right="0" w:firstLine="420"/>
        <w:jc w:val="left"/>
        <w:rPr>
          <w:rFonts w:ascii="宋体" w:hAnsi="宋体" w:cs="宋体" w:eastAsia="宋体" w:hint="default"/>
          <w:sz w:val="21"/>
          <w:szCs w:val="21"/>
        </w:rPr>
      </w:pPr>
      <w:r>
        <w:rPr>
          <w:rFonts w:ascii="宋体" w:hAnsi="宋体" w:cs="宋体" w:eastAsia="宋体" w:hint="default"/>
          <w:sz w:val="21"/>
          <w:szCs w:val="21"/>
        </w:rPr>
        <w:t>资本公积本期减少</w:t>
      </w:r>
      <w:r>
        <w:rPr>
          <w:rFonts w:ascii="Times New Roman" w:hAnsi="Times New Roman" w:cs="Times New Roman" w:eastAsia="Times New Roman" w:hint="default"/>
          <w:sz w:val="21"/>
          <w:szCs w:val="21"/>
        </w:rPr>
        <w:t>28,267,634.82</w:t>
      </w:r>
      <w:r>
        <w:rPr>
          <w:rFonts w:ascii="宋体" w:hAnsi="宋体" w:cs="宋体" w:eastAsia="宋体" w:hint="default"/>
          <w:sz w:val="21"/>
          <w:szCs w:val="21"/>
        </w:rPr>
        <w:t>元。其中</w:t>
      </w:r>
      <w:r>
        <w:rPr>
          <w:rFonts w:ascii="Times New Roman" w:hAnsi="Times New Roman" w:cs="Times New Roman" w:eastAsia="Times New Roman" w:hint="default"/>
          <w:sz w:val="21"/>
          <w:szCs w:val="21"/>
        </w:rPr>
        <w:t>28,247,703.36</w:t>
      </w:r>
      <w:r>
        <w:rPr>
          <w:rFonts w:ascii="宋体" w:hAnsi="宋体" w:cs="宋体" w:eastAsia="宋体" w:hint="default"/>
          <w:sz w:val="21"/>
          <w:szCs w:val="21"/>
        </w:rPr>
        <w:t>元，系本期以同一控制下合并方式收购华立科</w:t>
      </w:r>
      <w:r>
        <w:rPr>
          <w:rFonts w:ascii="宋体" w:hAnsi="宋体" w:cs="宋体" w:eastAsia="宋体" w:hint="default"/>
          <w:w w:val="100"/>
          <w:sz w:val="21"/>
          <w:szCs w:val="21"/>
        </w:rPr>
        <w:t> </w:t>
      </w:r>
      <w:r>
        <w:rPr>
          <w:rFonts w:ascii="宋体" w:hAnsi="宋体" w:cs="宋体" w:eastAsia="宋体" w:hint="default"/>
          <w:sz w:val="21"/>
          <w:szCs w:val="21"/>
        </w:rPr>
        <w:t>技，将追溯调整数转出；其余减少额</w:t>
      </w:r>
      <w:r>
        <w:rPr>
          <w:rFonts w:ascii="Times New Roman" w:hAnsi="Times New Roman" w:cs="Times New Roman" w:eastAsia="Times New Roman" w:hint="default"/>
          <w:sz w:val="21"/>
          <w:szCs w:val="21"/>
        </w:rPr>
        <w:t>19,931.46</w:t>
      </w:r>
      <w:r>
        <w:rPr>
          <w:rFonts w:ascii="宋体" w:hAnsi="宋体" w:cs="宋体" w:eastAsia="宋体" w:hint="default"/>
          <w:sz w:val="21"/>
          <w:szCs w:val="21"/>
        </w:rPr>
        <w:t>系用于恢复被合并方在合并前实现的留存收益。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40,657,199.52</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40,657,199.52</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40,657,199.52</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40,657,199.52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-196,595,757.19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8,533,129.91</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-188,062,627.28</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23,420,537.27</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10,840,195.68</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-175,482,285.69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8,533,129.91 </w:t>
      </w:r>
      <w:r>
        <w:rPr>
          <w:rFonts w:ascii="宋体" w:hAnsi="宋体" w:cs="宋体" w:eastAsia="宋体" w:hint="default"/>
          <w:sz w:val="18"/>
          <w:szCs w:val="18"/>
        </w:rPr>
        <w:t>元。</w:t>
      </w:r>
    </w:p>
    <w:p>
      <w:pPr>
        <w:spacing w:line="326" w:lineRule="auto"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line="256" w:lineRule="auto" w:before="29"/>
        <w:ind w:left="573" w:right="0" w:hanging="84"/>
        <w:jc w:val="left"/>
        <w:rPr>
          <w:rFonts w:ascii="Times New Roman" w:hAnsi="Times New Roman" w:cs="Times New Roman" w:eastAsia="Times New Roman" w:hint="default"/>
          <w:sz w:val="21"/>
          <w:szCs w:val="21"/>
        </w:rPr>
      </w:pPr>
      <w:r>
        <w:rPr>
          <w:rFonts w:ascii="宋体" w:hAnsi="宋体" w:cs="宋体" w:eastAsia="宋体" w:hint="default"/>
          <w:sz w:val="21"/>
          <w:szCs w:val="21"/>
        </w:rPr>
        <w:t>由于同一控制下企业合并导致的追溯调整影响期初未分配利润</w:t>
      </w:r>
      <w:r>
        <w:rPr>
          <w:rFonts w:ascii="Times New Roman" w:hAnsi="Times New Roman" w:cs="Times New Roman" w:eastAsia="Times New Roman" w:hint="default"/>
          <w:sz w:val="21"/>
          <w:szCs w:val="21"/>
        </w:rPr>
        <w:t>8,533,129.91</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5"/>
          <w:w w:val="100"/>
          <w:sz w:val="21"/>
          <w:szCs w:val="21"/>
        </w:rPr>
        <w:t>未分配利润其他调整</w:t>
      </w:r>
      <w:r>
        <w:rPr>
          <w:rFonts w:ascii="Times New Roman" w:hAnsi="Times New Roman" w:cs="Times New Roman" w:eastAsia="Times New Roman" w:hint="default"/>
          <w:spacing w:val="-5"/>
          <w:w w:val="100"/>
          <w:sz w:val="21"/>
          <w:szCs w:val="21"/>
        </w:rPr>
        <w:t>10,840,195.68</w:t>
      </w:r>
      <w:r>
        <w:rPr>
          <w:rFonts w:ascii="宋体" w:hAnsi="宋体" w:cs="宋体" w:eastAsia="宋体" w:hint="default"/>
          <w:spacing w:val="-5"/>
          <w:w w:val="100"/>
          <w:sz w:val="21"/>
          <w:szCs w:val="21"/>
        </w:rPr>
        <w:t>。其中：</w:t>
      </w:r>
      <w:r>
        <w:rPr>
          <w:rFonts w:ascii="Times New Roman" w:hAnsi="Times New Roman" w:cs="Times New Roman" w:eastAsia="Times New Roman" w:hint="default"/>
          <w:spacing w:val="-5"/>
          <w:w w:val="100"/>
          <w:sz w:val="21"/>
          <w:szCs w:val="21"/>
        </w:rPr>
        <w:t>98,879.85</w:t>
      </w:r>
      <w:r>
        <w:rPr>
          <w:rFonts w:ascii="宋体" w:hAnsi="宋体" w:cs="宋体" w:eastAsia="宋体" w:hint="default"/>
          <w:spacing w:val="-5"/>
          <w:w w:val="100"/>
          <w:sz w:val="21"/>
          <w:szCs w:val="21"/>
        </w:rPr>
        <w:t>元系处置子公司浙江华立利源仪表有限公司</w:t>
      </w:r>
      <w:r>
        <w:rPr>
          <w:rFonts w:ascii="Times New Roman" w:hAnsi="Times New Roman" w:cs="Times New Roman" w:eastAsia="Times New Roman" w:hint="default"/>
          <w:spacing w:val="-5"/>
          <w:w w:val="100"/>
          <w:sz w:val="21"/>
          <w:szCs w:val="21"/>
        </w:rPr>
        <w:t>20.00%</w:t>
      </w:r>
    </w:p>
    <w:p>
      <w:pPr>
        <w:spacing w:line="264" w:lineRule="auto" w:before="5"/>
        <w:ind w:left="152" w:right="146" w:firstLine="0"/>
        <w:jc w:val="both"/>
        <w:rPr>
          <w:rFonts w:ascii="宋体" w:hAnsi="宋体" w:cs="宋体" w:eastAsia="宋体" w:hint="default"/>
          <w:sz w:val="21"/>
          <w:szCs w:val="21"/>
        </w:rPr>
      </w:pPr>
      <w:r>
        <w:rPr>
          <w:rFonts w:ascii="宋体" w:hAnsi="宋体" w:cs="宋体" w:eastAsia="宋体" w:hint="default"/>
          <w:spacing w:val="-3"/>
          <w:sz w:val="21"/>
          <w:szCs w:val="21"/>
        </w:rPr>
        <w:t>少数股权，及处置子公司杭州厚达自动化系统有限公司</w:t>
      </w:r>
      <w:r>
        <w:rPr>
          <w:rFonts w:ascii="Times New Roman" w:hAnsi="Times New Roman" w:cs="Times New Roman" w:eastAsia="Times New Roman" w:hint="default"/>
          <w:spacing w:val="-3"/>
          <w:sz w:val="21"/>
          <w:szCs w:val="21"/>
        </w:rPr>
        <w:t>10.00%</w:t>
      </w:r>
      <w:r>
        <w:rPr>
          <w:rFonts w:ascii="宋体" w:hAnsi="宋体" w:cs="宋体" w:eastAsia="宋体" w:hint="default"/>
          <w:spacing w:val="-3"/>
          <w:sz w:val="21"/>
          <w:szCs w:val="21"/>
        </w:rPr>
        <w:t>少数股权，处置的长期股权投资账面价值与</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被投资单位净资产份额之差额，因资本公积（股本溢价）不足而冲减本项目；其余调整系本期以同一控制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下企业合并方式收购华立科技，原追溯调整的留存收益及本年合并前实现的净利润转回。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1,596,789,311.82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1,622,079,206.35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171,099,269.23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134,965,774.08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1,299,174,038.39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1,353,080,529.71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1,557,382,681.33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1,108,267,502.24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1,621,951,001.22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1,234,530,348.59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紫杉醇及其相关产品销售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1,165,555.24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921,148.53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128,205.13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143,472.26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38,241,075.25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37,527,985.80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1,596,789,311.82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1,146,716,636.57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1,622,079,206.35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1,234,673,820.85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1,557,382,681.33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1,108,267,502.24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1,621,951,001.22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1,234,530,348.59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紫杉醇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1,165,555.24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921,148.53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128,205.13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143,472.26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化工品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38,241,075.25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37,527,985.80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1,596,789,311.82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1,146,716,636.57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1,622,079,206.35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1,234,673,820.85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433,711,717.12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271,523,641.53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243,272,966.15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185,715,254.50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194,000,774.57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143,303,841.95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319,624,676.83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251,386,660.57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149,451,618.12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115,535,681.93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93,168,352.05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70,426,668.04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165,576,236.32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136,227,955.82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274,024,543.71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226,801,513.13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190,396,733.99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147,465,035.82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273,885,180.76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195,434,793.61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110,632,549.90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82,109,568.90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116,616,794.76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104,767,001.30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147,075,322.64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111,888,737.94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89,217,066.08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73,588,299.52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205,944,359.16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138,662,172.68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212,269,626.01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126,553,630.18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1,596,789,311.82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1,146,716,636.57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1,622,079,206.35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1,234,673,820.85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1" w:right="0"/>
              <w:jc w:val="left"/>
              <w:rPr>
                <w:rFonts w:ascii="Times New Roman" w:hAnsi="Times New Roman" w:cs="Times New Roman" w:eastAsia="Times New Roman" w:hint="default"/>
                <w:sz w:val="18"/>
                <w:szCs w:val="18"/>
              </w:rPr>
            </w:pPr>
            <w:r>
              <w:rPr>
                <w:rFonts w:ascii="Times New Roman"/>
                <w:sz w:val="18"/>
              </w:rPr>
              <w:t>79,553,493.06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Provincial Electricity</w:t>
            </w:r>
            <w:r>
              <w:rPr>
                <w:rFonts w:ascii="Times New Roman"/>
                <w:spacing w:val="-19"/>
                <w:sz w:val="18"/>
              </w:rPr>
              <w:t> </w:t>
            </w:r>
            <w:r>
              <w:rPr>
                <w:rFonts w:ascii="Times New Roman"/>
                <w:sz w:val="18"/>
              </w:rPr>
              <w:t>Authority</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65,781,554.21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乌中合资电子仪表有限公司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50,952,444.58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58,538,830.93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37,528,860.00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292,355,182.78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1"/>
        <w:gridCol w:w="1597"/>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3"/>
        <w:gridCol w:w="2921"/>
      </w:tblGrid>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1,479,953.86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1,461,806.50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8,017,680.45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4,034,827.96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5,559,777.64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2,851,219.00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66,161.73</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15,123,573.68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8,347,853.46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34,307,614.49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19,120,172.37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259,680.06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320,996.96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413,656.59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8,982.56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1,921,505.65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1,769,571.80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914,070.37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1,350,367.91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267,786.11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368,313.78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1,017,043.44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2,366,855.77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1,334,855.47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9,109,937.92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7,559,764.33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2,826,520.02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4,755,970.93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5,078,762.64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2,954,434.38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24,543,042.31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21,365,136.13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18,927,164.29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14,187,645.58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1,382,132.35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1,268,795.08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5,436,169.67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2,816,878.11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9,636,602.78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8,774,061.35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45,476,335.27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49,496,044.57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1,268,442.20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1,428,791.70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4,143,925.28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3,528,716.21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169,965,816.63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143,473,914.66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26,007,256.27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27,620,658.52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8,176,667.31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8,934,961.96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社会统筹费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16,021,342.09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16,045,646.49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2,322,139.70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1,733,776.56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2,246,061.12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363,959.59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1,308,942.10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803,790.20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11,996,029.03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13,345,866.66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3,997,291.24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2,911,469.39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145,680.74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3,380,074.50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1,943,940.02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83,406,209.76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54,513,651.34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4,200,909.53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4,229,840.37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355,205.04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885,803.74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1,471,799.50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2,746,171.08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3,363,704.14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1,383,606.15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555,352.20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2,578,321.39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2,840,860.05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1,599,748.08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713,179.68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2,997,798.36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2,766,627.45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876,479.18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1,167,954.36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2,100,660.62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1,537,455.91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7,414,420.43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7,793,865.53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10,141,404.10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27,626,045.27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196,622,785.57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182,785,290.97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40,774,836.37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38,292,752.74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-3,061,213.56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-2,272,391.97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1,122,246.32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2,971,623.75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3,141,153.00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2,016,511.19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41,977,022.13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41,008,495.71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-902,148.90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4,521,819.83</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-18,441,591.41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17,133,061.86</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-32,083,740.31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21,654,881.69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1,384,303.64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488,155.03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4,033,664.80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上期已处置</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-2,286,452.54</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before="96"/>
        <w:ind w:left="152" w:right="0" w:firstLine="0"/>
        <w:jc w:val="left"/>
        <w:rPr>
          <w:rFonts w:ascii="宋体" w:hAnsi="宋体" w:cs="宋体" w:eastAsia="宋体" w:hint="default"/>
          <w:sz w:val="21"/>
          <w:szCs w:val="21"/>
        </w:rPr>
      </w:pPr>
      <w:r>
        <w:rPr>
          <w:rFonts w:ascii="宋体" w:hAnsi="宋体" w:cs="宋体" w:eastAsia="宋体" w:hint="default"/>
          <w:sz w:val="21"/>
          <w:szCs w:val="21"/>
        </w:rPr>
        <w:t>本公司不存在投资收益汇回的重大限制。</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5,175,685.05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5,175,685.05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40,321,054.88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1,149,419.58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40,321,054.88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40,321,054.88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1,149,419.58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40,321,054.88</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15,705,066.66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12,793,013.04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6,950,570.78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1,031,150.51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760,135.22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1,031,150.51</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股权投资差额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396,425.49</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396,425.49</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2,152,480.33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1,149,474.74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2,152,480.33</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59,606,177.87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15,852,042.58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50,851,681.99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8,754,495.88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6,913,731.09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信息服务业发展专项资助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水利建设资金返还</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1,198,538.18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房产税返还</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1,030,708.52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1,460,452.54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土地使用税返还</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897,074.00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重大科技创新项目补助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杭科计</w:t>
            </w:r>
            <w:r>
              <w:rPr>
                <w:rFonts w:ascii="Times New Roman" w:hAnsi="Times New Roman" w:cs="Times New Roman" w:eastAsia="Times New Roman" w:hint="default"/>
                <w:sz w:val="18"/>
                <w:szCs w:val="18"/>
              </w:rPr>
              <w:t>[2012]218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号，杭财教</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[2012]1174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重点产业发展资金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杭财企</w:t>
            </w:r>
            <w:r>
              <w:rPr>
                <w:rFonts w:ascii="Times New Roman" w:hAnsi="Times New Roman" w:cs="Times New Roman" w:eastAsia="Times New Roman" w:hint="default"/>
                <w:sz w:val="18"/>
                <w:szCs w:val="18"/>
              </w:rPr>
              <w:t>[2011]733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工业生产性项目财政资助资金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余经发</w:t>
            </w:r>
            <w:r>
              <w:rPr>
                <w:rFonts w:ascii="Times New Roman" w:hAnsi="Times New Roman" w:cs="Times New Roman" w:eastAsia="Times New Roman" w:hint="default"/>
                <w:sz w:val="18"/>
                <w:szCs w:val="18"/>
              </w:rPr>
              <w:t>[2012]29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余杭区科技计划项目补助资金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余科</w:t>
            </w:r>
            <w:r>
              <w:rPr>
                <w:rFonts w:ascii="Times New Roman" w:hAnsi="Times New Roman" w:cs="Times New Roman" w:eastAsia="Times New Roman" w:hint="default"/>
                <w:sz w:val="18"/>
                <w:szCs w:val="18"/>
              </w:rPr>
              <w:t>[2012]24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标准化战略专项奖励资金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杭质余</w:t>
            </w:r>
            <w:r>
              <w:rPr>
                <w:rFonts w:ascii="Times New Roman" w:hAnsi="Times New Roman" w:cs="Times New Roman" w:eastAsia="Times New Roman" w:hint="default"/>
                <w:sz w:val="18"/>
                <w:szCs w:val="18"/>
              </w:rPr>
              <w:t>[2012]2 </w:t>
            </w:r>
            <w:r>
              <w:rPr>
                <w:rFonts w:ascii="宋体" w:hAnsi="宋体" w:cs="宋体" w:eastAsia="宋体" w:hint="default"/>
                <w:sz w:val="18"/>
                <w:szCs w:val="18"/>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1,721,162.26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1,791,217.23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15,705,066.66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12,793,013.04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535,413.11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686,583.04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535,413.11</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535,413.11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686,583.04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535,413.11</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1,152.34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563,950.81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226,521.98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563,950.81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1,214,363.92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916,257.36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1,214,363.92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79"/>
      </w:tblGrid>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91"/>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-991,434.84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10,180,165.11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3,581,398.20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576,502.15</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2,589,963.36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10,756,667.26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基本每股收益的计算过程</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537"/>
        <w:gridCol w:w="1282"/>
        <w:gridCol w:w="2705"/>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23,420,537.27</w:t>
            </w:r>
          </w:p>
        </w:tc>
      </w:tr>
      <w:tr>
        <w:trPr>
          <w:trHeight w:val="34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B</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8,715,957.51</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C=A-B</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14,704,579.76</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E</w:t>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12.00</w:t>
            </w:r>
          </w:p>
        </w:tc>
      </w:tr>
      <w:tr>
        <w:trPr>
          <w:trHeight w:val="660"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333" w:right="19" w:hanging="3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H×I/K-J</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M=A/L</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0.05</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N=C/L</w:t>
            </w:r>
          </w:p>
        </w:tc>
        <w:tc>
          <w:tcPr>
            <w:tcW w:w="2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78" w:lineRule="exact"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-456,692.20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-1,383,024.62</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-456,692.20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-1,383,024.62</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-456,692.20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-1,383,024.62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收单位往来款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139,980,255.13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保函保证金收回</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3,020,987.00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投标保证金退回</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19,320,511.69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12,027,639.04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代收员工公积金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2,347,366.99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收政府补助款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5,919,862.26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3,061,213.56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67,002,628.88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252,680,464.55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支付单位往来款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146,655,731.07</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支付投标保证金等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19,388,511.69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10,793,103.96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支付员工公积金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2,347,366.99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256,230,673.41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14,417,351.80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449,832,738.92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融资性质的票据贴现收款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97,838,360.00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收回为融资票据提供的保证金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25,499,850.14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123,338,210.14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融资性质的票据到期承兑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为融资票据开具质押定期存单</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2,187,780.00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63,187,780.00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49,225,210.71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49,007,210.52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19,518,244.22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5,175,685.05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29,388,714.05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31,141,076.06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3,817,880.10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4,091,805.57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915,603.94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839,985.71</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-39,785,641.77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-462,836.54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40,753,756.76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39,920,218.76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32,083,740.31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-21,654,881.69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-3,581,398.20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576,502.15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-47,980,200.64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85,609,844.32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-8,037,404.06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-136,213,977.70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-27,088,254.87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85,173,872.82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49,230,250.55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143,204,505.03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335,014,631.54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307,228,445.03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307,228,445.03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259,656,817.40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27,786,186.51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47,571,627.63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）本报告期取得或处置子公司及其他营业单位的相关信息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57,840,000.00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33,341,939.50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53,477,487.50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73,701,562.16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275,184,771.57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21,978,653.58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223,485,058.98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129,008,833.75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20,359,057.12</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33,535,440.55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-53,839,056.08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136,100,609.25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16,832,993.70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200,351,151.74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31,819,086.65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161,896,286.94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102,491,136.43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196,146,829.43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335,014,631.54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307,228,445.03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298,348.83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241,847.14</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334,716,282.71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306,986,597.89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335,014,631.54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307,228,445.03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after="0"/>
        <w:jc w:val="left"/>
        <w:rPr>
          <w:rFonts w:ascii="宋体" w:hAnsi="宋体" w:cs="宋体" w:eastAsia="宋体" w:hint="default"/>
          <w:sz w:val="18"/>
          <w:szCs w:val="18"/>
        </w:rPr>
        <w:sectPr>
          <w:pgSz w:w="11910" w:h="16840"/>
          <w:pgMar w:header="877" w:footer="979" w:top="1100" w:bottom="1160" w:left="980" w:right="980"/>
        </w:sectPr>
      </w:pPr>
    </w:p>
    <w:p>
      <w:pPr>
        <w:pStyle w:val="Heading3"/>
        <w:spacing w:line="240" w:lineRule="auto" w:before="28"/>
        <w:ind w:left="140" w:right="0"/>
        <w:jc w:val="left"/>
        <w:rPr>
          <w:b w:val="0"/>
          <w:bCs w:val="0"/>
        </w:rPr>
      </w:pPr>
      <w:r>
        <w:rPr/>
        <w:pict>
          <v:group style="position:absolute;margin-left:70.559998pt;margin-top:2.195603pt;width:700.95pt;height:.1pt;mso-position-horizontal-relative:page;mso-position-vertical-relative:paragraph;z-index:-838648" coordorigin="1411,44" coordsize="14019,2">
            <v:shape style="position:absolute;left:1411;top:44;width:14019;height:2" coordorigin="1411,44" coordsize="14019,0" path="m1411,44l15430,44e" filled="false" stroked="true" strokeweight=".72pt" strokecolor="#000000">
              <v:path arrowok="t"/>
            </v:shape>
            <w10:wrap type="none"/>
          </v:group>
        </w:pict>
      </w:r>
      <w:r>
        <w:rPr/>
        <w:t>八、关联方及关联交易</w:t>
      </w:r>
      <w:r>
        <w:rPr>
          <w:b w:val="0"/>
          <w:bCs w:val="0"/>
        </w:rPr>
      </w:r>
    </w:p>
    <w:p>
      <w:pPr>
        <w:spacing w:line="240" w:lineRule="auto" w:before="12"/>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552"/>
        <w:gridCol w:w="994"/>
        <w:gridCol w:w="850"/>
        <w:gridCol w:w="708"/>
        <w:gridCol w:w="710"/>
        <w:gridCol w:w="850"/>
        <w:gridCol w:w="1277"/>
        <w:gridCol w:w="1416"/>
        <w:gridCol w:w="1419"/>
        <w:gridCol w:w="1985"/>
        <w:gridCol w:w="1276"/>
      </w:tblGrid>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7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 的持股比例</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9"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 的表决权比例</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本企业最终控制方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肖琪经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303,380,000.00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0" w:right="0"/>
              <w:jc w:val="left"/>
              <w:rPr>
                <w:rFonts w:ascii="Times New Roman" w:hAnsi="Times New Roman" w:cs="Times New Roman" w:eastAsia="Times New Roman" w:hint="default"/>
                <w:sz w:val="18"/>
                <w:szCs w:val="18"/>
              </w:rPr>
            </w:pPr>
            <w:r>
              <w:rPr>
                <w:rFonts w:ascii="Times New Roman"/>
                <w:sz w:val="18"/>
              </w:rPr>
              <w:t>23.52%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0" w:right="0"/>
              <w:jc w:val="left"/>
              <w:rPr>
                <w:rFonts w:ascii="Times New Roman" w:hAnsi="Times New Roman" w:cs="Times New Roman" w:eastAsia="Times New Roman" w:hint="default"/>
                <w:sz w:val="18"/>
                <w:szCs w:val="18"/>
              </w:rPr>
            </w:pPr>
            <w:r>
              <w:rPr>
                <w:rFonts w:ascii="Times New Roman"/>
                <w:sz w:val="18"/>
              </w:rPr>
              <w:t>23.52%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70420699-8</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before="12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835"/>
        <w:gridCol w:w="1136"/>
        <w:gridCol w:w="850"/>
        <w:gridCol w:w="1418"/>
        <w:gridCol w:w="1133"/>
        <w:gridCol w:w="1277"/>
        <w:gridCol w:w="1561"/>
        <w:gridCol w:w="1274"/>
        <w:gridCol w:w="1277"/>
        <w:gridCol w:w="1277"/>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表决权比例</w:t>
            </w:r>
            <w:r>
              <w:rPr>
                <w:rFonts w:ascii="Times New Roman" w:hAnsi="Times New Roman" w:cs="Times New Roman" w:eastAsia="Times New Roman" w:hint="default"/>
                <w:spacing w:val="-1"/>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杭州蓝创电力科技有限公司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彭建华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69459331-3</w:t>
            </w: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浙江华立能源技术有限公司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56238631-2</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 Energy Indonesia</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华立能 源印尼有限公司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USD1000000.00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ELEKTR </w:t>
            </w:r>
            <w:r>
              <w:rPr>
                <w:rFonts w:ascii="Times New Roman"/>
                <w:spacing w:val="-7"/>
                <w:sz w:val="18"/>
              </w:rPr>
              <w:t>QUVVAT</w:t>
            </w:r>
            <w:r>
              <w:rPr>
                <w:rFonts w:ascii="Times New Roman"/>
                <w:spacing w:val="-12"/>
                <w:sz w:val="18"/>
              </w:rPr>
              <w:t> </w:t>
            </w:r>
            <w:r>
              <w:rPr>
                <w:rFonts w:ascii="Times New Roman"/>
                <w:sz w:val="18"/>
              </w:rPr>
              <w:t>QURILMALARI</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乌兹别克</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USD550000.00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23424837</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股份有限 公司（非 上市）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181,552,800.00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14292725-8</w:t>
            </w:r>
          </w:p>
        </w:tc>
      </w:tr>
    </w:tbl>
    <w:p>
      <w:pPr>
        <w:spacing w:after="0" w:line="240" w:lineRule="auto"/>
        <w:jc w:val="left"/>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867" w:footer="980" w:top="1060" w:bottom="1160" w:left="1300" w:right="1240"/>
          <w:pgNumType w:start="137"/>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5"/>
        <w:gridCol w:w="1136"/>
        <w:gridCol w:w="850"/>
        <w:gridCol w:w="1418"/>
        <w:gridCol w:w="1133"/>
        <w:gridCol w:w="1277"/>
        <w:gridCol w:w="1561"/>
        <w:gridCol w:w="1274"/>
        <w:gridCol w:w="1277"/>
        <w:gridCol w:w="1277"/>
      </w:tblGrid>
      <w:tr>
        <w:trPr>
          <w:trHeight w:val="730" w:hRule="exact"/>
        </w:trPr>
        <w:tc>
          <w:tcPr>
            <w:tcW w:w="28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11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王治刚</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71.35%</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71.35%</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20323881-X</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73394097-2</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浙江华立利源仪表有限公司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79368518-4</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79966056-X</w:t>
            </w: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67722908-5</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71253357-7</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马小辉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77925500-6</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HOLLEY ELECTRONIC</w:t>
            </w:r>
            <w:r>
              <w:rPr>
                <w:rFonts w:ascii="Times New Roman"/>
                <w:spacing w:val="-14"/>
                <w:sz w:val="18"/>
              </w:rPr>
              <w:t> </w:t>
            </w:r>
            <w:r>
              <w:rPr>
                <w:rFonts w:ascii="Times New Roman"/>
                <w:sz w:val="18"/>
              </w:rPr>
              <w:t>METER</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宋体" w:hAnsi="宋体" w:cs="宋体" w:eastAsia="宋体" w:hint="default"/>
                <w:sz w:val="18"/>
                <w:szCs w:val="18"/>
              </w:rPr>
              <w:t>华立集团电子表有限公司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3032025720</w:t>
            </w:r>
          </w:p>
        </w:tc>
      </w:tr>
      <w:tr>
        <w:trPr>
          <w:trHeight w:val="10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HOLLEY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GRUOUP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LECTRIC(THAILAND)CO.,LTD.</w:t>
            </w:r>
            <w:r>
              <w:rPr>
                <w:rFonts w:ascii="宋体" w:hAnsi="宋体" w:cs="宋体" w:eastAsia="宋体" w:hint="default"/>
                <w:spacing w:val="-1"/>
                <w:sz w:val="18"/>
                <w:szCs w:val="18"/>
              </w:rPr>
              <w:t>华</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立集团（泰国）电气有限公司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3030155047</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四川省洪雅县柳 江镇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丁远达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73834614-7</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洪雅美联植化有限责任公司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96"/>
              <w:jc w:val="left"/>
              <w:rPr>
                <w:rFonts w:ascii="宋体" w:hAnsi="宋体" w:cs="宋体" w:eastAsia="宋体" w:hint="default"/>
                <w:sz w:val="18"/>
                <w:szCs w:val="18"/>
              </w:rPr>
            </w:pPr>
            <w:r>
              <w:rPr>
                <w:rFonts w:ascii="宋体" w:hAnsi="宋体" w:cs="宋体" w:eastAsia="宋体" w:hint="default"/>
                <w:sz w:val="18"/>
                <w:szCs w:val="18"/>
              </w:rPr>
              <w:t>有限责任 公司（法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四川省洪雅县柳 江镇场镇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丁远达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74466509-9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2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5"/>
        <w:gridCol w:w="1136"/>
        <w:gridCol w:w="850"/>
        <w:gridCol w:w="1418"/>
        <w:gridCol w:w="1133"/>
        <w:gridCol w:w="1277"/>
        <w:gridCol w:w="1561"/>
        <w:gridCol w:w="1274"/>
        <w:gridCol w:w="1277"/>
        <w:gridCol w:w="1277"/>
      </w:tblGrid>
      <w:tr>
        <w:trPr>
          <w:trHeight w:val="377" w:hRule="exact"/>
        </w:trPr>
        <w:tc>
          <w:tcPr>
            <w:tcW w:w="2835"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人独资）</w:t>
            </w:r>
          </w:p>
        </w:tc>
        <w:tc>
          <w:tcPr>
            <w:tcW w:w="1418"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章青侯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55267727-1</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杭州安厚信息技术有限公司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有限责任 公司（法 人独资）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蔡永潮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58989510-9</w:t>
            </w:r>
          </w:p>
        </w:tc>
      </w:tr>
    </w:tbl>
    <w:p>
      <w:pPr>
        <w:spacing w:line="240" w:lineRule="auto" w:before="10"/>
        <w:rPr>
          <w:rFonts w:ascii="Times New Roman" w:hAnsi="Times New Roman" w:cs="Times New Roman" w:eastAsia="Times New Roman" w:hint="default"/>
          <w:sz w:val="21"/>
          <w:szCs w:val="21"/>
        </w:rPr>
      </w:pPr>
    </w:p>
    <w:p>
      <w:pPr>
        <w:spacing w:before="36"/>
        <w:ind w:left="1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9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35"/>
        <w:gridCol w:w="1136"/>
        <w:gridCol w:w="850"/>
        <w:gridCol w:w="1702"/>
        <w:gridCol w:w="850"/>
        <w:gridCol w:w="1418"/>
        <w:gridCol w:w="1135"/>
        <w:gridCol w:w="1558"/>
        <w:gridCol w:w="1277"/>
        <w:gridCol w:w="1277"/>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11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5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 位表决权比例</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1403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陶焙元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卢比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U40109AP</w:t>
            </w:r>
          </w:p>
        </w:tc>
      </w:tr>
      <w:tr>
        <w:trPr>
          <w:trHeight w:val="404" w:hRule="exact"/>
        </w:trPr>
        <w:tc>
          <w:tcPr>
            <w:tcW w:w="1403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3"/>
              <w:jc w:val="left"/>
              <w:rPr>
                <w:rFonts w:ascii="Times New Roman" w:hAnsi="Times New Roman" w:cs="Times New Roman" w:eastAsia="Times New Roman" w:hint="default"/>
                <w:sz w:val="18"/>
                <w:szCs w:val="18"/>
              </w:rPr>
            </w:pPr>
            <w:r>
              <w:rPr>
                <w:rFonts w:ascii="Times New Roman"/>
                <w:sz w:val="18"/>
              </w:rPr>
              <w:t>RONALD</w:t>
            </w:r>
            <w:r>
              <w:rPr>
                <w:rFonts w:ascii="Times New Roman"/>
                <w:w w:val="99"/>
                <w:sz w:val="18"/>
              </w:rPr>
              <w:t> </w:t>
            </w:r>
            <w:r>
              <w:rPr>
                <w:rFonts w:ascii="Times New Roman"/>
                <w:sz w:val="18"/>
              </w:rPr>
              <w:t>ALEXANDER</w:t>
            </w:r>
            <w:r>
              <w:rPr>
                <w:rFonts w:ascii="Times New Roman"/>
                <w:spacing w:val="-7"/>
                <w:sz w:val="18"/>
              </w:rPr>
              <w:t> </w:t>
            </w:r>
            <w:r>
              <w:rPr>
                <w:rFonts w:ascii="Times New Roman"/>
                <w:sz w:val="18"/>
              </w:rPr>
              <w:t>SEGE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59307855-8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20" w:right="124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70420257-5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14291820-4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70938223-7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732967725-X</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55200064-X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56695091-0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711715pt;width:85.5pt;height:15.6pt;mso-position-horizontal-relative:page;mso-position-vertical-relative:paragraph;z-index:-83862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2.108295pt;width:479.15pt;height:179.1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5"/>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浙江华立国际发展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79,553,493.06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25,663,271.33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华立仪表印度有限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1,033,589.54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浙江埃施朗华科技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99,142.71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73"/>
        <w:gridCol w:w="1368"/>
        <w:gridCol w:w="1371"/>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4"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华立仪表集团股 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华方医药科技有 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商业物流库房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245,730.72</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浙江华智控股股 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重庆岩康制药有 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厂房、办公楼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after="0"/>
        <w:jc w:val="left"/>
        <w:rPr>
          <w:rFonts w:ascii="宋体" w:hAnsi="宋体" w:cs="宋体" w:eastAsia="宋体" w:hint="default"/>
          <w:sz w:val="18"/>
          <w:szCs w:val="18"/>
        </w:rPr>
        <w:sectPr>
          <w:headerReference w:type="default" r:id="rId35"/>
          <w:footerReference w:type="default" r:id="rId36"/>
          <w:pgSz w:w="11910" w:h="16840"/>
          <w:pgMar w:header="877" w:footer="979" w:top="1100" w:bottom="1160" w:left="980" w:right="980"/>
          <w:pgNumType w:start="140"/>
        </w:sectPr>
      </w:pPr>
    </w:p>
    <w:p>
      <w:pPr>
        <w:spacing w:line="240" w:lineRule="auto" w:before="11"/>
        <w:rPr>
          <w:rFonts w:ascii="宋体" w:hAnsi="宋体" w:cs="宋体" w:eastAsia="宋体" w:hint="default"/>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0"/>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0" w:hanging="541"/>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41,626,600.00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5,713,654.00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73" w:lineRule="auto" w:before="94"/>
        <w:ind w:left="573" w:right="1273" w:firstLine="0"/>
        <w:jc w:val="left"/>
        <w:rPr>
          <w:rFonts w:ascii="宋体" w:hAnsi="宋体" w:cs="宋体" w:eastAsia="宋体" w:hint="default"/>
          <w:sz w:val="21"/>
          <w:szCs w:val="21"/>
        </w:rPr>
      </w:pPr>
      <w:r>
        <w:rPr>
          <w:rFonts w:ascii="宋体" w:hAnsi="宋体" w:cs="宋体" w:eastAsia="宋体" w:hint="default"/>
          <w:sz w:val="21"/>
          <w:szCs w:val="21"/>
        </w:rPr>
        <w:t>接受担保</w:t>
      </w:r>
      <w:r>
        <w:rPr>
          <w:rFonts w:ascii="宋体" w:hAnsi="宋体" w:cs="宋体" w:eastAsia="宋体" w:hint="default"/>
          <w:w w:val="100"/>
          <w:sz w:val="21"/>
          <w:szCs w:val="21"/>
        </w:rPr>
        <w:t> </w:t>
      </w:r>
      <w:r>
        <w:rPr>
          <w:rFonts w:ascii="宋体" w:hAnsi="宋体" w:cs="宋体" w:eastAsia="宋体" w:hint="default"/>
          <w:spacing w:val="-2"/>
          <w:sz w:val="21"/>
          <w:szCs w:val="21"/>
        </w:rPr>
        <w:t>华方医药科技有限公司为公司子公司华立仪表集团股份有限公司提供担保如下：</w:t>
      </w:r>
    </w:p>
    <w:p>
      <w:pPr>
        <w:spacing w:line="256" w:lineRule="auto" w:before="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为在中国银行浙江省分行提供金额为</w:t>
      </w:r>
      <w:r>
        <w:rPr>
          <w:rFonts w:ascii="Times New Roman" w:hAnsi="Times New Roman" w:cs="Times New Roman" w:eastAsia="Times New Roman" w:hint="default"/>
          <w:sz w:val="21"/>
          <w:szCs w:val="21"/>
        </w:rPr>
        <w:t>21,000.00</w:t>
      </w:r>
      <w:r>
        <w:rPr>
          <w:rFonts w:ascii="宋体" w:hAnsi="宋体" w:cs="宋体" w:eastAsia="宋体" w:hint="default"/>
          <w:sz w:val="21"/>
          <w:szCs w:val="21"/>
        </w:rPr>
        <w:t>万元的最高额保证。截至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日，华立仪</w:t>
      </w:r>
      <w:r>
        <w:rPr>
          <w:rFonts w:ascii="宋体" w:hAnsi="宋体" w:cs="宋体" w:eastAsia="宋体" w:hint="default"/>
          <w:w w:val="100"/>
          <w:sz w:val="21"/>
          <w:szCs w:val="21"/>
        </w:rPr>
        <w:t> </w:t>
      </w:r>
      <w:r>
        <w:rPr>
          <w:rFonts w:ascii="宋体" w:hAnsi="宋体" w:cs="宋体" w:eastAsia="宋体" w:hint="default"/>
          <w:sz w:val="21"/>
          <w:szCs w:val="21"/>
        </w:rPr>
        <w:t>表在该项保证协议下取得借款</w:t>
      </w:r>
      <w:r>
        <w:rPr>
          <w:rFonts w:ascii="Times New Roman" w:hAnsi="Times New Roman" w:cs="Times New Roman" w:eastAsia="Times New Roman" w:hint="default"/>
          <w:sz w:val="21"/>
          <w:szCs w:val="21"/>
        </w:rPr>
        <w:t>15,400.00</w:t>
      </w:r>
      <w:r>
        <w:rPr>
          <w:rFonts w:ascii="宋体" w:hAnsi="宋体" w:cs="宋体" w:eastAsia="宋体" w:hint="default"/>
          <w:sz w:val="21"/>
          <w:szCs w:val="21"/>
        </w:rPr>
        <w:t>万元。</w:t>
      </w:r>
    </w:p>
    <w:p>
      <w:pPr>
        <w:spacing w:line="256" w:lineRule="auto" w:before="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为在深圳发展银行杭州武林支行综合授信</w:t>
      </w:r>
      <w:r>
        <w:rPr>
          <w:rFonts w:ascii="Times New Roman" w:hAnsi="Times New Roman" w:cs="Times New Roman" w:eastAsia="Times New Roman" w:hint="default"/>
          <w:sz w:val="21"/>
          <w:szCs w:val="21"/>
        </w:rPr>
        <w:t>6,000.00</w:t>
      </w:r>
      <w:r>
        <w:rPr>
          <w:rFonts w:ascii="宋体" w:hAnsi="宋体" w:cs="宋体" w:eastAsia="宋体" w:hint="default"/>
          <w:sz w:val="21"/>
          <w:szCs w:val="21"/>
        </w:rPr>
        <w:t>万元提供连带责任担保。截至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华立仪表在该保证协议下取得借款</w:t>
      </w:r>
      <w:r>
        <w:rPr>
          <w:rFonts w:ascii="Times New Roman" w:hAnsi="Times New Roman" w:cs="Times New Roman" w:eastAsia="Times New Roman" w:hint="default"/>
          <w:sz w:val="21"/>
          <w:szCs w:val="21"/>
        </w:rPr>
        <w:t>2,000.00</w:t>
      </w:r>
      <w:r>
        <w:rPr>
          <w:rFonts w:ascii="宋体" w:hAnsi="宋体" w:cs="宋体" w:eastAsia="宋体" w:hint="default"/>
          <w:sz w:val="21"/>
          <w:szCs w:val="21"/>
        </w:rPr>
        <w:t>万元；</w:t>
      </w:r>
    </w:p>
    <w:p>
      <w:pPr>
        <w:spacing w:line="256" w:lineRule="auto" w:before="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为在中国银行浙江省分行开具</w:t>
      </w:r>
      <w:r>
        <w:rPr>
          <w:rFonts w:ascii="Times New Roman" w:hAnsi="Times New Roman" w:cs="Times New Roman" w:eastAsia="Times New Roman" w:hint="default"/>
          <w:sz w:val="21"/>
          <w:szCs w:val="21"/>
        </w:rPr>
        <w:t>4,162.66</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万元银行承兑汇票除票据保证金外的敞口部份提供连带责</w:t>
      </w:r>
      <w:r>
        <w:rPr>
          <w:rFonts w:ascii="宋体" w:hAnsi="宋体" w:cs="宋体" w:eastAsia="宋体" w:hint="default"/>
          <w:w w:val="100"/>
          <w:sz w:val="21"/>
          <w:szCs w:val="21"/>
        </w:rPr>
        <w:t> </w:t>
      </w:r>
      <w:r>
        <w:rPr>
          <w:rFonts w:ascii="宋体" w:hAnsi="宋体" w:cs="宋体" w:eastAsia="宋体" w:hint="default"/>
          <w:sz w:val="21"/>
          <w:szCs w:val="21"/>
        </w:rPr>
        <w:t>任担保；</w:t>
      </w:r>
    </w:p>
    <w:p>
      <w:pPr>
        <w:spacing w:line="256" w:lineRule="auto" w:before="22"/>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为在工商银行众安支行开具</w:t>
      </w:r>
      <w:r>
        <w:rPr>
          <w:rFonts w:ascii="Times New Roman" w:hAnsi="Times New Roman" w:cs="Times New Roman" w:eastAsia="Times New Roman" w:hint="default"/>
          <w:sz w:val="21"/>
          <w:szCs w:val="21"/>
        </w:rPr>
        <w:t>2,000.00</w:t>
      </w:r>
      <w:r>
        <w:rPr>
          <w:rFonts w:ascii="宋体" w:hAnsi="宋体" w:cs="宋体" w:eastAsia="宋体" w:hint="default"/>
          <w:sz w:val="21"/>
          <w:szCs w:val="21"/>
        </w:rPr>
        <w:t>万元银行承兑汇票除票据保证金外的敞口部份提供连带责任</w:t>
      </w:r>
      <w:r>
        <w:rPr>
          <w:rFonts w:ascii="宋体" w:hAnsi="宋体" w:cs="宋体" w:eastAsia="宋体" w:hint="default"/>
          <w:w w:val="100"/>
          <w:sz w:val="21"/>
          <w:szCs w:val="21"/>
        </w:rPr>
        <w:t> </w:t>
      </w:r>
      <w:r>
        <w:rPr>
          <w:rFonts w:ascii="宋体" w:hAnsi="宋体" w:cs="宋体" w:eastAsia="宋体" w:hint="default"/>
          <w:sz w:val="21"/>
          <w:szCs w:val="21"/>
        </w:rPr>
        <w:t>担保；</w:t>
      </w:r>
    </w:p>
    <w:p>
      <w:pPr>
        <w:spacing w:line="256" w:lineRule="auto" w:before="22"/>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为在中国银行浙江省分行开具履约保函</w:t>
      </w:r>
      <w:r>
        <w:rPr>
          <w:rFonts w:ascii="Times New Roman" w:hAnsi="Times New Roman" w:cs="Times New Roman" w:eastAsia="Times New Roman" w:hint="default"/>
          <w:sz w:val="21"/>
          <w:szCs w:val="21"/>
        </w:rPr>
        <w:t>5,713,654.00</w:t>
      </w:r>
      <w:r>
        <w:rPr>
          <w:rFonts w:ascii="宋体" w:hAnsi="宋体" w:cs="宋体" w:eastAsia="宋体" w:hint="default"/>
          <w:sz w:val="21"/>
          <w:szCs w:val="21"/>
        </w:rPr>
        <w:t>元提供保证担保。</w:t>
      </w:r>
      <w:r>
        <w:rPr>
          <w:rFonts w:ascii="宋体" w:hAnsi="宋体" w:cs="宋体" w:eastAsia="宋体" w:hint="default"/>
          <w:w w:val="100"/>
          <w:sz w:val="21"/>
          <w:szCs w:val="21"/>
        </w:rPr>
        <w:t> </w:t>
      </w:r>
      <w:r>
        <w:rPr>
          <w:rFonts w:ascii="宋体" w:hAnsi="宋体" w:cs="宋体" w:eastAsia="宋体" w:hint="default"/>
          <w:spacing w:val="-4"/>
          <w:sz w:val="21"/>
          <w:szCs w:val="21"/>
        </w:rPr>
        <w:t>子公司华立仪表与华方医药互相担保，按担保金额的</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收取担保费，本年华立仪表发生的担保费支出</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净额</w:t>
      </w:r>
      <w:r>
        <w:rPr>
          <w:rFonts w:ascii="Times New Roman" w:hAnsi="Times New Roman" w:cs="Times New Roman" w:eastAsia="Times New Roman" w:hint="default"/>
          <w:sz w:val="21"/>
          <w:szCs w:val="21"/>
        </w:rPr>
        <w:t>109.27</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已分别于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月归还完毕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原拆入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15,805,055.55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9,550,675.47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5,729,020.00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浙江华立国际发展有限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46.950012pt;margin-top:3.83172pt;width:48.15pt;height:15.6pt;mso-position-horizontal-relative:page;mso-position-vertical-relative:paragraph;z-index:-83857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68319pt;width:479.3pt;height:123.3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708"/>
                    <w:gridCol w:w="3262"/>
                    <w:gridCol w:w="850"/>
                    <w:gridCol w:w="1274"/>
                    <w:gridCol w:w="852"/>
                    <w:gridCol w:w="833"/>
                    <w:gridCol w:w="797"/>
                  </w:tblGrid>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9" w:right="58"/>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326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0" w:firstLine="36"/>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58"/>
                          <w:jc w:val="left"/>
                          <w:rPr>
                            <w:rFonts w:ascii="宋体" w:hAnsi="宋体" w:cs="宋体" w:eastAsia="宋体" w:hint="default"/>
                            <w:sz w:val="18"/>
                            <w:szCs w:val="18"/>
                          </w:rPr>
                        </w:pPr>
                        <w:r>
                          <w:rPr>
                            <w:rFonts w:ascii="宋体" w:hAnsi="宋体" w:cs="宋体" w:eastAsia="宋体" w:hint="default"/>
                            <w:sz w:val="18"/>
                            <w:szCs w:val="18"/>
                          </w:rPr>
                          <w:t>华立集团股 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32"/>
                          <w:jc w:val="left"/>
                          <w:rPr>
                            <w:rFonts w:ascii="宋体" w:hAnsi="宋体" w:cs="宋体" w:eastAsia="宋体" w:hint="default"/>
                            <w:sz w:val="18"/>
                            <w:szCs w:val="18"/>
                          </w:rPr>
                        </w:pPr>
                        <w:r>
                          <w:rPr>
                            <w:rFonts w:ascii="宋体" w:hAnsi="宋体" w:cs="宋体" w:eastAsia="宋体" w:hint="default"/>
                            <w:sz w:val="18"/>
                            <w:szCs w:val="18"/>
                          </w:rPr>
                          <w:t>收购资 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6"/>
                          <w:jc w:val="both"/>
                          <w:rPr>
                            <w:rFonts w:ascii="宋体" w:hAnsi="宋体" w:cs="宋体" w:eastAsia="宋体" w:hint="default"/>
                            <w:sz w:val="18"/>
                            <w:szCs w:val="18"/>
                          </w:rPr>
                        </w:pPr>
                        <w:r>
                          <w:rPr>
                            <w:rFonts w:ascii="宋体" w:hAnsi="宋体" w:cs="宋体" w:eastAsia="宋体" w:hint="default"/>
                            <w:sz w:val="18"/>
                            <w:szCs w:val="18"/>
                          </w:rPr>
                          <w:t>公司控股子公司华立仪表集团股份有限 公司收购华立集团股份有限公司所持有 的浙江华立科技有限公司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4"/>
                          <w:jc w:val="left"/>
                          <w:rPr>
                            <w:rFonts w:ascii="宋体" w:hAnsi="宋体" w:cs="宋体" w:eastAsia="宋体" w:hint="default"/>
                            <w:sz w:val="18"/>
                            <w:szCs w:val="18"/>
                          </w:rPr>
                        </w:pPr>
                        <w:r>
                          <w:rPr>
                            <w:rFonts w:ascii="宋体" w:hAnsi="宋体" w:cs="宋体" w:eastAsia="宋体" w:hint="default"/>
                            <w:sz w:val="18"/>
                            <w:szCs w:val="18"/>
                          </w:rPr>
                          <w:t>依据评估 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53,000,000.00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2449"/>
        <w:gridCol w:w="1462"/>
        <w:gridCol w:w="1462"/>
        <w:gridCol w:w="1459"/>
        <w:gridCol w:w="1460"/>
      </w:tblGrid>
      <w:tr>
        <w:trPr>
          <w:trHeight w:val="402"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2449"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35,975,327.89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1,798,766.40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12,765,459.78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638,272.99</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3,293,550.09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371,919.69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3,650,327.94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182,516.40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7,697,700.00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6,429,400.00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60,384.87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3,019.24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3209"/>
        <w:gridCol w:w="2259"/>
        <w:gridCol w:w="2259"/>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210,791,424.32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210,639,108.93</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2,342,110.99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2,865,682.07</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5,924.30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5,924.30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30,000.60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1,210,134.98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1,210,134.98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2,924,391.10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1,287,448.59</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九、或有事项</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月，公司收到重庆市第一中级人民法院应诉传票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被告知中安国泰投资有限公司已就与公司关于子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公司重庆美联制药有限公司、洪雅美联曼地亚红豆杉种植有限公司的股权转让合同纠纷诉至法院</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由于各种</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原因，双方未能履行合同，对方现请求法院判令公司退还原支付的保证金</w:t>
      </w:r>
      <w:r>
        <w:rPr>
          <w:rFonts w:ascii="Times New Roman" w:hAnsi="Times New Roman" w:cs="Times New Roman" w:eastAsia="Times New Roman" w:hint="default"/>
          <w:sz w:val="21"/>
          <w:szCs w:val="21"/>
        </w:rPr>
        <w:t>300</w:t>
      </w:r>
      <w:r>
        <w:rPr>
          <w:rFonts w:ascii="宋体" w:hAnsi="宋体" w:cs="宋体" w:eastAsia="宋体" w:hint="default"/>
          <w:sz w:val="21"/>
          <w:szCs w:val="21"/>
        </w:rPr>
        <w:t>万元，并支付保证金利息及</w:t>
      </w:r>
      <w:r>
        <w:rPr>
          <w:rFonts w:ascii="宋体" w:hAnsi="宋体" w:cs="宋体" w:eastAsia="宋体" w:hint="default"/>
          <w:w w:val="100"/>
          <w:sz w:val="21"/>
          <w:szCs w:val="21"/>
        </w:rPr>
        <w:t> </w:t>
      </w:r>
      <w:r>
        <w:rPr>
          <w:rFonts w:ascii="宋体" w:hAnsi="宋体" w:cs="宋体" w:eastAsia="宋体" w:hint="default"/>
          <w:sz w:val="21"/>
          <w:szCs w:val="21"/>
        </w:rPr>
        <w:t>损失费</w:t>
      </w:r>
      <w:r>
        <w:rPr>
          <w:rFonts w:ascii="Times New Roman" w:hAnsi="Times New Roman" w:cs="Times New Roman" w:eastAsia="Times New Roman" w:hint="default"/>
          <w:sz w:val="21"/>
          <w:szCs w:val="21"/>
        </w:rPr>
        <w:t>78.75</w:t>
      </w:r>
      <w:r>
        <w:rPr>
          <w:rFonts w:ascii="宋体" w:hAnsi="宋体" w:cs="宋体" w:eastAsia="宋体" w:hint="default"/>
          <w:sz w:val="21"/>
          <w:szCs w:val="21"/>
        </w:rPr>
        <w:t>万元。截止报告日</w:t>
      </w:r>
      <w:r>
        <w:rPr>
          <w:rFonts w:ascii="Times New Roman" w:hAnsi="Times New Roman" w:cs="Times New Roman" w:eastAsia="Times New Roman" w:hint="default"/>
          <w:sz w:val="21"/>
          <w:szCs w:val="21"/>
        </w:rPr>
        <w:t>,</w:t>
      </w:r>
      <w:r>
        <w:rPr>
          <w:rFonts w:ascii="宋体" w:hAnsi="宋体" w:cs="宋体" w:eastAsia="宋体" w:hint="default"/>
          <w:sz w:val="21"/>
          <w:szCs w:val="21"/>
        </w:rPr>
        <w:t>此案正在审理中。</w:t>
      </w:r>
    </w:p>
    <w:p>
      <w:pPr>
        <w:spacing w:line="240" w:lineRule="auto" w:before="4"/>
        <w:rPr>
          <w:rFonts w:ascii="宋体" w:hAnsi="宋体" w:cs="宋体" w:eastAsia="宋体" w:hint="default"/>
          <w:sz w:val="24"/>
          <w:szCs w:val="24"/>
        </w:rPr>
      </w:pPr>
    </w:p>
    <w:p>
      <w:pPr>
        <w:spacing w:line="590" w:lineRule="atLeast"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华方医药科技有限公司为公司子公司华立仪表集团股份有限公司提供担保如下：</w:t>
      </w:r>
    </w:p>
    <w:p>
      <w:pPr>
        <w:spacing w:line="256" w:lineRule="auto" w:before="3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为在中国银行浙江省分行提供金额为</w:t>
      </w:r>
      <w:r>
        <w:rPr>
          <w:rFonts w:ascii="Times New Roman" w:hAnsi="Times New Roman" w:cs="Times New Roman" w:eastAsia="Times New Roman" w:hint="default"/>
          <w:sz w:val="21"/>
          <w:szCs w:val="21"/>
        </w:rPr>
        <w:t>21,000.00</w:t>
      </w:r>
      <w:r>
        <w:rPr>
          <w:rFonts w:ascii="宋体" w:hAnsi="宋体" w:cs="宋体" w:eastAsia="宋体" w:hint="default"/>
          <w:sz w:val="21"/>
          <w:szCs w:val="21"/>
        </w:rPr>
        <w:t>万元的最高额保证。截至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日，华立仪</w:t>
      </w:r>
      <w:r>
        <w:rPr>
          <w:rFonts w:ascii="宋体" w:hAnsi="宋体" w:cs="宋体" w:eastAsia="宋体" w:hint="default"/>
          <w:w w:val="100"/>
          <w:sz w:val="21"/>
          <w:szCs w:val="21"/>
        </w:rPr>
        <w:t> </w:t>
      </w:r>
      <w:r>
        <w:rPr>
          <w:rFonts w:ascii="宋体" w:hAnsi="宋体" w:cs="宋体" w:eastAsia="宋体" w:hint="default"/>
          <w:sz w:val="21"/>
          <w:szCs w:val="21"/>
        </w:rPr>
        <w:t>表在该项保证协议下取得借款</w:t>
      </w:r>
      <w:r>
        <w:rPr>
          <w:rFonts w:ascii="Times New Roman" w:hAnsi="Times New Roman" w:cs="Times New Roman" w:eastAsia="Times New Roman" w:hint="default"/>
          <w:sz w:val="21"/>
          <w:szCs w:val="21"/>
        </w:rPr>
        <w:t>15,400.00</w:t>
      </w:r>
      <w:r>
        <w:rPr>
          <w:rFonts w:ascii="宋体" w:hAnsi="宋体" w:cs="宋体" w:eastAsia="宋体" w:hint="default"/>
          <w:sz w:val="21"/>
          <w:szCs w:val="21"/>
        </w:rPr>
        <w:t>万元。</w:t>
      </w:r>
    </w:p>
    <w:p>
      <w:pPr>
        <w:spacing w:line="256" w:lineRule="auto" w:before="5"/>
        <w:ind w:left="152" w:right="11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为在深圳发展银行杭州武林支行综合授信</w:t>
      </w:r>
      <w:r>
        <w:rPr>
          <w:rFonts w:ascii="Times New Roman" w:hAnsi="Times New Roman" w:cs="Times New Roman" w:eastAsia="Times New Roman" w:hint="default"/>
          <w:sz w:val="21"/>
          <w:szCs w:val="21"/>
        </w:rPr>
        <w:t>6,000.00</w:t>
      </w:r>
      <w:r>
        <w:rPr>
          <w:rFonts w:ascii="宋体" w:hAnsi="宋体" w:cs="宋体" w:eastAsia="宋体" w:hint="default"/>
          <w:sz w:val="21"/>
          <w:szCs w:val="21"/>
        </w:rPr>
        <w:t>万元提供连带责任担保。截至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华立仪表在该保证协议下取得借款</w:t>
      </w:r>
      <w:r>
        <w:rPr>
          <w:rFonts w:ascii="Times New Roman" w:hAnsi="Times New Roman" w:cs="Times New Roman" w:eastAsia="Times New Roman" w:hint="default"/>
          <w:sz w:val="21"/>
          <w:szCs w:val="21"/>
        </w:rPr>
        <w:t>2,000.00</w:t>
      </w:r>
      <w:r>
        <w:rPr>
          <w:rFonts w:ascii="宋体" w:hAnsi="宋体" w:cs="宋体" w:eastAsia="宋体" w:hint="default"/>
          <w:sz w:val="21"/>
          <w:szCs w:val="21"/>
        </w:rPr>
        <w:t>万元；</w:t>
      </w:r>
    </w:p>
    <w:p>
      <w:pPr>
        <w:spacing w:after="0" w:line="256"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line="256" w:lineRule="auto" w:before="36"/>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为在中国银行浙江省分行开具</w:t>
      </w:r>
      <w:r>
        <w:rPr>
          <w:rFonts w:ascii="Times New Roman" w:hAnsi="Times New Roman" w:cs="Times New Roman" w:eastAsia="Times New Roman" w:hint="default"/>
          <w:sz w:val="21"/>
          <w:szCs w:val="21"/>
        </w:rPr>
        <w:t>4,162.66</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万元银行承兑汇票除票据保证金外的敞口部份提供连带责</w:t>
      </w:r>
      <w:r>
        <w:rPr>
          <w:rFonts w:ascii="宋体" w:hAnsi="宋体" w:cs="宋体" w:eastAsia="宋体" w:hint="default"/>
          <w:w w:val="100"/>
          <w:sz w:val="21"/>
          <w:szCs w:val="21"/>
        </w:rPr>
        <w:t> </w:t>
      </w:r>
      <w:r>
        <w:rPr>
          <w:rFonts w:ascii="宋体" w:hAnsi="宋体" w:cs="宋体" w:eastAsia="宋体" w:hint="default"/>
          <w:sz w:val="21"/>
          <w:szCs w:val="21"/>
        </w:rPr>
        <w:t>任担保；</w:t>
      </w:r>
    </w:p>
    <w:p>
      <w:pPr>
        <w:spacing w:line="256" w:lineRule="auto" w:before="22"/>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为在工商银行众安支行开具</w:t>
      </w:r>
      <w:r>
        <w:rPr>
          <w:rFonts w:ascii="Times New Roman" w:hAnsi="Times New Roman" w:cs="Times New Roman" w:eastAsia="Times New Roman" w:hint="default"/>
          <w:sz w:val="21"/>
          <w:szCs w:val="21"/>
        </w:rPr>
        <w:t>2,000.00</w:t>
      </w:r>
      <w:r>
        <w:rPr>
          <w:rFonts w:ascii="宋体" w:hAnsi="宋体" w:cs="宋体" w:eastAsia="宋体" w:hint="default"/>
          <w:sz w:val="21"/>
          <w:szCs w:val="21"/>
        </w:rPr>
        <w:t>万元银行承兑汇票除票据保证金外的敞口部份提供连带责任</w:t>
      </w:r>
      <w:r>
        <w:rPr>
          <w:rFonts w:ascii="宋体" w:hAnsi="宋体" w:cs="宋体" w:eastAsia="宋体" w:hint="default"/>
          <w:w w:val="100"/>
          <w:sz w:val="21"/>
          <w:szCs w:val="21"/>
        </w:rPr>
        <w:t> </w:t>
      </w:r>
      <w:r>
        <w:rPr>
          <w:rFonts w:ascii="宋体" w:hAnsi="宋体" w:cs="宋体" w:eastAsia="宋体" w:hint="default"/>
          <w:sz w:val="21"/>
          <w:szCs w:val="21"/>
        </w:rPr>
        <w:t>担保；</w:t>
      </w:r>
    </w:p>
    <w:p>
      <w:pPr>
        <w:spacing w:line="256" w:lineRule="auto" w:before="22"/>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为在中国银行浙江省分行开具履约保函</w:t>
      </w:r>
      <w:r>
        <w:rPr>
          <w:rFonts w:ascii="Times New Roman" w:hAnsi="Times New Roman" w:cs="Times New Roman" w:eastAsia="Times New Roman" w:hint="default"/>
          <w:sz w:val="21"/>
          <w:szCs w:val="21"/>
        </w:rPr>
        <w:t>5,713,654.00</w:t>
      </w:r>
      <w:r>
        <w:rPr>
          <w:rFonts w:ascii="宋体" w:hAnsi="宋体" w:cs="宋体" w:eastAsia="宋体" w:hint="default"/>
          <w:sz w:val="21"/>
          <w:szCs w:val="21"/>
        </w:rPr>
        <w:t>元提供保证担保。</w:t>
      </w:r>
      <w:r>
        <w:rPr>
          <w:rFonts w:ascii="宋体" w:hAnsi="宋体" w:cs="宋体" w:eastAsia="宋体" w:hint="default"/>
          <w:w w:val="100"/>
          <w:sz w:val="21"/>
          <w:szCs w:val="21"/>
        </w:rPr>
        <w:t> </w:t>
      </w:r>
      <w:r>
        <w:rPr>
          <w:rFonts w:ascii="宋体" w:hAnsi="宋体" w:cs="宋体" w:eastAsia="宋体" w:hint="default"/>
          <w:spacing w:val="-4"/>
          <w:sz w:val="21"/>
          <w:szCs w:val="21"/>
        </w:rPr>
        <w:t>子公司华立仪表与华方医药互相担保，按担保金额的</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收取担保费，本年华立仪表发生的担保费支出</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净额</w:t>
      </w:r>
      <w:r>
        <w:rPr>
          <w:rFonts w:ascii="Times New Roman" w:hAnsi="Times New Roman" w:cs="Times New Roman" w:eastAsia="Times New Roman" w:hint="default"/>
          <w:sz w:val="21"/>
          <w:szCs w:val="21"/>
        </w:rPr>
        <w:t>109.27</w:t>
      </w:r>
      <w:r>
        <w:rPr>
          <w:rFonts w:ascii="宋体" w:hAnsi="宋体" w:cs="宋体" w:eastAsia="宋体" w:hint="default"/>
          <w:sz w:val="21"/>
          <w:szCs w:val="21"/>
        </w:rPr>
        <w:t>万元。</w:t>
      </w:r>
    </w:p>
    <w:p>
      <w:pPr>
        <w:spacing w:line="240" w:lineRule="auto" w:before="2"/>
        <w:rPr>
          <w:rFonts w:ascii="宋体" w:hAnsi="宋体" w:cs="宋体" w:eastAsia="宋体" w:hint="default"/>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1"/>
        <w:rPr>
          <w:rFonts w:ascii="宋体" w:hAnsi="宋体" w:cs="宋体" w:eastAsia="宋体" w:hint="default"/>
          <w:sz w:val="25"/>
          <w:szCs w:val="25"/>
        </w:rPr>
      </w:pPr>
    </w:p>
    <w:p>
      <w:pPr>
        <w:pStyle w:val="Heading3"/>
        <w:spacing w:line="240" w:lineRule="auto" w:before="0"/>
        <w:ind w:right="0"/>
        <w:jc w:val="left"/>
        <w:rPr>
          <w:b w:val="0"/>
          <w:bCs w:val="0"/>
        </w:rPr>
      </w:pPr>
      <w:r>
        <w:rPr/>
        <w:t>十、承诺事项</w:t>
      </w:r>
      <w:r>
        <w:rPr>
          <w:b w:val="0"/>
          <w:bCs w:val="0"/>
        </w:rPr>
      </w:r>
    </w:p>
    <w:p>
      <w:pPr>
        <w:spacing w:line="240" w:lineRule="auto" w:before="12"/>
        <w:rPr>
          <w:rFonts w:ascii="宋体" w:hAnsi="宋体" w:cs="宋体" w:eastAsia="宋体" w:hint="default"/>
          <w:b/>
          <w:bCs/>
          <w:sz w:val="24"/>
          <w:szCs w:val="24"/>
        </w:rPr>
      </w:pPr>
    </w:p>
    <w:p>
      <w:pPr>
        <w:spacing w:line="506" w:lineRule="auto" w:before="0"/>
        <w:ind w:left="573" w:right="383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日，本公司无需要披露的重大承诺事项。</w:t>
      </w:r>
    </w:p>
    <w:p>
      <w:pPr>
        <w:spacing w:line="240" w:lineRule="auto" w:before="9"/>
        <w:rPr>
          <w:rFonts w:ascii="宋体" w:hAnsi="宋体" w:cs="宋体" w:eastAsia="宋体" w:hint="default"/>
          <w:sz w:val="28"/>
          <w:szCs w:val="28"/>
        </w:rPr>
      </w:pPr>
    </w:p>
    <w:p>
      <w:pPr>
        <w:spacing w:line="487" w:lineRule="auto" w:before="0"/>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十一、资产负债表日后事项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5528"/>
        <w:gridCol w:w="1419"/>
        <w:gridCol w:w="1063"/>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项目</w:t>
            </w:r>
          </w:p>
        </w:tc>
        <w:tc>
          <w:tcPr>
            <w:tcW w:w="5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4"/>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24"/>
              <w:jc w:val="right"/>
              <w:rPr>
                <w:rFonts w:ascii="宋体" w:hAnsi="宋体" w:cs="宋体" w:eastAsia="宋体" w:hint="default"/>
                <w:sz w:val="18"/>
                <w:szCs w:val="18"/>
              </w:rPr>
            </w:pPr>
            <w:r>
              <w:rPr>
                <w:rFonts w:ascii="宋体" w:hAnsi="宋体" w:cs="宋体" w:eastAsia="宋体" w:hint="default"/>
                <w:sz w:val="18"/>
                <w:szCs w:val="18"/>
              </w:rPr>
              <w:t>处置子公司</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日，公司与自然人刘建慧签订合同，向其转让子公司洪</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雅美联曼地亚红豆杉种植有限公司</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股权及所有债权</w:t>
            </w:r>
            <w:r>
              <w:rPr>
                <w:rFonts w:ascii="宋体" w:hAnsi="宋体" w:cs="宋体" w:eastAsia="宋体" w:hint="default"/>
                <w:spacing w:val="-92"/>
                <w:sz w:val="18"/>
                <w:szCs w:val="18"/>
              </w:rPr>
              <w:t>，</w:t>
            </w:r>
            <w:r>
              <w:rPr>
                <w:rFonts w:ascii="宋体" w:hAnsi="宋体" w:cs="宋体" w:eastAsia="宋体" w:hint="default"/>
                <w:sz w:val="18"/>
                <w:szCs w:val="18"/>
              </w:rPr>
              <w:t>转让款</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-12,740,000.00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324"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本年度公司不进行利润分配，也不进行资本公积转增股本。</w:t>
      </w:r>
      <w:r>
        <w:rPr>
          <w:rFonts w:ascii="宋体" w:hAnsi="宋体" w:cs="宋体" w:eastAsia="宋体" w:hint="default"/>
          <w:w w:val="100"/>
          <w:sz w:val="21"/>
          <w:szCs w:val="21"/>
        </w:rPr>
        <w:t> </w:t>
      </w:r>
      <w:r>
        <w:rPr>
          <w:rFonts w:ascii="宋体" w:hAnsi="宋体" w:cs="宋体" w:eastAsia="宋体" w:hint="default"/>
          <w:spacing w:val="-2"/>
          <w:sz w:val="21"/>
          <w:szCs w:val="21"/>
        </w:rPr>
        <w:t>除存在上述资产负债表日后事项外，截至财务报告日，本公司无其他需要披露的重大资产负债表日后</w:t>
      </w:r>
    </w:p>
    <w:p>
      <w:pPr>
        <w:spacing w:line="23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事项。</w:t>
      </w:r>
    </w:p>
    <w:p>
      <w:pPr>
        <w:spacing w:after="0" w:line="239" w:lineRule="exact"/>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t>十二、母公司财务报表主要项目注释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1,375.50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1,375.50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1,375.50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59"/>
        <w:gridCol w:w="1594"/>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1,375.50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68.78</w:t>
            </w:r>
          </w:p>
        </w:tc>
        <w:tc>
          <w:tcPr>
            <w:tcW w:w="212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1,375.50</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68.78</w:t>
            </w:r>
          </w:p>
        </w:tc>
        <w:tc>
          <w:tcPr>
            <w:tcW w:w="2126" w:type="dxa"/>
            <w:tcBorders>
              <w:top w:val="single" w:sz="4" w:space="0" w:color="000000"/>
              <w:left w:val="single" w:sz="4" w:space="0" w:color="000000"/>
              <w:bottom w:val="single" w:sz="4" w:space="0" w:color="000000"/>
              <w:right w:val="single" w:sz="13" w:space="0" w:color="D2D2D2"/>
            </w:tcBorders>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2"/>
        <w:gridCol w:w="1823"/>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57"/>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）金额较大的其他的应收账款的性质或内容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杭州信富化工有限公司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53.66%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余姚市奕帆贸易有限公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宁波裕茂塑化有限公司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1,375.50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9"/>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before="36"/>
        <w:ind w:left="152"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）以应收款项为标的资产进行资产证券化的，需简要说明相关交易安排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6"/>
        <w:gridCol w:w="1228"/>
        <w:gridCol w:w="749"/>
        <w:gridCol w:w="1236"/>
        <w:gridCol w:w="607"/>
        <w:gridCol w:w="1237"/>
        <w:gridCol w:w="620"/>
        <w:gridCol w:w="1206"/>
        <w:gridCol w:w="724"/>
      </w:tblGrid>
      <w:tr>
        <w:trPr>
          <w:trHeight w:val="398"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7"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856" w:type="dxa"/>
            <w:gridSpan w:val="2"/>
            <w:vMerge/>
            <w:tcBorders>
              <w:left w:val="single" w:sz="4" w:space="0" w:color="000000"/>
              <w:bottom w:val="single" w:sz="4" w:space="0" w:color="000000"/>
              <w:right w:val="single" w:sz="4" w:space="0" w:color="000000"/>
            </w:tcBorders>
            <w:shd w:val="clear" w:color="auto" w:fill="D2D2D2"/>
          </w:tcPr>
          <w:p>
            <w:pPr/>
          </w:p>
        </w:tc>
        <w:tc>
          <w:tcPr>
            <w:tcW w:w="1930"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6" w:type="dxa"/>
            <w:vMerge/>
            <w:tcBorders>
              <w:left w:val="single" w:sz="4" w:space="0" w:color="000000"/>
              <w:bottom w:val="single" w:sz="4" w:space="0" w:color="FFFFFF"/>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23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68" w:right="0"/>
              <w:jc w:val="left"/>
              <w:rPr>
                <w:rFonts w:ascii="Times New Roman" w:hAnsi="Times New Roman" w:cs="Times New Roman" w:eastAsia="Times New Roman" w:hint="default"/>
                <w:sz w:val="18"/>
                <w:szCs w:val="18"/>
              </w:rPr>
            </w:pPr>
            <w:r>
              <w:rPr>
                <w:rFonts w:ascii="Times New Roman"/>
                <w:sz w:val="18"/>
              </w:rPr>
              <w:t>(%)</w:t>
            </w:r>
          </w:p>
        </w:tc>
        <w:tc>
          <w:tcPr>
            <w:tcW w:w="1237" w:type="dxa"/>
            <w:tcBorders>
              <w:top w:val="single" w:sz="4" w:space="0" w:color="000000"/>
              <w:left w:val="single" w:sz="4" w:space="0" w:color="000000"/>
              <w:bottom w:val="nil" w:sz="6" w:space="0" w:color="auto"/>
              <w:right w:val="single" w:sz="4" w:space="0" w:color="000000"/>
            </w:tcBorders>
            <w:shd w:val="clear" w:color="auto" w:fill="D2D2D2"/>
          </w:tcPr>
          <w:p>
            <w:pPr/>
          </w:p>
        </w:tc>
        <w:tc>
          <w:tcPr>
            <w:tcW w:w="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70" w:right="0"/>
              <w:jc w:val="lef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5" w:hRule="exact"/>
        </w:trPr>
        <w:tc>
          <w:tcPr>
            <w:tcW w:w="2176" w:type="dxa"/>
            <w:vMerge w:val="restart"/>
            <w:tcBorders>
              <w:top w:val="single" w:sz="4" w:space="0" w:color="FFFFFF"/>
              <w:left w:val="single" w:sz="4" w:space="0" w:color="000000"/>
              <w:right w:val="single" w:sz="4" w:space="0" w:color="000000"/>
            </w:tcBorders>
            <w:shd w:val="clear" w:color="auto" w:fill="D2D2D2"/>
          </w:tcPr>
          <w:p>
            <w:pPr/>
          </w:p>
        </w:tc>
        <w:tc>
          <w:tcPr>
            <w:tcW w:w="1228"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36"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tcBorders>
              <w:left w:val="single" w:sz="4" w:space="0" w:color="000000"/>
              <w:right w:val="single" w:sz="4" w:space="0" w:color="000000"/>
            </w:tcBorders>
            <w:shd w:val="clear" w:color="auto" w:fill="D2D2D2"/>
          </w:tcPr>
          <w:p>
            <w:pPr/>
          </w:p>
        </w:tc>
        <w:tc>
          <w:tcPr>
            <w:tcW w:w="12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0" w:type="dxa"/>
            <w:vMerge/>
            <w:tcBorders>
              <w:left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3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1237" w:type="dxa"/>
            <w:tcBorders>
              <w:top w:val="nil" w:sz="6" w:space="0" w:color="auto"/>
              <w:left w:val="single" w:sz="4" w:space="0" w:color="000000"/>
              <w:bottom w:val="single" w:sz="4" w:space="0" w:color="000000"/>
              <w:right w:val="single" w:sz="4" w:space="0" w:color="000000"/>
            </w:tcBorders>
            <w:shd w:val="clear" w:color="auto" w:fill="D2D2D2"/>
          </w:tcPr>
          <w:p>
            <w:pPr/>
          </w:p>
        </w:tc>
        <w:tc>
          <w:tcPr>
            <w:tcW w:w="620"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2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72,277,353.87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67,277,353.87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93.08%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150,374,283.41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91.45%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93,140,538.54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61.94%</w:t>
            </w:r>
          </w:p>
        </w:tc>
      </w:tr>
      <w:tr>
        <w:trPr>
          <w:trHeight w:val="403" w:hRule="exact"/>
        </w:trPr>
        <w:tc>
          <w:tcPr>
            <w:tcW w:w="97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12,184,920.81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1,562,074.63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11,586,761.78</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2,909,968.11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w:t>
            </w: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12,184,920.81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1,562,074.63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11,586,761.78</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2,909,968.11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w:t>
            </w:r>
          </w:p>
        </w:tc>
      </w:tr>
      <w:tr>
        <w:trPr>
          <w:trHeight w:val="102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2,466,691.16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2,466,691.16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2,466,691.16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2,466,691.16</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86,928,965.84</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71,306,119.66</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164,427,736.35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98,517,197.81</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8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880"/>
          <w:cols w:num="2" w:equalWidth="0">
            <w:col w:w="4293" w:space="4536"/>
            <w:col w:w="12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洪雅美联曼地亚红豆杉 种植有限公司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44,929,326.44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39,929,326.44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洪雅美联植化有限公司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2,207,488.89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2,207,488.89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12,528,961.40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10,061,577.14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72,277,353.87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67,277,353.87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8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880"/>
          <w:cols w:num="2" w:equalWidth="0">
            <w:col w:w="4293" w:space="4536"/>
            <w:col w:w="12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2456"/>
        <w:gridCol w:w="1594"/>
        <w:gridCol w:w="2528"/>
        <w:gridCol w:w="1726"/>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8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256"/>
        <w:gridCol w:w="1799"/>
        <w:gridCol w:w="652"/>
        <w:gridCol w:w="1605"/>
        <w:gridCol w:w="1862"/>
        <w:gridCol w:w="653"/>
        <w:gridCol w:w="1732"/>
      </w:tblGrid>
      <w:tr>
        <w:trPr>
          <w:trHeight w:val="161" w:hRule="exact"/>
        </w:trPr>
        <w:tc>
          <w:tcPr>
            <w:tcW w:w="1256" w:type="dxa"/>
            <w:vMerge w:val="restart"/>
            <w:tcBorders>
              <w:top w:val="single" w:sz="4" w:space="0" w:color="000000"/>
              <w:left w:val="single" w:sz="4" w:space="0" w:color="000000"/>
              <w:right w:val="single" w:sz="4" w:space="0" w:color="000000"/>
            </w:tcBorders>
            <w:shd w:val="clear" w:color="auto" w:fill="D2D2D2"/>
          </w:tcPr>
          <w:p>
            <w:pPr/>
          </w:p>
        </w:tc>
        <w:tc>
          <w:tcPr>
            <w:tcW w:w="1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5" w:type="dxa"/>
            <w:vMerge w:val="restart"/>
            <w:tcBorders>
              <w:top w:val="single" w:sz="4" w:space="0" w:color="000000"/>
              <w:left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256" w:type="dxa"/>
            <w:vMerge/>
            <w:tcBorders>
              <w:left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2D2D2"/>
          </w:tcPr>
          <w:p>
            <w:pPr/>
          </w:p>
        </w:tc>
        <w:tc>
          <w:tcPr>
            <w:tcW w:w="1732" w:type="dxa"/>
            <w:vMerge/>
            <w:tcBorders>
              <w:left w:val="single" w:sz="4" w:space="0" w:color="000000"/>
              <w:right w:val="single" w:sz="4" w:space="0" w:color="000000"/>
            </w:tcBorders>
            <w:shd w:val="clear" w:color="auto" w:fill="D2D2D2"/>
          </w:tcPr>
          <w:p>
            <w:pPr/>
          </w:p>
        </w:tc>
      </w:tr>
      <w:tr>
        <w:trPr>
          <w:trHeight w:val="168" w:hRule="exact"/>
        </w:trPr>
        <w:tc>
          <w:tcPr>
            <w:tcW w:w="1256" w:type="dxa"/>
            <w:vMerge/>
            <w:tcBorders>
              <w:left w:val="single" w:sz="4" w:space="0" w:color="000000"/>
              <w:bottom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05"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732"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8,373,606.44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68.72%</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418,680.32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141,200.53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1.22%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7,060.03</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2,283,995.89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19.71%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228,399.59</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493,074.12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73,961.12</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3,811,314.37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31.28%</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1,143,394.31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8,668,491.24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74.81%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2,600,547.37</w:t>
            </w:r>
          </w:p>
        </w:tc>
      </w:tr>
      <w:tr>
        <w:trPr>
          <w:trHeight w:val="404"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12,184,920.81</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1,562,074.63</w:t>
            </w:r>
          </w:p>
        </w:tc>
        <w:tc>
          <w:tcPr>
            <w:tcW w:w="186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11,586,761.78</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2,909,968.11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海湾兽医中心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1,085,916.16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上海同仪建筑设计有限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重庆智强信息咨询有限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253,125.00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2,466,691.16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2,466,691.16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4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389" w:type="dxa"/>
        <w:tblLayout w:type="fixed"/>
        <w:tblCellMar>
          <w:top w:w="0" w:type="dxa"/>
          <w:left w:w="0" w:type="dxa"/>
          <w:bottom w:w="0" w:type="dxa"/>
          <w:right w:w="0" w:type="dxa"/>
        </w:tblCellMar>
        <w:tblLook w:val="01E0"/>
      </w:tblPr>
      <w:tblGrid>
        <w:gridCol w:w="1595"/>
        <w:gridCol w:w="1597"/>
        <w:gridCol w:w="1591"/>
        <w:gridCol w:w="1464"/>
        <w:gridCol w:w="1517"/>
        <w:gridCol w:w="17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0"/>
        <w:ind w:left="39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658"/>
        <w:gridCol w:w="1729"/>
        <w:gridCol w:w="1726"/>
        <w:gridCol w:w="1860"/>
        <w:gridCol w:w="1591"/>
      </w:tblGrid>
      <w:tr>
        <w:trPr>
          <w:trHeight w:val="401"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洪雅种植、重庆福瑞制药、美国华盛顿大学三家系往来款，汪永兴、重庆宏美制冷系房产处置尾款。</w:t>
      </w:r>
    </w:p>
    <w:p>
      <w:pPr>
        <w:spacing w:line="240" w:lineRule="auto" w:before="0"/>
        <w:rPr>
          <w:rFonts w:ascii="宋体" w:hAnsi="宋体" w:cs="宋体" w:eastAsia="宋体" w:hint="default"/>
          <w:sz w:val="18"/>
          <w:szCs w:val="18"/>
        </w:rPr>
      </w:pPr>
    </w:p>
    <w:p>
      <w:pPr>
        <w:spacing w:before="12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洪雅美联曼地亚红豆杉 种植有限公司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44,929,326.44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汪永兴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4,766,856.44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重庆宏美制冷设备有限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277"/>
        <w:gridCol w:w="2430"/>
        <w:gridCol w:w="2431"/>
        <w:gridCol w:w="2419"/>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136"/>
        <w:gridCol w:w="850"/>
        <w:gridCol w:w="1133"/>
        <w:gridCol w:w="1561"/>
        <w:gridCol w:w="1702"/>
        <w:gridCol w:w="708"/>
        <w:gridCol w:w="1135"/>
        <w:gridCol w:w="567"/>
        <w:gridCol w:w="1133"/>
      </w:tblGrid>
      <w:tr>
        <w:trPr>
          <w:trHeight w:val="1340"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72" w:right="108"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bl>
    <w:p>
      <w:pPr>
        <w:spacing w:after="0" w:line="316" w:lineRule="auto"/>
        <w:jc w:val="left"/>
        <w:rPr>
          <w:rFonts w:ascii="宋体" w:hAnsi="宋体" w:cs="宋体" w:eastAsia="宋体" w:hint="default"/>
          <w:sz w:val="18"/>
          <w:szCs w:val="18"/>
        </w:rPr>
        <w:sectPr>
          <w:pgSz w:w="11910" w:h="16840"/>
          <w:pgMar w:header="877" w:footer="979" w:top="1100" w:bottom="1160" w:left="740" w:right="98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36"/>
        <w:gridCol w:w="850"/>
        <w:gridCol w:w="1133"/>
        <w:gridCol w:w="1561"/>
        <w:gridCol w:w="1702"/>
        <w:gridCol w:w="708"/>
        <w:gridCol w:w="1135"/>
        <w:gridCol w:w="567"/>
        <w:gridCol w:w="1133"/>
      </w:tblGrid>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华立仪表集 团股份有限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178,105,275.4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320,425,869.79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320,425,869.79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79%</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21,515,741.70</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0"/>
              <w:jc w:val="both"/>
              <w:rPr>
                <w:rFonts w:ascii="宋体" w:hAnsi="宋体" w:cs="宋体" w:eastAsia="宋体" w:hint="default"/>
                <w:sz w:val="18"/>
                <w:szCs w:val="18"/>
              </w:rPr>
            </w:pPr>
            <w:r>
              <w:rPr>
                <w:rFonts w:ascii="宋体" w:hAnsi="宋体" w:cs="宋体" w:eastAsia="宋体" w:hint="default"/>
                <w:sz w:val="18"/>
                <w:szCs w:val="18"/>
              </w:rPr>
              <w:t>洪雅美联曼 地亚红豆杉 种植有限公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8,900,000.00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187,005,275.4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329,325,869.79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329,325,869.79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21,515,741.70</w:t>
            </w:r>
          </w:p>
        </w:tc>
      </w:tr>
    </w:tbl>
    <w:p>
      <w:pPr>
        <w:spacing w:before="49"/>
        <w:ind w:left="39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18"/>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1,761,245.80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1,788,357.57</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38,241,075.25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1,788,357.57</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37,527,985.80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1,431,741.60</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化工产品销售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邻苯二甲酸二辛酯</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740" w:right="980"/>
        </w:sectPr>
      </w:pPr>
    </w:p>
    <w:p>
      <w:pPr>
        <w:spacing w:line="240" w:lineRule="auto" w:before="1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五号</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21,863,247.86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杭州信富化工有限公司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2,177,548.89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宁波紫气国际贸易有限公司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2,170,940.17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上海睿天化工贸易有限公司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1,751,923.08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杭州创易塑化有限公司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1,079,803.68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29,043,463.68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21,515,741.70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21,515,741.70</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21,515,741.70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before="94"/>
        <w:ind w:left="152" w:right="0" w:firstLine="0"/>
        <w:jc w:val="left"/>
        <w:rPr>
          <w:rFonts w:ascii="宋体" w:hAnsi="宋体" w:cs="宋体" w:eastAsia="宋体" w:hint="default"/>
          <w:sz w:val="21"/>
          <w:szCs w:val="21"/>
        </w:rPr>
      </w:pPr>
      <w:r>
        <w:rPr>
          <w:rFonts w:ascii="宋体" w:hAnsi="宋体" w:cs="宋体" w:eastAsia="宋体" w:hint="default"/>
          <w:sz w:val="21"/>
          <w:szCs w:val="21"/>
        </w:rPr>
        <w:t>本公司无投资收益汇回的重大限制。</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-6,204,037.07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-39,078,469.25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6,008,147.49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21,641,195.85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1,458,063.27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1,552,419.22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244,690.92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311,873.42</w:t>
            </w:r>
          </w:p>
        </w:tc>
      </w:tr>
      <w:tr>
        <w:trPr>
          <w:trHeight w:val="715"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-12,446,865.03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-699,368.82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16,789,628.16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16,524,647.50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-21,515,741.70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10,034,258.25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-3,246,179.38</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17,202,086.46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-23,847,768.43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-54,322,957.28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101,245,116.13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-42,752,726.53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74,403,466.24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6,876,601.08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2,962,328.13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2,962,328.13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3,452,952.89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3,914,272.95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-490,624.76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、反向购买下以评估值入账的资产、负债情况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3"/>
        <w:spacing w:line="240" w:lineRule="auto"/>
        <w:ind w:right="114"/>
        <w:jc w:val="left"/>
        <w:rPr>
          <w:b w:val="0"/>
          <w:bCs w:val="0"/>
        </w:rPr>
      </w:pPr>
      <w:r>
        <w:rPr/>
        <w:t>十三、补充资料</w:t>
      </w:r>
      <w:r>
        <w:rPr>
          <w:b w:val="0"/>
          <w:bCs w:val="0"/>
        </w:rPr>
      </w:r>
    </w:p>
    <w:p>
      <w:pPr>
        <w:spacing w:line="240" w:lineRule="auto" w:before="12"/>
        <w:rPr>
          <w:rFonts w:ascii="宋体" w:hAnsi="宋体" w:cs="宋体" w:eastAsia="宋体" w:hint="default"/>
          <w:b/>
          <w:bCs/>
          <w:sz w:val="24"/>
          <w:szCs w:val="24"/>
        </w:rPr>
      </w:pPr>
    </w:p>
    <w:p>
      <w:pPr>
        <w:spacing w:before="0"/>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3"/>
        <w:rPr>
          <w:rFonts w:ascii="宋体" w:hAnsi="宋体" w:cs="宋体" w:eastAsia="宋体" w:hint="default"/>
          <w:sz w:val="19"/>
          <w:szCs w:val="19"/>
        </w:rPr>
      </w:pPr>
    </w:p>
    <w:p>
      <w:pPr>
        <w:spacing w:before="36"/>
        <w:ind w:left="152" w:right="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722" w:right="114" w:firstLine="0"/>
        <w:jc w:val="left"/>
        <w:rPr>
          <w:rFonts w:ascii="宋体" w:hAnsi="宋体" w:cs="宋体" w:eastAsia="宋体" w:hint="default"/>
          <w:sz w:val="21"/>
          <w:szCs w:val="21"/>
        </w:rPr>
      </w:pPr>
      <w:r>
        <w:rPr>
          <w:rFonts w:ascii="宋体" w:hAnsi="宋体" w:cs="宋体" w:eastAsia="宋体" w:hint="default"/>
          <w:b/>
          <w:bCs/>
          <w:sz w:val="21"/>
          <w:szCs w:val="21"/>
        </w:rPr>
        <w:t>资产负债表项目</w:t>
      </w:r>
      <w:r>
        <w:rPr>
          <w:rFonts w:ascii="宋体" w:hAnsi="宋体" w:cs="宋体" w:eastAsia="宋体" w:hint="default"/>
          <w:sz w:val="21"/>
          <w:szCs w:val="21"/>
        </w:rPr>
      </w:r>
    </w:p>
    <w:p>
      <w:pPr>
        <w:spacing w:line="273" w:lineRule="auto" w:before="37"/>
        <w:ind w:left="152" w:right="202" w:firstLine="56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应收账款项目期末数较期初数增长</w:t>
      </w:r>
      <w:r>
        <w:rPr>
          <w:rFonts w:ascii="宋体" w:hAnsi="宋体" w:cs="宋体" w:eastAsia="宋体" w:hint="default"/>
          <w:sz w:val="21"/>
          <w:szCs w:val="21"/>
        </w:rPr>
        <w:t>33.43%</w:t>
      </w:r>
      <w:r>
        <w:rPr>
          <w:rFonts w:ascii="宋体" w:hAnsi="宋体" w:cs="宋体" w:eastAsia="宋体" w:hint="default"/>
          <w:sz w:val="21"/>
          <w:szCs w:val="21"/>
        </w:rPr>
        <w:t>，主要系客户年末资金回笼不及时及收购杭州厚达自</w:t>
      </w:r>
      <w:r>
        <w:rPr>
          <w:rFonts w:ascii="宋体" w:hAnsi="宋体" w:cs="宋体" w:eastAsia="宋体" w:hint="default"/>
          <w:w w:val="100"/>
          <w:sz w:val="21"/>
          <w:szCs w:val="21"/>
        </w:rPr>
        <w:t> </w:t>
      </w:r>
      <w:r>
        <w:rPr>
          <w:rFonts w:ascii="宋体" w:hAnsi="宋体" w:cs="宋体" w:eastAsia="宋体" w:hint="default"/>
          <w:sz w:val="21"/>
          <w:szCs w:val="21"/>
        </w:rPr>
        <w:t>动化系统有限公司所致。</w:t>
      </w:r>
    </w:p>
    <w:p>
      <w:pPr>
        <w:spacing w:line="273" w:lineRule="auto" w:before="7"/>
        <w:ind w:left="152" w:right="202" w:firstLine="56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6"/>
          <w:sz w:val="21"/>
          <w:szCs w:val="21"/>
        </w:rPr>
        <w:t> </w:t>
      </w:r>
      <w:r>
        <w:rPr>
          <w:rFonts w:ascii="宋体" w:hAnsi="宋体" w:cs="宋体" w:eastAsia="宋体" w:hint="default"/>
          <w:sz w:val="21"/>
          <w:szCs w:val="21"/>
        </w:rPr>
        <w:t>应付账款项目期末数较期初数增长</w:t>
      </w:r>
      <w:r>
        <w:rPr>
          <w:rFonts w:ascii="宋体" w:hAnsi="宋体" w:cs="宋体" w:eastAsia="宋体" w:hint="default"/>
          <w:sz w:val="21"/>
          <w:szCs w:val="21"/>
        </w:rPr>
        <w:t>31.94%</w:t>
      </w:r>
      <w:r>
        <w:rPr>
          <w:rFonts w:ascii="宋体" w:hAnsi="宋体" w:cs="宋体" w:eastAsia="宋体" w:hint="default"/>
          <w:sz w:val="21"/>
          <w:szCs w:val="21"/>
        </w:rPr>
        <w:t>（主要系公司根据自身经营情况，调整支付供应商货</w:t>
      </w:r>
      <w:r>
        <w:rPr>
          <w:rFonts w:ascii="宋体" w:hAnsi="宋体" w:cs="宋体" w:eastAsia="宋体" w:hint="default"/>
          <w:w w:val="100"/>
          <w:sz w:val="21"/>
          <w:szCs w:val="21"/>
        </w:rPr>
        <w:t> </w:t>
      </w:r>
      <w:r>
        <w:rPr>
          <w:rFonts w:ascii="宋体" w:hAnsi="宋体" w:cs="宋体" w:eastAsia="宋体" w:hint="default"/>
          <w:sz w:val="21"/>
          <w:szCs w:val="21"/>
        </w:rPr>
        <w:t>款的额度。</w:t>
      </w:r>
    </w:p>
    <w:p>
      <w:pPr>
        <w:spacing w:line="273" w:lineRule="auto" w:before="7"/>
        <w:ind w:left="152" w:right="0" w:firstLine="56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3"/>
          <w:sz w:val="21"/>
          <w:szCs w:val="21"/>
        </w:rPr>
        <w:t>少数股东权益项目期末数较期初数增长</w:t>
      </w:r>
      <w:r>
        <w:rPr>
          <w:rFonts w:ascii="宋体" w:hAnsi="宋体" w:cs="宋体" w:eastAsia="宋体" w:hint="default"/>
          <w:spacing w:val="-3"/>
          <w:sz w:val="21"/>
          <w:szCs w:val="21"/>
        </w:rPr>
        <w:t>32.05%</w:t>
      </w:r>
      <w:r>
        <w:rPr>
          <w:rFonts w:ascii="宋体" w:hAnsi="宋体" w:cs="宋体" w:eastAsia="宋体" w:hint="default"/>
          <w:spacing w:val="-3"/>
          <w:sz w:val="21"/>
          <w:szCs w:val="21"/>
        </w:rPr>
        <w:t>，主要系收购杭州厚达自动化系统有限公司股权，</w:t>
      </w:r>
      <w:r>
        <w:rPr>
          <w:rFonts w:ascii="宋体" w:hAnsi="宋体" w:cs="宋体" w:eastAsia="宋体" w:hint="default"/>
          <w:w w:val="100"/>
          <w:sz w:val="21"/>
          <w:szCs w:val="21"/>
        </w:rPr>
        <w:t> </w:t>
      </w:r>
      <w:r>
        <w:rPr>
          <w:rFonts w:ascii="宋体" w:hAnsi="宋体" w:cs="宋体" w:eastAsia="宋体" w:hint="default"/>
          <w:sz w:val="21"/>
          <w:szCs w:val="21"/>
        </w:rPr>
        <w:t>形成非同一控制下企业合并，本期将其纳入本年合并范围，少数股东权益转入。</w:t>
      </w:r>
    </w:p>
    <w:p>
      <w:pPr>
        <w:spacing w:before="8"/>
        <w:ind w:left="722" w:right="114" w:firstLine="0"/>
        <w:jc w:val="left"/>
        <w:rPr>
          <w:rFonts w:ascii="宋体" w:hAnsi="宋体" w:cs="宋体" w:eastAsia="宋体" w:hint="default"/>
          <w:sz w:val="21"/>
          <w:szCs w:val="21"/>
        </w:rPr>
      </w:pPr>
      <w:r>
        <w:rPr>
          <w:rFonts w:ascii="宋体" w:hAnsi="宋体" w:cs="宋体" w:eastAsia="宋体" w:hint="default"/>
          <w:b/>
          <w:bCs/>
          <w:sz w:val="21"/>
          <w:szCs w:val="21"/>
        </w:rPr>
        <w:t>利润表项目：</w:t>
      </w:r>
      <w:r>
        <w:rPr>
          <w:rFonts w:ascii="宋体" w:hAnsi="宋体" w:cs="宋体" w:eastAsia="宋体" w:hint="default"/>
          <w:sz w:val="21"/>
          <w:szCs w:val="21"/>
        </w:rPr>
      </w:r>
    </w:p>
    <w:p>
      <w:pPr>
        <w:spacing w:line="273" w:lineRule="auto" w:before="37"/>
        <w:ind w:left="152" w:right="202" w:firstLine="56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营业税金及附加本期数较上年同期数增长</w:t>
      </w:r>
      <w:r>
        <w:rPr>
          <w:rFonts w:ascii="宋体" w:hAnsi="宋体" w:cs="宋体" w:eastAsia="宋体" w:hint="default"/>
          <w:sz w:val="21"/>
          <w:szCs w:val="21"/>
        </w:rPr>
        <w:t>81.17%</w:t>
      </w:r>
      <w:r>
        <w:rPr>
          <w:rFonts w:ascii="宋体" w:hAnsi="宋体" w:cs="宋体" w:eastAsia="宋体" w:hint="default"/>
          <w:sz w:val="21"/>
          <w:szCs w:val="21"/>
        </w:rPr>
        <w:t>，主要系销项税与进项税未保持同步，当期用</w:t>
      </w:r>
      <w:r>
        <w:rPr>
          <w:rFonts w:ascii="宋体" w:hAnsi="宋体" w:cs="宋体" w:eastAsia="宋体" w:hint="default"/>
          <w:w w:val="100"/>
          <w:sz w:val="21"/>
          <w:szCs w:val="21"/>
        </w:rPr>
        <w:t> </w:t>
      </w:r>
      <w:r>
        <w:rPr>
          <w:rFonts w:ascii="宋体" w:hAnsi="宋体" w:cs="宋体" w:eastAsia="宋体" w:hint="default"/>
          <w:sz w:val="21"/>
          <w:szCs w:val="21"/>
        </w:rPr>
        <w:t>于抵扣销项税的进项税额减少，应纳增值税增加，相应的附加税金增加。</w:t>
      </w:r>
    </w:p>
    <w:p>
      <w:pPr>
        <w:spacing w:before="7"/>
        <w:ind w:left="719" w:right="11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资产减值损失本期数较上年同期数增长</w:t>
      </w:r>
      <w:r>
        <w:rPr>
          <w:rFonts w:ascii="宋体" w:hAnsi="宋体" w:cs="宋体" w:eastAsia="宋体" w:hint="default"/>
          <w:sz w:val="21"/>
          <w:szCs w:val="21"/>
        </w:rPr>
        <w:t>277.11%</w:t>
      </w:r>
      <w:r>
        <w:rPr>
          <w:rFonts w:ascii="宋体" w:hAnsi="宋体" w:cs="宋体" w:eastAsia="宋体" w:hint="default"/>
          <w:sz w:val="21"/>
          <w:szCs w:val="21"/>
        </w:rPr>
        <w:t>，主要系应收账款增加，坏账准备计提增加。</w:t>
      </w:r>
    </w:p>
    <w:p>
      <w:pPr>
        <w:spacing w:line="273" w:lineRule="auto" w:before="37"/>
        <w:ind w:left="152" w:right="114" w:firstLine="56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投资收益本期数较上年同期数降低</w:t>
      </w:r>
      <w:r>
        <w:rPr>
          <w:rFonts w:ascii="宋体" w:hAnsi="宋体" w:cs="宋体" w:eastAsia="宋体" w:hint="default"/>
          <w:spacing w:val="-3"/>
          <w:sz w:val="21"/>
          <w:szCs w:val="21"/>
        </w:rPr>
        <w:t>248.16%</w:t>
      </w:r>
      <w:r>
        <w:rPr>
          <w:rFonts w:ascii="宋体" w:hAnsi="宋体" w:cs="宋体" w:eastAsia="宋体" w:hint="default"/>
          <w:spacing w:val="-3"/>
          <w:sz w:val="21"/>
          <w:szCs w:val="21"/>
        </w:rPr>
        <w:t>，主要系本期处置子公司重庆美联制药有限公司产生</w:t>
      </w:r>
      <w:r>
        <w:rPr>
          <w:rFonts w:ascii="宋体" w:hAnsi="宋体" w:cs="宋体" w:eastAsia="宋体" w:hint="default"/>
          <w:w w:val="100"/>
          <w:sz w:val="21"/>
          <w:szCs w:val="21"/>
        </w:rPr>
        <w:t> </w:t>
      </w:r>
      <w:r>
        <w:rPr>
          <w:rFonts w:ascii="宋体" w:hAnsi="宋体" w:cs="宋体" w:eastAsia="宋体" w:hint="default"/>
          <w:sz w:val="21"/>
          <w:szCs w:val="21"/>
        </w:rPr>
        <w:t>损失，及挂牌转让子公司洪雅美联曼地亚红豆杉种植有限公司预计处置损失。</w:t>
      </w:r>
    </w:p>
    <w:p>
      <w:pPr>
        <w:spacing w:line="273" w:lineRule="auto" w:before="7"/>
        <w:ind w:left="152" w:right="114" w:firstLine="566"/>
        <w:jc w:val="lef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营业外收入本期数较上年同期数增长</w:t>
      </w:r>
      <w:r>
        <w:rPr>
          <w:rFonts w:ascii="宋体" w:hAnsi="宋体" w:cs="宋体" w:eastAsia="宋体" w:hint="default"/>
          <w:spacing w:val="-1"/>
          <w:sz w:val="21"/>
          <w:szCs w:val="21"/>
        </w:rPr>
        <w:t>276.02%</w:t>
      </w:r>
      <w:r>
        <w:rPr>
          <w:rFonts w:ascii="宋体" w:hAnsi="宋体" w:cs="宋体" w:eastAsia="宋体" w:hint="default"/>
          <w:spacing w:val="-1"/>
          <w:sz w:val="21"/>
          <w:szCs w:val="21"/>
        </w:rPr>
        <w:t>，主要系本期拆迁出售上坟山土地，及出售位于重</w:t>
      </w:r>
      <w:r>
        <w:rPr>
          <w:rFonts w:ascii="宋体" w:hAnsi="宋体" w:cs="宋体" w:eastAsia="宋体" w:hint="default"/>
          <w:w w:val="100"/>
          <w:sz w:val="21"/>
          <w:szCs w:val="21"/>
        </w:rPr>
        <w:t> </w:t>
      </w:r>
      <w:r>
        <w:rPr>
          <w:rFonts w:ascii="宋体" w:hAnsi="宋体" w:cs="宋体" w:eastAsia="宋体" w:hint="default"/>
          <w:sz w:val="21"/>
          <w:szCs w:val="21"/>
        </w:rPr>
        <w:t>庆的土地及房产。</w:t>
      </w:r>
    </w:p>
    <w:p>
      <w:pPr>
        <w:spacing w:after="0" w:line="273" w:lineRule="auto"/>
        <w:jc w:val="left"/>
        <w:rPr>
          <w:rFonts w:ascii="宋体" w:hAnsi="宋体" w:cs="宋体" w:eastAsia="宋体" w:hint="default"/>
          <w:sz w:val="21"/>
          <w:szCs w:val="21"/>
        </w:rPr>
        <w:sectPr>
          <w:pgSz w:w="11910" w:h="16840"/>
          <w:pgMar w:header="877" w:footer="979" w:top="11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0"/>
        <w:jc w:val="left"/>
        <w:rPr>
          <w:b w:val="0"/>
          <w:bCs w:val="0"/>
        </w:rPr>
      </w:pPr>
      <w:r>
        <w:rPr/>
        <w:t>第十一节</w:t>
      </w:r>
      <w:r>
        <w:rPr>
          <w:spacing w:val="-6"/>
        </w:rPr>
        <w:t> </w:t>
      </w:r>
      <w:r>
        <w:rPr/>
        <w:t>备查文件目录</w:t>
      </w:r>
      <w:r>
        <w:rPr>
          <w:b w:val="0"/>
          <w:bCs w:val="0"/>
        </w:rPr>
      </w:r>
    </w:p>
    <w:p>
      <w:pPr>
        <w:spacing w:line="240" w:lineRule="auto" w:before="3"/>
        <w:rPr>
          <w:rFonts w:ascii="宋体" w:hAnsi="宋体" w:cs="宋体" w:eastAsia="宋体" w:hint="default"/>
          <w:b/>
          <w:bCs/>
          <w:sz w:val="41"/>
          <w:szCs w:val="41"/>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、载有公司法定代表人、总裁、财务总监签名并盖章的财务报表。</w:t>
      </w:r>
    </w:p>
    <w:p>
      <w:pPr>
        <w:spacing w:before="76"/>
        <w:ind w:left="152"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、载有天健会计师事务所（特殊普通合伙）盖章、注册会计师签名并盖章的审计报告原件。</w:t>
      </w:r>
    </w:p>
    <w:p>
      <w:pPr>
        <w:spacing w:before="76"/>
        <w:ind w:left="152"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408" w:lineRule="auto"/>
        <w:ind w:right="825"/>
        <w:jc w:val="left"/>
      </w:pPr>
      <w:r>
        <w:rPr>
          <w:spacing w:val="-1"/>
        </w:rPr>
        <w:t>浙江华智控股股份有限公司</w:t>
      </w:r>
      <w:r>
        <w:rPr>
          <w:spacing w:val="-128"/>
        </w:rPr>
        <w:t> </w:t>
      </w:r>
      <w:r>
        <w:rPr>
          <w:spacing w:val="-128"/>
        </w:rPr>
      </w:r>
      <w:r>
        <w:rPr/>
        <w:t>法定代表人：金美星</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27"/>
          <w:szCs w:val="27"/>
        </w:rPr>
      </w:pPr>
    </w:p>
    <w:p>
      <w:pPr>
        <w:spacing w:before="0"/>
        <w:ind w:left="6593" w:right="0" w:firstLine="0"/>
        <w:jc w:val="left"/>
        <w:rPr>
          <w:rFonts w:ascii="宋体" w:hAnsi="宋体" w:cs="宋体" w:eastAsia="宋体" w:hint="default"/>
          <w:sz w:val="28"/>
          <w:szCs w:val="28"/>
        </w:rPr>
      </w:pPr>
      <w:r>
        <w:rPr>
          <w:rFonts w:ascii="宋体" w:hAnsi="宋体" w:cs="宋体" w:eastAsia="宋体" w:hint="default"/>
          <w:sz w:val="28"/>
          <w:szCs w:val="28"/>
        </w:rPr>
        <w:t>2013</w:t>
      </w:r>
      <w:r>
        <w:rPr>
          <w:rFonts w:ascii="宋体" w:hAnsi="宋体" w:cs="宋体" w:eastAsia="宋体" w:hint="default"/>
          <w:sz w:val="28"/>
          <w:szCs w:val="28"/>
        </w:rPr>
        <w:t>年</w:t>
      </w:r>
      <w:r>
        <w:rPr>
          <w:rFonts w:ascii="宋体" w:hAnsi="宋体" w:cs="宋体" w:eastAsia="宋体" w:hint="default"/>
          <w:sz w:val="28"/>
          <w:szCs w:val="28"/>
        </w:rPr>
        <w:t>3</w:t>
      </w:r>
      <w:r>
        <w:rPr>
          <w:rFonts w:ascii="宋体" w:hAnsi="宋体" w:cs="宋体" w:eastAsia="宋体" w:hint="default"/>
          <w:sz w:val="28"/>
          <w:szCs w:val="28"/>
        </w:rPr>
        <w:t>月</w:t>
      </w:r>
      <w:r>
        <w:rPr>
          <w:rFonts w:ascii="宋体" w:hAnsi="宋体" w:cs="宋体" w:eastAsia="宋体" w:hint="default"/>
          <w:sz w:val="28"/>
          <w:szCs w:val="28"/>
        </w:rPr>
        <w:t>17</w:t>
      </w:r>
      <w:r>
        <w:rPr>
          <w:rFonts w:ascii="宋体" w:hAnsi="宋体" w:cs="宋体" w:eastAsia="宋体" w:hint="default"/>
          <w:sz w:val="28"/>
          <w:szCs w:val="28"/>
        </w:rPr>
        <w:t>日</w:t>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39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39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39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3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7998pt;margin-top:535.333923pt;width:17.7pt;height:11pt;mso-position-horizontal-relative:page;mso-position-vertical-relative:page;z-index:-839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3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3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9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3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9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39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9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39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39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7pt;height:11.5pt;mso-position-horizontal-relative:page;mso-position-vertical-relative:page;z-index:-839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397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9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7pt;height:11.5pt;mso-position-horizontal-relative:page;mso-position-vertical-relative:page;z-index:-839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39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9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7pt;height:11.5pt;mso-position-horizontal-relative:page;mso-position-vertical-relative:page;z-index:-839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395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9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7pt;height:11.5pt;mso-position-horizontal-relative:page;mso-position-vertical-relative:page;z-index:-839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39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9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9"/>
      <w:ind w:left="152" w:firstLine="480"/>
    </w:pPr>
    <w:rPr>
      <w:rFonts w:ascii="宋体" w:hAnsi="宋体" w:eastAsia="宋体"/>
      <w:sz w:val="24"/>
      <w:szCs w:val="24"/>
    </w:rPr>
  </w:style>
  <w:style w:styleId="Heading1" w:type="paragraph">
    <w:name w:val="Heading 1"/>
    <w:basedOn w:val="Normal"/>
    <w:uiPriority w:val="1"/>
    <w:qFormat/>
    <w:pPr>
      <w:ind w:left="3590"/>
      <w:outlineLvl w:val="1"/>
    </w:pPr>
    <w:rPr>
      <w:rFonts w:ascii="宋体" w:hAnsi="宋体" w:eastAsia="宋体"/>
      <w:b/>
      <w:bCs/>
      <w:sz w:val="32"/>
      <w:szCs w:val="32"/>
    </w:rPr>
  </w:style>
  <w:style w:styleId="Heading2" w:type="paragraph">
    <w:name w:val="Heading 2"/>
    <w:basedOn w:val="Normal"/>
    <w:uiPriority w:val="1"/>
    <w:qFormat/>
    <w:pPr>
      <w:ind w:left="5753"/>
      <w:outlineLvl w:val="2"/>
    </w:pPr>
    <w:rPr>
      <w:rFonts w:ascii="宋体" w:hAnsi="宋体" w:eastAsia="宋体"/>
      <w:sz w:val="28"/>
      <w:szCs w:val="28"/>
    </w:rPr>
  </w:style>
  <w:style w:styleId="Heading3" w:type="paragraph">
    <w:name w:val="Heading 3"/>
    <w:basedOn w:val="Normal"/>
    <w:uiPriority w:val="1"/>
    <w:qFormat/>
    <w:pPr>
      <w:spacing w:before="26"/>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000607.cn/" TargetMode="External"/><Relationship Id="rId9" Type="http://schemas.openxmlformats.org/officeDocument/2006/relationships/hyperlink" Target="mailto:000607@holley.cn" TargetMode="External"/><Relationship Id="rId10" Type="http://schemas.openxmlformats.org/officeDocument/2006/relationships/hyperlink" Target="mailto:bo.xiong@holley.cn" TargetMode="External"/><Relationship Id="rId11" Type="http://schemas.openxmlformats.org/officeDocument/2006/relationships/hyperlink" Target="http://www.cninfo.com.cn/" TargetMode="External"/><Relationship Id="rId12" Type="http://schemas.openxmlformats.org/officeDocument/2006/relationships/hyperlink" Target="http://www.zjpse.com/%E6%8C%82%E7%89%8C%E8%BD%AC"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www.cninfo.com.cn/finalpage/2012-02-2" TargetMode="External"/><Relationship Id="rId18" Type="http://schemas.openxmlformats.org/officeDocument/2006/relationships/image" Target="media/image1.jpe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8.xml"/><Relationship Id="rId34" Type="http://schemas.openxmlformats.org/officeDocument/2006/relationships/footer" Target="footer13.xml"/><Relationship Id="rId35" Type="http://schemas.openxmlformats.org/officeDocument/2006/relationships/header" Target="header9.xml"/><Relationship Id="rId36"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浙江华智控股股份有限公司</dc:creator>
  <dc:title>浙江华智控股股份有限公司2012年度报告全文</dc:title>
  <dcterms:created xsi:type="dcterms:W3CDTF">2020-05-03T23:13:32Z</dcterms:created>
  <dcterms:modified xsi:type="dcterms:W3CDTF">2020-05-03T23:13:32Z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Microsoft® Office Word 2007</vt:lpwstr>
  </property>
  <property fmtid="{D5CDD505-2E9C-101B-9397-08002B2CF9AE}" pid="4" name="LastSaved">
    <vt:filetime>2020-05-03T00:00:00Z</vt:filetime>
  </property>
</Properties>
</file>